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AC7E95" w14:textId="77777777" w:rsidR="0032747D" w:rsidRDefault="0032747D" w:rsidP="0032747D">
      <w:bookmarkStart w:id="0" w:name="_Toc136519958"/>
      <w:bookmarkStart w:id="1" w:name="_Toc136597726"/>
      <w:bookmarkStart w:id="2" w:name="_Toc136601629"/>
    </w:p>
    <w:p w14:paraId="7E80C788" w14:textId="77777777" w:rsidR="0032747D" w:rsidRDefault="0032747D" w:rsidP="0032747D"/>
    <w:p w14:paraId="2D73AF75" w14:textId="77777777" w:rsidR="0032747D" w:rsidRDefault="0032747D" w:rsidP="0032747D"/>
    <w:p w14:paraId="4A1EE981" w14:textId="77777777" w:rsidR="0032747D" w:rsidRDefault="0032747D" w:rsidP="0032747D">
      <w:pPr>
        <w:ind w:hanging="284"/>
      </w:pPr>
      <w:r>
        <w:rPr>
          <w:noProof/>
        </w:rPr>
        <w:drawing>
          <wp:inline distT="0" distB="0" distL="0" distR="0" wp14:anchorId="0EB1C019" wp14:editId="4FE43571">
            <wp:extent cx="5962650" cy="2959735"/>
            <wp:effectExtent l="95250" t="0" r="952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1EF0D714" w14:textId="77777777" w:rsidR="0032747D" w:rsidRDefault="0032747D" w:rsidP="0032747D"/>
    <w:p w14:paraId="1877CC3F" w14:textId="77777777" w:rsidR="0032747D" w:rsidRDefault="0032747D" w:rsidP="0032747D"/>
    <w:p w14:paraId="46E34648" w14:textId="77777777" w:rsidR="0032747D" w:rsidRPr="00B9393B" w:rsidRDefault="0032747D" w:rsidP="0032747D"/>
    <w:p w14:paraId="180C173E" w14:textId="77777777" w:rsidR="0032747D" w:rsidRDefault="0032747D" w:rsidP="0032747D">
      <w:pPr>
        <w:jc w:val="center"/>
        <w:rPr>
          <w:color w:val="0070C0"/>
          <w:highlight w:val="yellow"/>
        </w:rPr>
      </w:pPr>
    </w:p>
    <w:p w14:paraId="22E46C42" w14:textId="77777777" w:rsidR="0032747D" w:rsidRDefault="0032747D" w:rsidP="0032747D">
      <w:pPr>
        <w:jc w:val="center"/>
        <w:rPr>
          <w:color w:val="0070C0"/>
          <w:highlight w:val="yellow"/>
        </w:rPr>
      </w:pPr>
    </w:p>
    <w:p w14:paraId="3019E570" w14:textId="77777777" w:rsidR="0032747D" w:rsidRDefault="0032747D" w:rsidP="0032747D">
      <w:pPr>
        <w:jc w:val="center"/>
        <w:rPr>
          <w:color w:val="0070C0"/>
          <w:highlight w:val="yellow"/>
        </w:rPr>
      </w:pPr>
    </w:p>
    <w:p w14:paraId="6C83BBC6" w14:textId="77777777" w:rsidR="0032747D" w:rsidRPr="00F40687" w:rsidRDefault="0032747D" w:rsidP="0032747D">
      <w:pPr>
        <w:jc w:val="center"/>
        <w:rPr>
          <w:color w:val="0070C0"/>
          <w:highlight w:val="yellow"/>
        </w:rPr>
      </w:pPr>
    </w:p>
    <w:p w14:paraId="14C77CB7" w14:textId="77777777" w:rsidR="0032747D" w:rsidRPr="00F40687" w:rsidRDefault="0032747D" w:rsidP="0032747D">
      <w:pPr>
        <w:jc w:val="center"/>
        <w:rPr>
          <w:color w:val="0070C0"/>
          <w:highlight w:val="yellow"/>
        </w:rPr>
      </w:pPr>
    </w:p>
    <w:p w14:paraId="44082D9B" w14:textId="77777777" w:rsidR="0032747D" w:rsidRPr="00F40687" w:rsidRDefault="0032747D" w:rsidP="0032747D">
      <w:pPr>
        <w:jc w:val="center"/>
        <w:rPr>
          <w:b/>
          <w:color w:val="0070C0"/>
          <w:lang w:val="en-US"/>
        </w:rPr>
      </w:pPr>
    </w:p>
    <w:p w14:paraId="08CA64D6" w14:textId="77777777" w:rsidR="0032747D" w:rsidRPr="00F40687" w:rsidRDefault="0032747D" w:rsidP="0032747D">
      <w:pPr>
        <w:jc w:val="center"/>
        <w:rPr>
          <w:b/>
          <w:color w:val="0070C0"/>
          <w:lang w:val="en-US"/>
        </w:rPr>
      </w:pPr>
    </w:p>
    <w:p w14:paraId="578B0AD5" w14:textId="77777777" w:rsidR="0032747D" w:rsidRPr="00F40687" w:rsidRDefault="0032747D" w:rsidP="0032747D">
      <w:pPr>
        <w:jc w:val="center"/>
        <w:rPr>
          <w:b/>
          <w:color w:val="0070C0"/>
          <w:lang w:val="en-US"/>
        </w:rPr>
      </w:pPr>
    </w:p>
    <w:p w14:paraId="0C2B63DA" w14:textId="77777777" w:rsidR="0032747D" w:rsidRPr="00F40687" w:rsidRDefault="0032747D" w:rsidP="0032747D">
      <w:pPr>
        <w:jc w:val="center"/>
        <w:rPr>
          <w:b/>
          <w:color w:val="0070C0"/>
          <w:lang w:val="en-US"/>
        </w:rPr>
      </w:pPr>
    </w:p>
    <w:p w14:paraId="77A246D5" w14:textId="77777777" w:rsidR="0032747D" w:rsidRPr="00F40687" w:rsidRDefault="0032747D" w:rsidP="0032747D">
      <w:pPr>
        <w:jc w:val="center"/>
        <w:rPr>
          <w:b/>
          <w:color w:val="0070C0"/>
          <w:lang w:val="en-US"/>
        </w:rPr>
      </w:pPr>
    </w:p>
    <w:p w14:paraId="278452C4" w14:textId="77777777" w:rsidR="0032747D" w:rsidRPr="00F40687" w:rsidRDefault="0032747D" w:rsidP="0032747D">
      <w:pPr>
        <w:jc w:val="center"/>
        <w:rPr>
          <w:b/>
          <w:color w:val="0070C0"/>
          <w:lang w:val="en-US"/>
        </w:rPr>
      </w:pPr>
    </w:p>
    <w:p w14:paraId="1A67E692" w14:textId="77777777" w:rsidR="0032747D" w:rsidRPr="00F40687" w:rsidRDefault="0032747D" w:rsidP="0032747D">
      <w:pPr>
        <w:jc w:val="center"/>
        <w:rPr>
          <w:b/>
          <w:color w:val="0070C0"/>
          <w:lang w:val="en-US"/>
        </w:rPr>
      </w:pPr>
    </w:p>
    <w:p w14:paraId="1F053FD0" w14:textId="77777777" w:rsidR="0032747D" w:rsidRPr="00F40687" w:rsidRDefault="0032747D" w:rsidP="0032747D">
      <w:pPr>
        <w:jc w:val="center"/>
        <w:rPr>
          <w:b/>
          <w:color w:val="0070C0"/>
          <w:lang w:val="en-US"/>
        </w:rPr>
      </w:pPr>
    </w:p>
    <w:p w14:paraId="276DE10F" w14:textId="77777777" w:rsidR="0032747D" w:rsidRPr="00F40687" w:rsidRDefault="0032747D" w:rsidP="0032747D">
      <w:pPr>
        <w:jc w:val="center"/>
        <w:rPr>
          <w:b/>
          <w:color w:val="0070C0"/>
          <w:lang w:val="en-US"/>
        </w:rPr>
      </w:pPr>
    </w:p>
    <w:p w14:paraId="3D5FD5C4" w14:textId="77777777" w:rsidR="0032747D" w:rsidRPr="00F40687" w:rsidRDefault="0032747D" w:rsidP="0032747D">
      <w:pPr>
        <w:jc w:val="center"/>
        <w:rPr>
          <w:b/>
          <w:color w:val="0070C0"/>
          <w:lang w:val="en-US"/>
        </w:rPr>
      </w:pPr>
    </w:p>
    <w:p w14:paraId="20988776" w14:textId="77777777" w:rsidR="0032747D" w:rsidRPr="00F40687" w:rsidRDefault="0032747D" w:rsidP="0032747D">
      <w:pPr>
        <w:jc w:val="center"/>
        <w:rPr>
          <w:b/>
          <w:color w:val="0070C0"/>
        </w:rPr>
      </w:pPr>
    </w:p>
    <w:p w14:paraId="169189BE" w14:textId="77777777" w:rsidR="0032747D" w:rsidRPr="00F40687" w:rsidRDefault="0032747D" w:rsidP="0032747D">
      <w:pPr>
        <w:jc w:val="center"/>
        <w:rPr>
          <w:b/>
          <w:color w:val="0070C0"/>
        </w:rPr>
      </w:pPr>
    </w:p>
    <w:p w14:paraId="685E09A0" w14:textId="77777777" w:rsidR="0032747D" w:rsidRDefault="0032747D" w:rsidP="0032747D">
      <w:pPr>
        <w:jc w:val="center"/>
        <w:rPr>
          <w:b/>
          <w:color w:val="0070C0"/>
        </w:rPr>
      </w:pPr>
    </w:p>
    <w:p w14:paraId="7AA42387" w14:textId="77777777" w:rsidR="0032747D" w:rsidRDefault="0032747D" w:rsidP="0032747D">
      <w:pPr>
        <w:jc w:val="center"/>
        <w:rPr>
          <w:b/>
          <w:color w:val="0070C0"/>
        </w:rPr>
      </w:pPr>
    </w:p>
    <w:p w14:paraId="6782BCE2" w14:textId="77777777" w:rsidR="0032747D" w:rsidRDefault="0032747D" w:rsidP="0032747D">
      <w:pPr>
        <w:jc w:val="center"/>
        <w:rPr>
          <w:b/>
          <w:color w:val="0070C0"/>
        </w:rPr>
      </w:pPr>
    </w:p>
    <w:p w14:paraId="1D951A6C" w14:textId="77777777" w:rsidR="0032747D" w:rsidRDefault="0032747D" w:rsidP="0032747D">
      <w:pPr>
        <w:jc w:val="center"/>
        <w:rPr>
          <w:b/>
          <w:color w:val="0070C0"/>
        </w:rPr>
      </w:pPr>
    </w:p>
    <w:p w14:paraId="1ED2E7BE" w14:textId="77777777" w:rsidR="0032747D" w:rsidRDefault="0032747D" w:rsidP="0032747D">
      <w:pPr>
        <w:rPr>
          <w:color w:val="000000" w:themeColor="text1"/>
        </w:rPr>
      </w:pPr>
    </w:p>
    <w:p w14:paraId="3E3B9436" w14:textId="4BCD5216" w:rsidR="0032747D" w:rsidRPr="00630123" w:rsidRDefault="0032747D" w:rsidP="0032747D">
      <w:pPr>
        <w:rPr>
          <w:color w:val="000000" w:themeColor="text1"/>
        </w:rPr>
      </w:pPr>
      <w:r w:rsidRPr="00630123">
        <w:rPr>
          <w:color w:val="000000" w:themeColor="text1"/>
        </w:rPr>
        <w:t>Септември 2023</w:t>
      </w:r>
    </w:p>
    <w:p w14:paraId="3A49C080" w14:textId="77777777" w:rsidR="00666D9F" w:rsidRPr="007B48E9" w:rsidRDefault="00666D9F" w:rsidP="00017EB1">
      <w:pPr>
        <w:jc w:val="center"/>
        <w:rPr>
          <w:b/>
          <w:color w:val="0070C0"/>
        </w:rPr>
      </w:pPr>
    </w:p>
    <w:p w14:paraId="3A6ACF88" w14:textId="77777777" w:rsidR="00666D9F" w:rsidRPr="007B48E9" w:rsidRDefault="00666D9F" w:rsidP="00017EB1">
      <w:pPr>
        <w:jc w:val="center"/>
        <w:rPr>
          <w:b/>
          <w:color w:val="0070C0"/>
        </w:rPr>
        <w:sectPr w:rsidR="00666D9F" w:rsidRPr="007B48E9" w:rsidSect="003C76AE">
          <w:headerReference w:type="default" r:id="rId13"/>
          <w:footerReference w:type="even" r:id="rId14"/>
          <w:footerReference w:type="default" r:id="rId15"/>
          <w:pgSz w:w="11906" w:h="16838"/>
          <w:pgMar w:top="2070" w:right="1417" w:bottom="1417" w:left="1440" w:header="708" w:footer="708" w:gutter="0"/>
          <w:pgNumType w:start="1"/>
          <w:cols w:space="708"/>
          <w:titlePg/>
          <w:docGrid w:linePitch="360"/>
        </w:sectPr>
      </w:pPr>
    </w:p>
    <w:p w14:paraId="2EA876DD" w14:textId="77777777" w:rsidR="00666D9F" w:rsidRPr="007B48E9" w:rsidRDefault="00666D9F" w:rsidP="00017EB1">
      <w:pPr>
        <w:jc w:val="center"/>
        <w:rPr>
          <w:b/>
          <w:color w:val="0070C0"/>
          <w:sz w:val="4"/>
          <w:szCs w:val="4"/>
        </w:rPr>
      </w:pPr>
    </w:p>
    <w:p w14:paraId="0FE4C9B0" w14:textId="77777777" w:rsidR="00666D9F" w:rsidRPr="007B48E9" w:rsidRDefault="00666D9F" w:rsidP="00017EB1">
      <w:pPr>
        <w:jc w:val="center"/>
        <w:rPr>
          <w:b/>
          <w:color w:val="0070C0"/>
          <w:sz w:val="8"/>
          <w:szCs w:val="8"/>
        </w:rPr>
      </w:pPr>
    </w:p>
    <w:p w14:paraId="571A30C4" w14:textId="77777777" w:rsidR="00666D9F" w:rsidRPr="00E33157" w:rsidRDefault="00666D9F" w:rsidP="00265B72">
      <w:pPr>
        <w:jc w:val="center"/>
        <w:rPr>
          <w:b/>
          <w:sz w:val="28"/>
          <w:szCs w:val="28"/>
        </w:rPr>
      </w:pPr>
      <w:bookmarkStart w:id="3" w:name="_Toc167005082"/>
      <w:bookmarkStart w:id="4" w:name="_Toc167181031"/>
      <w:r w:rsidRPr="00E33157">
        <w:rPr>
          <w:b/>
          <w:sz w:val="28"/>
          <w:szCs w:val="28"/>
        </w:rPr>
        <w:t>СЪДЪРЖАНИЕ</w:t>
      </w:r>
    </w:p>
    <w:p w14:paraId="22CDA227" w14:textId="77777777" w:rsidR="00666D9F" w:rsidRPr="007B48E9" w:rsidRDefault="00666D9F" w:rsidP="00265B72">
      <w:pPr>
        <w:jc w:val="center"/>
        <w:rPr>
          <w:b/>
          <w:color w:val="0070C0"/>
          <w:sz w:val="28"/>
          <w:szCs w:val="28"/>
        </w:rPr>
      </w:pPr>
    </w:p>
    <w:p w14:paraId="0F13BF17" w14:textId="694E2550" w:rsidR="001243D7" w:rsidRDefault="00666D9F">
      <w:pPr>
        <w:pStyle w:val="TOC1"/>
        <w:rPr>
          <w:rFonts w:asciiTheme="minorHAnsi" w:eastAsiaTheme="minorEastAsia" w:hAnsiTheme="minorHAnsi" w:cstheme="minorBidi"/>
          <w:b w:val="0"/>
          <w:color w:val="auto"/>
        </w:rPr>
      </w:pPr>
      <w:r w:rsidRPr="007B48E9">
        <w:rPr>
          <w:bCs/>
          <w:noProof w:val="0"/>
        </w:rPr>
        <w:fldChar w:fldCharType="begin"/>
      </w:r>
      <w:r w:rsidRPr="007B48E9">
        <w:rPr>
          <w:bCs/>
          <w:noProof w:val="0"/>
        </w:rPr>
        <w:instrText xml:space="preserve"> TOC \o "1-3" \h \z \u </w:instrText>
      </w:r>
      <w:r w:rsidRPr="007B48E9">
        <w:rPr>
          <w:bCs/>
          <w:noProof w:val="0"/>
        </w:rPr>
        <w:fldChar w:fldCharType="separate"/>
      </w:r>
      <w:hyperlink w:anchor="_Toc146037868" w:history="1">
        <w:r w:rsidR="001243D7" w:rsidRPr="00153D41">
          <w:rPr>
            <w:rStyle w:val="Hyperlink"/>
          </w:rPr>
          <w:t>Използвани съкращения</w:t>
        </w:r>
        <w:r w:rsidR="001243D7">
          <w:rPr>
            <w:webHidden/>
          </w:rPr>
          <w:tab/>
        </w:r>
        <w:r w:rsidR="001243D7">
          <w:rPr>
            <w:webHidden/>
          </w:rPr>
          <w:fldChar w:fldCharType="begin"/>
        </w:r>
        <w:r w:rsidR="001243D7">
          <w:rPr>
            <w:webHidden/>
          </w:rPr>
          <w:instrText xml:space="preserve"> PAGEREF _Toc146037868 \h </w:instrText>
        </w:r>
        <w:r w:rsidR="001243D7">
          <w:rPr>
            <w:webHidden/>
          </w:rPr>
        </w:r>
        <w:r w:rsidR="001243D7">
          <w:rPr>
            <w:webHidden/>
          </w:rPr>
          <w:fldChar w:fldCharType="separate"/>
        </w:r>
        <w:r w:rsidR="001243D7">
          <w:rPr>
            <w:webHidden/>
          </w:rPr>
          <w:t>4</w:t>
        </w:r>
        <w:r w:rsidR="001243D7">
          <w:rPr>
            <w:webHidden/>
          </w:rPr>
          <w:fldChar w:fldCharType="end"/>
        </w:r>
      </w:hyperlink>
    </w:p>
    <w:p w14:paraId="039694AD" w14:textId="1797B81A" w:rsidR="001243D7" w:rsidRDefault="001243D7">
      <w:pPr>
        <w:pStyle w:val="TOC1"/>
        <w:rPr>
          <w:rFonts w:asciiTheme="minorHAnsi" w:eastAsiaTheme="minorEastAsia" w:hAnsiTheme="minorHAnsi" w:cstheme="minorBidi"/>
          <w:b w:val="0"/>
          <w:color w:val="auto"/>
        </w:rPr>
      </w:pPr>
      <w:hyperlink w:anchor="_Toc146037869" w:history="1">
        <w:r w:rsidRPr="00153D41">
          <w:rPr>
            <w:rStyle w:val="Hyperlink"/>
            <w:bCs/>
            <w:lang w:eastAsia="en-US"/>
          </w:rPr>
          <w:t>I.</w:t>
        </w:r>
        <w:r>
          <w:rPr>
            <w:rFonts w:asciiTheme="minorHAnsi" w:eastAsiaTheme="minorEastAsia" w:hAnsiTheme="minorHAnsi" w:cstheme="minorBidi"/>
            <w:b w:val="0"/>
            <w:color w:val="auto"/>
          </w:rPr>
          <w:tab/>
        </w:r>
        <w:r w:rsidRPr="00153D41">
          <w:rPr>
            <w:rStyle w:val="Hyperlink"/>
            <w:bCs/>
            <w:lang w:eastAsia="en-US"/>
          </w:rPr>
          <w:t>АНАЛИЗ НА ОСНОВНИТЕ МАКРОИКОНОМИЧЕСКИ ПОКАЗАТЕЛИ И ТЕНДЕНЦИИ В РАЗВИТИЕТО НА ВЪНШНАТА И ВЪТРЕШНАТА ИКОНОМИЧЕСКА СРЕДА ПРЕЗ 2022 г.</w:t>
        </w:r>
        <w:r>
          <w:rPr>
            <w:webHidden/>
          </w:rPr>
          <w:tab/>
        </w:r>
        <w:r>
          <w:rPr>
            <w:webHidden/>
          </w:rPr>
          <w:fldChar w:fldCharType="begin"/>
        </w:r>
        <w:r>
          <w:rPr>
            <w:webHidden/>
          </w:rPr>
          <w:instrText xml:space="preserve"> PAGEREF _Toc146037869 \h </w:instrText>
        </w:r>
        <w:r>
          <w:rPr>
            <w:webHidden/>
          </w:rPr>
        </w:r>
        <w:r>
          <w:rPr>
            <w:webHidden/>
          </w:rPr>
          <w:fldChar w:fldCharType="separate"/>
        </w:r>
        <w:r>
          <w:rPr>
            <w:webHidden/>
          </w:rPr>
          <w:t>6</w:t>
        </w:r>
        <w:r>
          <w:rPr>
            <w:webHidden/>
          </w:rPr>
          <w:fldChar w:fldCharType="end"/>
        </w:r>
      </w:hyperlink>
    </w:p>
    <w:p w14:paraId="42D2509E" w14:textId="658FC59E" w:rsidR="001243D7" w:rsidRDefault="001243D7">
      <w:pPr>
        <w:pStyle w:val="TOC1"/>
        <w:rPr>
          <w:rFonts w:asciiTheme="minorHAnsi" w:eastAsiaTheme="minorEastAsia" w:hAnsiTheme="minorHAnsi" w:cstheme="minorBidi"/>
          <w:b w:val="0"/>
          <w:color w:val="auto"/>
        </w:rPr>
      </w:pPr>
      <w:hyperlink w:anchor="_Toc146037870" w:history="1">
        <w:r w:rsidRPr="00153D41">
          <w:rPr>
            <w:rStyle w:val="Hyperlink"/>
            <w:bCs/>
            <w:lang w:eastAsia="en-US"/>
          </w:rPr>
          <w:t>1.</w:t>
        </w:r>
        <w:r>
          <w:rPr>
            <w:rFonts w:asciiTheme="minorHAnsi" w:eastAsiaTheme="minorEastAsia" w:hAnsiTheme="minorHAnsi" w:cstheme="minorBidi"/>
            <w:b w:val="0"/>
            <w:color w:val="auto"/>
          </w:rPr>
          <w:tab/>
        </w:r>
        <w:r w:rsidRPr="00153D41">
          <w:rPr>
            <w:rStyle w:val="Hyperlink"/>
            <w:bCs/>
            <w:lang w:eastAsia="en-US"/>
          </w:rPr>
          <w:t>Макроикономическо развитие в България през 2022 г.</w:t>
        </w:r>
        <w:r>
          <w:rPr>
            <w:webHidden/>
          </w:rPr>
          <w:tab/>
        </w:r>
        <w:r>
          <w:rPr>
            <w:webHidden/>
          </w:rPr>
          <w:fldChar w:fldCharType="begin"/>
        </w:r>
        <w:r>
          <w:rPr>
            <w:webHidden/>
          </w:rPr>
          <w:instrText xml:space="preserve"> PAGEREF _Toc146037870 \h </w:instrText>
        </w:r>
        <w:r>
          <w:rPr>
            <w:webHidden/>
          </w:rPr>
        </w:r>
        <w:r>
          <w:rPr>
            <w:webHidden/>
          </w:rPr>
          <w:fldChar w:fldCharType="separate"/>
        </w:r>
        <w:r>
          <w:rPr>
            <w:webHidden/>
          </w:rPr>
          <w:t>6</w:t>
        </w:r>
        <w:r>
          <w:rPr>
            <w:webHidden/>
          </w:rPr>
          <w:fldChar w:fldCharType="end"/>
        </w:r>
      </w:hyperlink>
    </w:p>
    <w:p w14:paraId="196B97D7" w14:textId="0B521E23" w:rsidR="001243D7" w:rsidRDefault="001243D7">
      <w:pPr>
        <w:pStyle w:val="TOC3"/>
        <w:rPr>
          <w:rFonts w:asciiTheme="minorHAnsi" w:eastAsiaTheme="minorEastAsia" w:hAnsiTheme="minorHAnsi" w:cstheme="minorBidi"/>
          <w:color w:val="auto"/>
          <w:sz w:val="22"/>
          <w:szCs w:val="22"/>
        </w:rPr>
      </w:pPr>
      <w:hyperlink w:anchor="_Toc146037871" w:history="1">
        <w:r w:rsidRPr="00153D41">
          <w:rPr>
            <w:rStyle w:val="Hyperlink"/>
          </w:rPr>
          <w:t>1.1.</w:t>
        </w:r>
        <w:r>
          <w:rPr>
            <w:rFonts w:asciiTheme="minorHAnsi" w:eastAsiaTheme="minorEastAsia" w:hAnsiTheme="minorHAnsi" w:cstheme="minorBidi"/>
            <w:color w:val="auto"/>
            <w:sz w:val="22"/>
            <w:szCs w:val="22"/>
          </w:rPr>
          <w:tab/>
        </w:r>
        <w:r w:rsidRPr="00153D41">
          <w:rPr>
            <w:rStyle w:val="Hyperlink"/>
          </w:rPr>
          <w:t>Брутен вътрешен продукт</w:t>
        </w:r>
        <w:r>
          <w:rPr>
            <w:webHidden/>
          </w:rPr>
          <w:tab/>
        </w:r>
        <w:r>
          <w:rPr>
            <w:webHidden/>
          </w:rPr>
          <w:fldChar w:fldCharType="begin"/>
        </w:r>
        <w:r>
          <w:rPr>
            <w:webHidden/>
          </w:rPr>
          <w:instrText xml:space="preserve"> PAGEREF _Toc146037871 \h </w:instrText>
        </w:r>
        <w:r>
          <w:rPr>
            <w:webHidden/>
          </w:rPr>
        </w:r>
        <w:r>
          <w:rPr>
            <w:webHidden/>
          </w:rPr>
          <w:fldChar w:fldCharType="separate"/>
        </w:r>
        <w:r>
          <w:rPr>
            <w:webHidden/>
          </w:rPr>
          <w:t>6</w:t>
        </w:r>
        <w:r>
          <w:rPr>
            <w:webHidden/>
          </w:rPr>
          <w:fldChar w:fldCharType="end"/>
        </w:r>
      </w:hyperlink>
    </w:p>
    <w:p w14:paraId="4FACCFCC" w14:textId="5ED6B2F1" w:rsidR="001243D7" w:rsidRDefault="001243D7">
      <w:pPr>
        <w:pStyle w:val="TOC3"/>
        <w:rPr>
          <w:rFonts w:asciiTheme="minorHAnsi" w:eastAsiaTheme="minorEastAsia" w:hAnsiTheme="minorHAnsi" w:cstheme="minorBidi"/>
          <w:color w:val="auto"/>
          <w:sz w:val="22"/>
          <w:szCs w:val="22"/>
        </w:rPr>
      </w:pPr>
      <w:hyperlink w:anchor="_Toc146037872" w:history="1">
        <w:r w:rsidRPr="00153D41">
          <w:rPr>
            <w:rStyle w:val="Hyperlink"/>
          </w:rPr>
          <w:t>1.2.</w:t>
        </w:r>
        <w:r>
          <w:rPr>
            <w:rFonts w:asciiTheme="minorHAnsi" w:eastAsiaTheme="minorEastAsia" w:hAnsiTheme="minorHAnsi" w:cstheme="minorBidi"/>
            <w:color w:val="auto"/>
            <w:sz w:val="22"/>
            <w:szCs w:val="22"/>
          </w:rPr>
          <w:tab/>
        </w:r>
        <w:r w:rsidRPr="00153D41">
          <w:rPr>
            <w:rStyle w:val="Hyperlink"/>
          </w:rPr>
          <w:t>Пазар на труда</w:t>
        </w:r>
        <w:r>
          <w:rPr>
            <w:webHidden/>
          </w:rPr>
          <w:tab/>
        </w:r>
        <w:r>
          <w:rPr>
            <w:webHidden/>
          </w:rPr>
          <w:fldChar w:fldCharType="begin"/>
        </w:r>
        <w:r>
          <w:rPr>
            <w:webHidden/>
          </w:rPr>
          <w:instrText xml:space="preserve"> PAGEREF _Toc146037872 \h </w:instrText>
        </w:r>
        <w:r>
          <w:rPr>
            <w:webHidden/>
          </w:rPr>
        </w:r>
        <w:r>
          <w:rPr>
            <w:webHidden/>
          </w:rPr>
          <w:fldChar w:fldCharType="separate"/>
        </w:r>
        <w:r>
          <w:rPr>
            <w:webHidden/>
          </w:rPr>
          <w:t>7</w:t>
        </w:r>
        <w:r>
          <w:rPr>
            <w:webHidden/>
          </w:rPr>
          <w:fldChar w:fldCharType="end"/>
        </w:r>
      </w:hyperlink>
    </w:p>
    <w:p w14:paraId="33ACA3E5" w14:textId="53B682D9" w:rsidR="001243D7" w:rsidRDefault="001243D7">
      <w:pPr>
        <w:pStyle w:val="TOC3"/>
        <w:rPr>
          <w:rFonts w:asciiTheme="minorHAnsi" w:eastAsiaTheme="minorEastAsia" w:hAnsiTheme="minorHAnsi" w:cstheme="minorBidi"/>
          <w:color w:val="auto"/>
          <w:sz w:val="22"/>
          <w:szCs w:val="22"/>
        </w:rPr>
      </w:pPr>
      <w:hyperlink w:anchor="_Toc146037873" w:history="1">
        <w:r w:rsidRPr="00153D41">
          <w:rPr>
            <w:rStyle w:val="Hyperlink"/>
          </w:rPr>
          <w:t>1.3.</w:t>
        </w:r>
        <w:r>
          <w:rPr>
            <w:rFonts w:asciiTheme="minorHAnsi" w:eastAsiaTheme="minorEastAsia" w:hAnsiTheme="minorHAnsi" w:cstheme="minorBidi"/>
            <w:color w:val="auto"/>
            <w:sz w:val="22"/>
            <w:szCs w:val="22"/>
          </w:rPr>
          <w:tab/>
        </w:r>
        <w:r w:rsidRPr="00153D41">
          <w:rPr>
            <w:rStyle w:val="Hyperlink"/>
          </w:rPr>
          <w:t>Инфлация</w:t>
        </w:r>
        <w:r>
          <w:rPr>
            <w:webHidden/>
          </w:rPr>
          <w:tab/>
        </w:r>
        <w:r>
          <w:rPr>
            <w:webHidden/>
          </w:rPr>
          <w:fldChar w:fldCharType="begin"/>
        </w:r>
        <w:r>
          <w:rPr>
            <w:webHidden/>
          </w:rPr>
          <w:instrText xml:space="preserve"> PAGEREF _Toc146037873 \h </w:instrText>
        </w:r>
        <w:r>
          <w:rPr>
            <w:webHidden/>
          </w:rPr>
        </w:r>
        <w:r>
          <w:rPr>
            <w:webHidden/>
          </w:rPr>
          <w:fldChar w:fldCharType="separate"/>
        </w:r>
        <w:r>
          <w:rPr>
            <w:webHidden/>
          </w:rPr>
          <w:t>8</w:t>
        </w:r>
        <w:r>
          <w:rPr>
            <w:webHidden/>
          </w:rPr>
          <w:fldChar w:fldCharType="end"/>
        </w:r>
      </w:hyperlink>
    </w:p>
    <w:p w14:paraId="0118596B" w14:textId="7FBAF603" w:rsidR="001243D7" w:rsidRDefault="001243D7">
      <w:pPr>
        <w:pStyle w:val="TOC3"/>
        <w:rPr>
          <w:rFonts w:asciiTheme="minorHAnsi" w:eastAsiaTheme="minorEastAsia" w:hAnsiTheme="minorHAnsi" w:cstheme="minorBidi"/>
          <w:color w:val="auto"/>
          <w:sz w:val="22"/>
          <w:szCs w:val="22"/>
        </w:rPr>
      </w:pPr>
      <w:hyperlink w:anchor="_Toc146037874" w:history="1">
        <w:r w:rsidRPr="00153D41">
          <w:rPr>
            <w:rStyle w:val="Hyperlink"/>
          </w:rPr>
          <w:t>1.4.</w:t>
        </w:r>
        <w:r>
          <w:rPr>
            <w:rFonts w:asciiTheme="minorHAnsi" w:eastAsiaTheme="minorEastAsia" w:hAnsiTheme="minorHAnsi" w:cstheme="minorBidi"/>
            <w:color w:val="auto"/>
            <w:sz w:val="22"/>
            <w:szCs w:val="22"/>
          </w:rPr>
          <w:tab/>
        </w:r>
        <w:r w:rsidRPr="00153D41">
          <w:rPr>
            <w:rStyle w:val="Hyperlink"/>
          </w:rPr>
          <w:t>Външен сектор</w:t>
        </w:r>
        <w:r>
          <w:rPr>
            <w:webHidden/>
          </w:rPr>
          <w:tab/>
        </w:r>
        <w:r>
          <w:rPr>
            <w:webHidden/>
          </w:rPr>
          <w:fldChar w:fldCharType="begin"/>
        </w:r>
        <w:r>
          <w:rPr>
            <w:webHidden/>
          </w:rPr>
          <w:instrText xml:space="preserve"> PAGEREF _Toc146037874 \h </w:instrText>
        </w:r>
        <w:r>
          <w:rPr>
            <w:webHidden/>
          </w:rPr>
        </w:r>
        <w:r>
          <w:rPr>
            <w:webHidden/>
          </w:rPr>
          <w:fldChar w:fldCharType="separate"/>
        </w:r>
        <w:r>
          <w:rPr>
            <w:webHidden/>
          </w:rPr>
          <w:t>9</w:t>
        </w:r>
        <w:r>
          <w:rPr>
            <w:webHidden/>
          </w:rPr>
          <w:fldChar w:fldCharType="end"/>
        </w:r>
      </w:hyperlink>
    </w:p>
    <w:p w14:paraId="1E2B0D74" w14:textId="58BAD380" w:rsidR="001243D7" w:rsidRDefault="001243D7">
      <w:pPr>
        <w:pStyle w:val="TOC3"/>
        <w:rPr>
          <w:rFonts w:asciiTheme="minorHAnsi" w:eastAsiaTheme="minorEastAsia" w:hAnsiTheme="minorHAnsi" w:cstheme="minorBidi"/>
          <w:color w:val="auto"/>
          <w:sz w:val="22"/>
          <w:szCs w:val="22"/>
        </w:rPr>
      </w:pPr>
      <w:hyperlink w:anchor="_Toc146037875" w:history="1">
        <w:r w:rsidRPr="00153D41">
          <w:rPr>
            <w:rStyle w:val="Hyperlink"/>
          </w:rPr>
          <w:t>1.5.</w:t>
        </w:r>
        <w:r>
          <w:rPr>
            <w:rFonts w:asciiTheme="minorHAnsi" w:eastAsiaTheme="minorEastAsia" w:hAnsiTheme="minorHAnsi" w:cstheme="minorBidi"/>
            <w:color w:val="auto"/>
            <w:sz w:val="22"/>
            <w:szCs w:val="22"/>
          </w:rPr>
          <w:tab/>
        </w:r>
        <w:r w:rsidRPr="00153D41">
          <w:rPr>
            <w:rStyle w:val="Hyperlink"/>
          </w:rPr>
          <w:t>Паричен сектор</w:t>
        </w:r>
        <w:r>
          <w:rPr>
            <w:webHidden/>
          </w:rPr>
          <w:tab/>
        </w:r>
        <w:r>
          <w:rPr>
            <w:webHidden/>
          </w:rPr>
          <w:fldChar w:fldCharType="begin"/>
        </w:r>
        <w:r>
          <w:rPr>
            <w:webHidden/>
          </w:rPr>
          <w:instrText xml:space="preserve"> PAGEREF _Toc146037875 \h </w:instrText>
        </w:r>
        <w:r>
          <w:rPr>
            <w:webHidden/>
          </w:rPr>
        </w:r>
        <w:r>
          <w:rPr>
            <w:webHidden/>
          </w:rPr>
          <w:fldChar w:fldCharType="separate"/>
        </w:r>
        <w:r>
          <w:rPr>
            <w:webHidden/>
          </w:rPr>
          <w:t>11</w:t>
        </w:r>
        <w:r>
          <w:rPr>
            <w:webHidden/>
          </w:rPr>
          <w:fldChar w:fldCharType="end"/>
        </w:r>
      </w:hyperlink>
    </w:p>
    <w:p w14:paraId="74AFDBBA" w14:textId="58951D79" w:rsidR="001243D7" w:rsidRDefault="001243D7">
      <w:pPr>
        <w:pStyle w:val="TOC1"/>
        <w:rPr>
          <w:rFonts w:asciiTheme="minorHAnsi" w:eastAsiaTheme="minorEastAsia" w:hAnsiTheme="minorHAnsi" w:cstheme="minorBidi"/>
          <w:b w:val="0"/>
          <w:color w:val="auto"/>
        </w:rPr>
      </w:pPr>
      <w:hyperlink w:anchor="_Toc146037876" w:history="1">
        <w:r w:rsidRPr="00153D41">
          <w:rPr>
            <w:rStyle w:val="Hyperlink"/>
            <w:bCs/>
          </w:rPr>
          <w:t>2.</w:t>
        </w:r>
        <w:r>
          <w:rPr>
            <w:rFonts w:asciiTheme="minorHAnsi" w:eastAsiaTheme="minorEastAsia" w:hAnsiTheme="minorHAnsi" w:cstheme="minorBidi"/>
            <w:b w:val="0"/>
            <w:color w:val="auto"/>
          </w:rPr>
          <w:tab/>
        </w:r>
        <w:r w:rsidRPr="00153D41">
          <w:rPr>
            <w:rStyle w:val="Hyperlink"/>
            <w:bCs/>
          </w:rPr>
          <w:t>Съпоставка на отчетните данни с допусканията и параметрите, заложени в макроикономическата прогноза по Закона за изменение и допълнение на Закона за държавния бюджет на Република България за 2022 г.</w:t>
        </w:r>
        <w:r>
          <w:rPr>
            <w:webHidden/>
          </w:rPr>
          <w:tab/>
        </w:r>
        <w:r>
          <w:rPr>
            <w:webHidden/>
          </w:rPr>
          <w:fldChar w:fldCharType="begin"/>
        </w:r>
        <w:r>
          <w:rPr>
            <w:webHidden/>
          </w:rPr>
          <w:instrText xml:space="preserve"> PAGEREF _Toc146037876 \h </w:instrText>
        </w:r>
        <w:r>
          <w:rPr>
            <w:webHidden/>
          </w:rPr>
        </w:r>
        <w:r>
          <w:rPr>
            <w:webHidden/>
          </w:rPr>
          <w:fldChar w:fldCharType="separate"/>
        </w:r>
        <w:r>
          <w:rPr>
            <w:webHidden/>
          </w:rPr>
          <w:t>12</w:t>
        </w:r>
        <w:r>
          <w:rPr>
            <w:webHidden/>
          </w:rPr>
          <w:fldChar w:fldCharType="end"/>
        </w:r>
      </w:hyperlink>
    </w:p>
    <w:p w14:paraId="198D69F1" w14:textId="45983EDE" w:rsidR="001243D7" w:rsidRDefault="001243D7">
      <w:pPr>
        <w:pStyle w:val="TOC1"/>
        <w:rPr>
          <w:rFonts w:asciiTheme="minorHAnsi" w:eastAsiaTheme="minorEastAsia" w:hAnsiTheme="minorHAnsi" w:cstheme="minorBidi"/>
          <w:b w:val="0"/>
          <w:color w:val="auto"/>
        </w:rPr>
      </w:pPr>
      <w:hyperlink w:anchor="_Toc146037877" w:history="1">
        <w:r w:rsidRPr="00153D41">
          <w:rPr>
            <w:rStyle w:val="Hyperlink"/>
            <w:bCs/>
          </w:rPr>
          <w:t>3.</w:t>
        </w:r>
        <w:r>
          <w:rPr>
            <w:rFonts w:asciiTheme="minorHAnsi" w:eastAsiaTheme="minorEastAsia" w:hAnsiTheme="minorHAnsi" w:cstheme="minorBidi"/>
            <w:b w:val="0"/>
            <w:color w:val="auto"/>
          </w:rPr>
          <w:tab/>
        </w:r>
        <w:r w:rsidRPr="00153D41">
          <w:rPr>
            <w:rStyle w:val="Hyperlink"/>
            <w:bCs/>
          </w:rPr>
          <w:t>Оценка на въздействието на политиката на разходите в бюджетния сектор върху развитието на националната икономика</w:t>
        </w:r>
        <w:r>
          <w:rPr>
            <w:webHidden/>
          </w:rPr>
          <w:tab/>
        </w:r>
        <w:r>
          <w:rPr>
            <w:webHidden/>
          </w:rPr>
          <w:fldChar w:fldCharType="begin"/>
        </w:r>
        <w:r>
          <w:rPr>
            <w:webHidden/>
          </w:rPr>
          <w:instrText xml:space="preserve"> PAGEREF _Toc146037877 \h </w:instrText>
        </w:r>
        <w:r>
          <w:rPr>
            <w:webHidden/>
          </w:rPr>
        </w:r>
        <w:r>
          <w:rPr>
            <w:webHidden/>
          </w:rPr>
          <w:fldChar w:fldCharType="separate"/>
        </w:r>
        <w:r>
          <w:rPr>
            <w:webHidden/>
          </w:rPr>
          <w:t>15</w:t>
        </w:r>
        <w:r>
          <w:rPr>
            <w:webHidden/>
          </w:rPr>
          <w:fldChar w:fldCharType="end"/>
        </w:r>
      </w:hyperlink>
    </w:p>
    <w:p w14:paraId="61260C0E" w14:textId="13D2B716" w:rsidR="001243D7" w:rsidRDefault="001243D7">
      <w:pPr>
        <w:pStyle w:val="TOC1"/>
        <w:rPr>
          <w:rFonts w:asciiTheme="minorHAnsi" w:eastAsiaTheme="minorEastAsia" w:hAnsiTheme="minorHAnsi" w:cstheme="minorBidi"/>
          <w:b w:val="0"/>
          <w:color w:val="auto"/>
        </w:rPr>
      </w:pPr>
      <w:hyperlink w:anchor="_Toc146037878" w:history="1">
        <w:r w:rsidRPr="00153D41">
          <w:rPr>
            <w:rStyle w:val="Hyperlink"/>
          </w:rPr>
          <w:t>ІІ. ФИСКАЛНИ РАЗВИТИЯ ПРЕЗ 202</w:t>
        </w:r>
        <w:r w:rsidRPr="00153D41">
          <w:rPr>
            <w:rStyle w:val="Hyperlink"/>
            <w:lang w:val="ru-RU"/>
          </w:rPr>
          <w:t>2</w:t>
        </w:r>
        <w:r w:rsidRPr="00153D41">
          <w:rPr>
            <w:rStyle w:val="Hyperlink"/>
          </w:rPr>
          <w:t xml:space="preserve"> г.</w:t>
        </w:r>
        <w:r>
          <w:rPr>
            <w:webHidden/>
          </w:rPr>
          <w:tab/>
        </w:r>
        <w:r>
          <w:rPr>
            <w:webHidden/>
          </w:rPr>
          <w:fldChar w:fldCharType="begin"/>
        </w:r>
        <w:r>
          <w:rPr>
            <w:webHidden/>
          </w:rPr>
          <w:instrText xml:space="preserve"> PAGEREF _Toc146037878 \h </w:instrText>
        </w:r>
        <w:r>
          <w:rPr>
            <w:webHidden/>
          </w:rPr>
        </w:r>
        <w:r>
          <w:rPr>
            <w:webHidden/>
          </w:rPr>
          <w:fldChar w:fldCharType="separate"/>
        </w:r>
        <w:r>
          <w:rPr>
            <w:webHidden/>
          </w:rPr>
          <w:t>16</w:t>
        </w:r>
        <w:r>
          <w:rPr>
            <w:webHidden/>
          </w:rPr>
          <w:fldChar w:fldCharType="end"/>
        </w:r>
      </w:hyperlink>
    </w:p>
    <w:p w14:paraId="0BA95632" w14:textId="14B63571" w:rsidR="001243D7" w:rsidRDefault="001243D7">
      <w:pPr>
        <w:pStyle w:val="TOC1"/>
        <w:rPr>
          <w:rFonts w:asciiTheme="minorHAnsi" w:eastAsiaTheme="minorEastAsia" w:hAnsiTheme="minorHAnsi" w:cstheme="minorBidi"/>
          <w:b w:val="0"/>
          <w:color w:val="auto"/>
        </w:rPr>
      </w:pPr>
      <w:hyperlink w:anchor="_Toc146037879" w:history="1">
        <w:r w:rsidRPr="00153D41">
          <w:rPr>
            <w:rStyle w:val="Hyperlink"/>
            <w:bCs/>
            <w:lang w:eastAsia="en-US"/>
          </w:rPr>
          <w:t>1.</w:t>
        </w:r>
        <w:r>
          <w:rPr>
            <w:rFonts w:asciiTheme="minorHAnsi" w:eastAsiaTheme="minorEastAsia" w:hAnsiTheme="minorHAnsi" w:cstheme="minorBidi"/>
            <w:b w:val="0"/>
            <w:color w:val="auto"/>
          </w:rPr>
          <w:tab/>
        </w:r>
        <w:r w:rsidRPr="00153D41">
          <w:rPr>
            <w:rStyle w:val="Hyperlink"/>
            <w:bCs/>
            <w:lang w:eastAsia="en-US"/>
          </w:rPr>
          <w:t>Бюджетна рамка и фискални развития</w:t>
        </w:r>
        <w:r>
          <w:rPr>
            <w:webHidden/>
          </w:rPr>
          <w:tab/>
        </w:r>
        <w:r>
          <w:rPr>
            <w:webHidden/>
          </w:rPr>
          <w:fldChar w:fldCharType="begin"/>
        </w:r>
        <w:r>
          <w:rPr>
            <w:webHidden/>
          </w:rPr>
          <w:instrText xml:space="preserve"> PAGEREF _Toc146037879 \h </w:instrText>
        </w:r>
        <w:r>
          <w:rPr>
            <w:webHidden/>
          </w:rPr>
        </w:r>
        <w:r>
          <w:rPr>
            <w:webHidden/>
          </w:rPr>
          <w:fldChar w:fldCharType="separate"/>
        </w:r>
        <w:r>
          <w:rPr>
            <w:webHidden/>
          </w:rPr>
          <w:t>16</w:t>
        </w:r>
        <w:r>
          <w:rPr>
            <w:webHidden/>
          </w:rPr>
          <w:fldChar w:fldCharType="end"/>
        </w:r>
      </w:hyperlink>
    </w:p>
    <w:p w14:paraId="7A5C7F39" w14:textId="418F8152" w:rsidR="001243D7" w:rsidRDefault="001243D7">
      <w:pPr>
        <w:pStyle w:val="TOC3"/>
        <w:rPr>
          <w:rFonts w:asciiTheme="minorHAnsi" w:eastAsiaTheme="minorEastAsia" w:hAnsiTheme="minorHAnsi" w:cstheme="minorBidi"/>
          <w:color w:val="auto"/>
          <w:sz w:val="22"/>
          <w:szCs w:val="22"/>
        </w:rPr>
      </w:pPr>
      <w:hyperlink w:anchor="_Toc146037880" w:history="1">
        <w:r w:rsidRPr="00153D41">
          <w:rPr>
            <w:rStyle w:val="Hyperlink"/>
            <w:lang w:val="ru-RU"/>
          </w:rPr>
          <w:t>1.1</w:t>
        </w:r>
        <w:r>
          <w:rPr>
            <w:rFonts w:asciiTheme="minorHAnsi" w:eastAsiaTheme="minorEastAsia" w:hAnsiTheme="minorHAnsi" w:cstheme="minorBidi"/>
            <w:color w:val="auto"/>
            <w:sz w:val="22"/>
            <w:szCs w:val="22"/>
          </w:rPr>
          <w:tab/>
        </w:r>
        <w:r w:rsidRPr="00153D41">
          <w:rPr>
            <w:rStyle w:val="Hyperlink"/>
            <w:lang w:val="ru-RU"/>
          </w:rPr>
          <w:t>Програми за компенсации за високите цени на електрическата енергия и природния газ</w:t>
        </w:r>
        <w:r>
          <w:rPr>
            <w:webHidden/>
          </w:rPr>
          <w:tab/>
        </w:r>
        <w:r>
          <w:rPr>
            <w:webHidden/>
          </w:rPr>
          <w:fldChar w:fldCharType="begin"/>
        </w:r>
        <w:r>
          <w:rPr>
            <w:webHidden/>
          </w:rPr>
          <w:instrText xml:space="preserve"> PAGEREF _Toc146037880 \h </w:instrText>
        </w:r>
        <w:r>
          <w:rPr>
            <w:webHidden/>
          </w:rPr>
        </w:r>
        <w:r>
          <w:rPr>
            <w:webHidden/>
          </w:rPr>
          <w:fldChar w:fldCharType="separate"/>
        </w:r>
        <w:r>
          <w:rPr>
            <w:webHidden/>
          </w:rPr>
          <w:t>27</w:t>
        </w:r>
        <w:r>
          <w:rPr>
            <w:webHidden/>
          </w:rPr>
          <w:fldChar w:fldCharType="end"/>
        </w:r>
      </w:hyperlink>
    </w:p>
    <w:p w14:paraId="49899D5A" w14:textId="3ADBD13C" w:rsidR="001243D7" w:rsidRDefault="001243D7">
      <w:pPr>
        <w:pStyle w:val="TOC3"/>
        <w:rPr>
          <w:rFonts w:asciiTheme="minorHAnsi" w:eastAsiaTheme="minorEastAsia" w:hAnsiTheme="minorHAnsi" w:cstheme="minorBidi"/>
          <w:color w:val="auto"/>
          <w:sz w:val="22"/>
          <w:szCs w:val="22"/>
        </w:rPr>
      </w:pPr>
      <w:hyperlink w:anchor="_Toc146037881" w:history="1">
        <w:r w:rsidRPr="00153D41">
          <w:rPr>
            <w:rStyle w:val="Hyperlink"/>
          </w:rPr>
          <w:t>1.2</w:t>
        </w:r>
        <w:r>
          <w:rPr>
            <w:rFonts w:asciiTheme="minorHAnsi" w:eastAsiaTheme="minorEastAsia" w:hAnsiTheme="minorHAnsi" w:cstheme="minorBidi"/>
            <w:color w:val="auto"/>
            <w:sz w:val="22"/>
            <w:szCs w:val="22"/>
          </w:rPr>
          <w:tab/>
        </w:r>
        <w:r w:rsidRPr="00153D41">
          <w:rPr>
            <w:rStyle w:val="Hyperlink"/>
            <w:lang w:val="ru-RU"/>
          </w:rPr>
          <w:t>Информация за разходи, свързани с хуманитарната криза породена от военните действия в Украйна</w:t>
        </w:r>
        <w:r>
          <w:rPr>
            <w:webHidden/>
          </w:rPr>
          <w:tab/>
        </w:r>
        <w:r>
          <w:rPr>
            <w:webHidden/>
          </w:rPr>
          <w:fldChar w:fldCharType="begin"/>
        </w:r>
        <w:r>
          <w:rPr>
            <w:webHidden/>
          </w:rPr>
          <w:instrText xml:space="preserve"> PAGEREF _Toc146037881 \h </w:instrText>
        </w:r>
        <w:r>
          <w:rPr>
            <w:webHidden/>
          </w:rPr>
        </w:r>
        <w:r>
          <w:rPr>
            <w:webHidden/>
          </w:rPr>
          <w:fldChar w:fldCharType="separate"/>
        </w:r>
        <w:r>
          <w:rPr>
            <w:webHidden/>
          </w:rPr>
          <w:t>29</w:t>
        </w:r>
        <w:r>
          <w:rPr>
            <w:webHidden/>
          </w:rPr>
          <w:fldChar w:fldCharType="end"/>
        </w:r>
      </w:hyperlink>
    </w:p>
    <w:p w14:paraId="3F66520C" w14:textId="343B16C8" w:rsidR="001243D7" w:rsidRDefault="001243D7">
      <w:pPr>
        <w:pStyle w:val="TOC3"/>
        <w:rPr>
          <w:rFonts w:asciiTheme="minorHAnsi" w:eastAsiaTheme="minorEastAsia" w:hAnsiTheme="minorHAnsi" w:cstheme="minorBidi"/>
          <w:color w:val="auto"/>
          <w:sz w:val="22"/>
          <w:szCs w:val="22"/>
        </w:rPr>
      </w:pPr>
      <w:hyperlink w:anchor="_Toc146037882" w:history="1">
        <w:r w:rsidRPr="00153D41">
          <w:rPr>
            <w:rStyle w:val="Hyperlink"/>
          </w:rPr>
          <w:t>1.3</w:t>
        </w:r>
        <w:r>
          <w:rPr>
            <w:rFonts w:asciiTheme="minorHAnsi" w:eastAsiaTheme="minorEastAsia" w:hAnsiTheme="minorHAnsi" w:cstheme="minorBidi"/>
            <w:color w:val="auto"/>
            <w:sz w:val="22"/>
            <w:szCs w:val="22"/>
          </w:rPr>
          <w:tab/>
        </w:r>
        <w:r w:rsidRPr="00153D41">
          <w:rPr>
            <w:rStyle w:val="Hyperlink"/>
          </w:rPr>
          <w:t>Информация за разходите по реда на чл. 110 от ЗДБРБ за 2022 г.</w:t>
        </w:r>
        <w:r>
          <w:rPr>
            <w:webHidden/>
          </w:rPr>
          <w:tab/>
        </w:r>
        <w:r>
          <w:rPr>
            <w:webHidden/>
          </w:rPr>
          <w:fldChar w:fldCharType="begin"/>
        </w:r>
        <w:r>
          <w:rPr>
            <w:webHidden/>
          </w:rPr>
          <w:instrText xml:space="preserve"> PAGEREF _Toc146037882 \h </w:instrText>
        </w:r>
        <w:r>
          <w:rPr>
            <w:webHidden/>
          </w:rPr>
        </w:r>
        <w:r>
          <w:rPr>
            <w:webHidden/>
          </w:rPr>
          <w:fldChar w:fldCharType="separate"/>
        </w:r>
        <w:r>
          <w:rPr>
            <w:webHidden/>
          </w:rPr>
          <w:t>31</w:t>
        </w:r>
        <w:r>
          <w:rPr>
            <w:webHidden/>
          </w:rPr>
          <w:fldChar w:fldCharType="end"/>
        </w:r>
      </w:hyperlink>
    </w:p>
    <w:p w14:paraId="536673B8" w14:textId="045FF067" w:rsidR="001243D7" w:rsidRDefault="001243D7">
      <w:pPr>
        <w:pStyle w:val="TOC3"/>
        <w:rPr>
          <w:rFonts w:asciiTheme="minorHAnsi" w:eastAsiaTheme="minorEastAsia" w:hAnsiTheme="minorHAnsi" w:cstheme="minorBidi"/>
          <w:color w:val="auto"/>
          <w:sz w:val="22"/>
          <w:szCs w:val="22"/>
        </w:rPr>
      </w:pPr>
      <w:hyperlink w:anchor="_Toc146037883" w:history="1">
        <w:r w:rsidRPr="00153D41">
          <w:rPr>
            <w:rStyle w:val="Hyperlink"/>
          </w:rPr>
          <w:t>1.4</w:t>
        </w:r>
        <w:r>
          <w:rPr>
            <w:rFonts w:asciiTheme="minorHAnsi" w:eastAsiaTheme="minorEastAsia" w:hAnsiTheme="minorHAnsi" w:cstheme="minorBidi"/>
            <w:color w:val="auto"/>
            <w:sz w:val="22"/>
            <w:szCs w:val="22"/>
          </w:rPr>
          <w:tab/>
        </w:r>
        <w:r w:rsidRPr="00153D41">
          <w:rPr>
            <w:rStyle w:val="Hyperlink"/>
          </w:rPr>
          <w:t>Информация за ефектите в приходите и разходите от мерките за борба с COVID-19 и преодоляване на социално-икономическите последствия от пандемията</w:t>
        </w:r>
        <w:r>
          <w:rPr>
            <w:webHidden/>
          </w:rPr>
          <w:tab/>
        </w:r>
        <w:r>
          <w:rPr>
            <w:webHidden/>
          </w:rPr>
          <w:fldChar w:fldCharType="begin"/>
        </w:r>
        <w:r>
          <w:rPr>
            <w:webHidden/>
          </w:rPr>
          <w:instrText xml:space="preserve"> PAGEREF _Toc146037883 \h </w:instrText>
        </w:r>
        <w:r>
          <w:rPr>
            <w:webHidden/>
          </w:rPr>
        </w:r>
        <w:r>
          <w:rPr>
            <w:webHidden/>
          </w:rPr>
          <w:fldChar w:fldCharType="separate"/>
        </w:r>
        <w:r>
          <w:rPr>
            <w:webHidden/>
          </w:rPr>
          <w:t>32</w:t>
        </w:r>
        <w:r>
          <w:rPr>
            <w:webHidden/>
          </w:rPr>
          <w:fldChar w:fldCharType="end"/>
        </w:r>
      </w:hyperlink>
    </w:p>
    <w:p w14:paraId="1C724020" w14:textId="08097FA9" w:rsidR="001243D7" w:rsidRDefault="001243D7">
      <w:pPr>
        <w:pStyle w:val="TOC3"/>
        <w:rPr>
          <w:rFonts w:asciiTheme="minorHAnsi" w:eastAsiaTheme="minorEastAsia" w:hAnsiTheme="minorHAnsi" w:cstheme="minorBidi"/>
          <w:color w:val="auto"/>
          <w:sz w:val="22"/>
          <w:szCs w:val="22"/>
        </w:rPr>
      </w:pPr>
      <w:hyperlink w:anchor="_Toc146037884" w:history="1">
        <w:r w:rsidRPr="00153D41">
          <w:rPr>
            <w:rStyle w:val="Hyperlink"/>
          </w:rPr>
          <w:t>1.5</w:t>
        </w:r>
        <w:r>
          <w:rPr>
            <w:rFonts w:asciiTheme="minorHAnsi" w:eastAsiaTheme="minorEastAsia" w:hAnsiTheme="minorHAnsi" w:cstheme="minorBidi"/>
            <w:color w:val="auto"/>
            <w:sz w:val="22"/>
            <w:szCs w:val="22"/>
          </w:rPr>
          <w:tab/>
        </w:r>
        <w:r w:rsidRPr="00153D41">
          <w:rPr>
            <w:rStyle w:val="Hyperlink"/>
          </w:rPr>
          <w:t>Изпълнение на основните дискреционни мерки за 202</w:t>
        </w:r>
        <w:r w:rsidRPr="00153D41">
          <w:rPr>
            <w:rStyle w:val="Hyperlink"/>
            <w:lang w:val="ru-RU"/>
          </w:rPr>
          <w:t>2</w:t>
        </w:r>
        <w:r w:rsidRPr="00153D41">
          <w:rPr>
            <w:rStyle w:val="Hyperlink"/>
          </w:rPr>
          <w:t xml:space="preserve"> г.</w:t>
        </w:r>
        <w:r>
          <w:rPr>
            <w:webHidden/>
          </w:rPr>
          <w:tab/>
        </w:r>
        <w:r>
          <w:rPr>
            <w:webHidden/>
          </w:rPr>
          <w:fldChar w:fldCharType="begin"/>
        </w:r>
        <w:r>
          <w:rPr>
            <w:webHidden/>
          </w:rPr>
          <w:instrText xml:space="preserve"> PAGEREF _Toc146037884 \h </w:instrText>
        </w:r>
        <w:r>
          <w:rPr>
            <w:webHidden/>
          </w:rPr>
        </w:r>
        <w:r>
          <w:rPr>
            <w:webHidden/>
          </w:rPr>
          <w:fldChar w:fldCharType="separate"/>
        </w:r>
        <w:r>
          <w:rPr>
            <w:webHidden/>
          </w:rPr>
          <w:t>35</w:t>
        </w:r>
        <w:r>
          <w:rPr>
            <w:webHidden/>
          </w:rPr>
          <w:fldChar w:fldCharType="end"/>
        </w:r>
      </w:hyperlink>
    </w:p>
    <w:p w14:paraId="6612BCC7" w14:textId="67EED14D" w:rsidR="001243D7" w:rsidRDefault="001243D7">
      <w:pPr>
        <w:pStyle w:val="TOC3"/>
        <w:rPr>
          <w:rFonts w:asciiTheme="minorHAnsi" w:eastAsiaTheme="minorEastAsia" w:hAnsiTheme="minorHAnsi" w:cstheme="minorBidi"/>
          <w:color w:val="auto"/>
          <w:sz w:val="22"/>
          <w:szCs w:val="22"/>
        </w:rPr>
      </w:pPr>
      <w:hyperlink w:anchor="_Toc146037885" w:history="1">
        <w:r w:rsidRPr="00153D41">
          <w:rPr>
            <w:rStyle w:val="Hyperlink"/>
          </w:rPr>
          <w:t>1.6</w:t>
        </w:r>
        <w:r>
          <w:rPr>
            <w:rFonts w:asciiTheme="minorHAnsi" w:eastAsiaTheme="minorEastAsia" w:hAnsiTheme="minorHAnsi" w:cstheme="minorBidi"/>
            <w:color w:val="auto"/>
            <w:sz w:val="22"/>
            <w:szCs w:val="22"/>
          </w:rPr>
          <w:tab/>
        </w:r>
        <w:r w:rsidRPr="00153D41">
          <w:rPr>
            <w:rStyle w:val="Hyperlink"/>
          </w:rPr>
          <w:t>Промени в данъчното облагане през 2022 г.</w:t>
        </w:r>
        <w:r>
          <w:rPr>
            <w:webHidden/>
          </w:rPr>
          <w:tab/>
        </w:r>
        <w:r>
          <w:rPr>
            <w:webHidden/>
          </w:rPr>
          <w:fldChar w:fldCharType="begin"/>
        </w:r>
        <w:r>
          <w:rPr>
            <w:webHidden/>
          </w:rPr>
          <w:instrText xml:space="preserve"> PAGEREF _Toc146037885 \h </w:instrText>
        </w:r>
        <w:r>
          <w:rPr>
            <w:webHidden/>
          </w:rPr>
        </w:r>
        <w:r>
          <w:rPr>
            <w:webHidden/>
          </w:rPr>
          <w:fldChar w:fldCharType="separate"/>
        </w:r>
        <w:r>
          <w:rPr>
            <w:webHidden/>
          </w:rPr>
          <w:t>41</w:t>
        </w:r>
        <w:r>
          <w:rPr>
            <w:webHidden/>
          </w:rPr>
          <w:fldChar w:fldCharType="end"/>
        </w:r>
      </w:hyperlink>
    </w:p>
    <w:p w14:paraId="77E0FE20" w14:textId="18421678" w:rsidR="001243D7" w:rsidRDefault="001243D7">
      <w:pPr>
        <w:pStyle w:val="TOC3"/>
        <w:rPr>
          <w:rFonts w:asciiTheme="minorHAnsi" w:eastAsiaTheme="minorEastAsia" w:hAnsiTheme="minorHAnsi" w:cstheme="minorBidi"/>
          <w:color w:val="auto"/>
          <w:sz w:val="22"/>
          <w:szCs w:val="22"/>
        </w:rPr>
      </w:pPr>
      <w:hyperlink w:anchor="_Toc146037886" w:history="1">
        <w:r w:rsidRPr="00153D41">
          <w:rPr>
            <w:rStyle w:val="Hyperlink"/>
          </w:rPr>
          <w:t>1.7</w:t>
        </w:r>
        <w:r>
          <w:rPr>
            <w:rFonts w:asciiTheme="minorHAnsi" w:eastAsiaTheme="minorEastAsia" w:hAnsiTheme="minorHAnsi" w:cstheme="minorBidi"/>
            <w:color w:val="auto"/>
            <w:sz w:val="22"/>
            <w:szCs w:val="22"/>
          </w:rPr>
          <w:tab/>
        </w:r>
        <w:r w:rsidRPr="00153D41">
          <w:rPr>
            <w:rStyle w:val="Hyperlink"/>
          </w:rPr>
          <w:t>Механизъм за компенсиране на крайни потребители на горива - физически лица, които ползват за собствени нужди бензин и газьол (без добавки), втечнен нефтен газ и природен газ.</w:t>
        </w:r>
        <w:r>
          <w:rPr>
            <w:webHidden/>
          </w:rPr>
          <w:tab/>
        </w:r>
        <w:r>
          <w:rPr>
            <w:webHidden/>
          </w:rPr>
          <w:fldChar w:fldCharType="begin"/>
        </w:r>
        <w:r>
          <w:rPr>
            <w:webHidden/>
          </w:rPr>
          <w:instrText xml:space="preserve"> PAGEREF _Toc146037886 \h </w:instrText>
        </w:r>
        <w:r>
          <w:rPr>
            <w:webHidden/>
          </w:rPr>
        </w:r>
        <w:r>
          <w:rPr>
            <w:webHidden/>
          </w:rPr>
          <w:fldChar w:fldCharType="separate"/>
        </w:r>
        <w:r>
          <w:rPr>
            <w:webHidden/>
          </w:rPr>
          <w:t>43</w:t>
        </w:r>
        <w:r>
          <w:rPr>
            <w:webHidden/>
          </w:rPr>
          <w:fldChar w:fldCharType="end"/>
        </w:r>
      </w:hyperlink>
    </w:p>
    <w:p w14:paraId="0D81F7AE" w14:textId="4FB1A10A" w:rsidR="001243D7" w:rsidRDefault="001243D7">
      <w:pPr>
        <w:pStyle w:val="TOC3"/>
        <w:rPr>
          <w:rFonts w:asciiTheme="minorHAnsi" w:eastAsiaTheme="minorEastAsia" w:hAnsiTheme="minorHAnsi" w:cstheme="minorBidi"/>
          <w:color w:val="auto"/>
          <w:sz w:val="22"/>
          <w:szCs w:val="22"/>
        </w:rPr>
      </w:pPr>
      <w:hyperlink w:anchor="_Toc146037887" w:history="1">
        <w:r w:rsidRPr="00153D41">
          <w:rPr>
            <w:rStyle w:val="Hyperlink"/>
          </w:rPr>
          <w:t>1.8</w:t>
        </w:r>
        <w:r>
          <w:rPr>
            <w:rFonts w:asciiTheme="minorHAnsi" w:eastAsiaTheme="minorEastAsia" w:hAnsiTheme="minorHAnsi" w:cstheme="minorBidi"/>
            <w:color w:val="auto"/>
            <w:sz w:val="22"/>
            <w:szCs w:val="22"/>
          </w:rPr>
          <w:tab/>
        </w:r>
        <w:r w:rsidRPr="00153D41">
          <w:rPr>
            <w:rStyle w:val="Hyperlink"/>
          </w:rPr>
          <w:t>Инвестиционна политика</w:t>
        </w:r>
        <w:r>
          <w:rPr>
            <w:webHidden/>
          </w:rPr>
          <w:tab/>
        </w:r>
        <w:r>
          <w:rPr>
            <w:webHidden/>
          </w:rPr>
          <w:fldChar w:fldCharType="begin"/>
        </w:r>
        <w:r>
          <w:rPr>
            <w:webHidden/>
          </w:rPr>
          <w:instrText xml:space="preserve"> PAGEREF _Toc146037887 \h </w:instrText>
        </w:r>
        <w:r>
          <w:rPr>
            <w:webHidden/>
          </w:rPr>
        </w:r>
        <w:r>
          <w:rPr>
            <w:webHidden/>
          </w:rPr>
          <w:fldChar w:fldCharType="separate"/>
        </w:r>
        <w:r>
          <w:rPr>
            <w:webHidden/>
          </w:rPr>
          <w:t>44</w:t>
        </w:r>
        <w:r>
          <w:rPr>
            <w:webHidden/>
          </w:rPr>
          <w:fldChar w:fldCharType="end"/>
        </w:r>
      </w:hyperlink>
    </w:p>
    <w:p w14:paraId="4E0790F9" w14:textId="0E270AB8" w:rsidR="001243D7" w:rsidRDefault="001243D7">
      <w:pPr>
        <w:pStyle w:val="TOC1"/>
        <w:rPr>
          <w:rFonts w:asciiTheme="minorHAnsi" w:eastAsiaTheme="minorEastAsia" w:hAnsiTheme="minorHAnsi" w:cstheme="minorBidi"/>
          <w:b w:val="0"/>
          <w:color w:val="auto"/>
        </w:rPr>
      </w:pPr>
      <w:hyperlink w:anchor="_Toc146037888" w:history="1">
        <w:r w:rsidRPr="00153D41">
          <w:rPr>
            <w:rStyle w:val="Hyperlink"/>
          </w:rPr>
          <w:t>2.</w:t>
        </w:r>
        <w:r>
          <w:rPr>
            <w:rFonts w:asciiTheme="minorHAnsi" w:eastAsiaTheme="minorEastAsia" w:hAnsiTheme="minorHAnsi" w:cstheme="minorBidi"/>
            <w:b w:val="0"/>
            <w:color w:val="auto"/>
          </w:rPr>
          <w:tab/>
        </w:r>
        <w:r w:rsidRPr="00153D41">
          <w:rPr>
            <w:rStyle w:val="Hyperlink"/>
          </w:rPr>
          <w:t>Основни параметри на консолидираната фискална програма за 2022 г.</w:t>
        </w:r>
        <w:r>
          <w:rPr>
            <w:webHidden/>
          </w:rPr>
          <w:tab/>
        </w:r>
        <w:r>
          <w:rPr>
            <w:webHidden/>
          </w:rPr>
          <w:fldChar w:fldCharType="begin"/>
        </w:r>
        <w:r>
          <w:rPr>
            <w:webHidden/>
          </w:rPr>
          <w:instrText xml:space="preserve"> PAGEREF _Toc146037888 \h </w:instrText>
        </w:r>
        <w:r>
          <w:rPr>
            <w:webHidden/>
          </w:rPr>
        </w:r>
        <w:r>
          <w:rPr>
            <w:webHidden/>
          </w:rPr>
          <w:fldChar w:fldCharType="separate"/>
        </w:r>
        <w:r>
          <w:rPr>
            <w:webHidden/>
          </w:rPr>
          <w:t>48</w:t>
        </w:r>
        <w:r>
          <w:rPr>
            <w:webHidden/>
          </w:rPr>
          <w:fldChar w:fldCharType="end"/>
        </w:r>
      </w:hyperlink>
    </w:p>
    <w:p w14:paraId="1351743B" w14:textId="114B1D07" w:rsidR="001243D7" w:rsidRDefault="001243D7">
      <w:pPr>
        <w:pStyle w:val="TOC3"/>
        <w:rPr>
          <w:rFonts w:asciiTheme="minorHAnsi" w:eastAsiaTheme="minorEastAsia" w:hAnsiTheme="minorHAnsi" w:cstheme="minorBidi"/>
          <w:color w:val="auto"/>
          <w:sz w:val="22"/>
          <w:szCs w:val="22"/>
        </w:rPr>
      </w:pPr>
      <w:hyperlink w:anchor="_Toc146037889" w:history="1">
        <w:r w:rsidRPr="00153D41">
          <w:rPr>
            <w:rStyle w:val="Hyperlink"/>
          </w:rPr>
          <w:t>2.1</w:t>
        </w:r>
        <w:r>
          <w:rPr>
            <w:rFonts w:asciiTheme="minorHAnsi" w:eastAsiaTheme="minorEastAsia" w:hAnsiTheme="minorHAnsi" w:cstheme="minorBidi"/>
            <w:color w:val="auto"/>
            <w:sz w:val="22"/>
            <w:szCs w:val="22"/>
          </w:rPr>
          <w:tab/>
        </w:r>
        <w:r w:rsidRPr="00153D41">
          <w:rPr>
            <w:rStyle w:val="Hyperlink"/>
          </w:rPr>
          <w:t>Мерки на НАП и АМ за повишаване на събираемостта на приходите</w:t>
        </w:r>
        <w:r>
          <w:rPr>
            <w:webHidden/>
          </w:rPr>
          <w:tab/>
        </w:r>
        <w:r>
          <w:rPr>
            <w:webHidden/>
          </w:rPr>
          <w:fldChar w:fldCharType="begin"/>
        </w:r>
        <w:r>
          <w:rPr>
            <w:webHidden/>
          </w:rPr>
          <w:instrText xml:space="preserve"> PAGEREF _Toc146037889 \h </w:instrText>
        </w:r>
        <w:r>
          <w:rPr>
            <w:webHidden/>
          </w:rPr>
        </w:r>
        <w:r>
          <w:rPr>
            <w:webHidden/>
          </w:rPr>
          <w:fldChar w:fldCharType="separate"/>
        </w:r>
        <w:r>
          <w:rPr>
            <w:webHidden/>
          </w:rPr>
          <w:t>53</w:t>
        </w:r>
        <w:r>
          <w:rPr>
            <w:webHidden/>
          </w:rPr>
          <w:fldChar w:fldCharType="end"/>
        </w:r>
      </w:hyperlink>
    </w:p>
    <w:p w14:paraId="36E4B1C2" w14:textId="2ACACB20" w:rsidR="001243D7" w:rsidRDefault="001243D7">
      <w:pPr>
        <w:pStyle w:val="TOC3"/>
        <w:rPr>
          <w:rFonts w:asciiTheme="minorHAnsi" w:eastAsiaTheme="minorEastAsia" w:hAnsiTheme="minorHAnsi" w:cstheme="minorBidi"/>
          <w:color w:val="auto"/>
          <w:sz w:val="22"/>
          <w:szCs w:val="22"/>
        </w:rPr>
      </w:pPr>
      <w:hyperlink w:anchor="_Toc146037890" w:history="1">
        <w:r w:rsidRPr="00153D41">
          <w:rPr>
            <w:rStyle w:val="Hyperlink"/>
          </w:rPr>
          <w:t>2.2</w:t>
        </w:r>
        <w:r>
          <w:rPr>
            <w:rFonts w:asciiTheme="minorHAnsi" w:eastAsiaTheme="minorEastAsia" w:hAnsiTheme="minorHAnsi" w:cstheme="minorBidi"/>
            <w:color w:val="auto"/>
            <w:sz w:val="22"/>
            <w:szCs w:val="22"/>
          </w:rPr>
          <w:tab/>
        </w:r>
        <w:r w:rsidRPr="00153D41">
          <w:rPr>
            <w:rStyle w:val="Hyperlink"/>
          </w:rPr>
          <w:t>Изпълнение на приходите по консолидираната фискална програма</w:t>
        </w:r>
        <w:r>
          <w:rPr>
            <w:webHidden/>
          </w:rPr>
          <w:tab/>
        </w:r>
        <w:r>
          <w:rPr>
            <w:webHidden/>
          </w:rPr>
          <w:fldChar w:fldCharType="begin"/>
        </w:r>
        <w:r>
          <w:rPr>
            <w:webHidden/>
          </w:rPr>
          <w:instrText xml:space="preserve"> PAGEREF _Toc146037890 \h </w:instrText>
        </w:r>
        <w:r>
          <w:rPr>
            <w:webHidden/>
          </w:rPr>
        </w:r>
        <w:r>
          <w:rPr>
            <w:webHidden/>
          </w:rPr>
          <w:fldChar w:fldCharType="separate"/>
        </w:r>
        <w:r>
          <w:rPr>
            <w:webHidden/>
          </w:rPr>
          <w:t>74</w:t>
        </w:r>
        <w:r>
          <w:rPr>
            <w:webHidden/>
          </w:rPr>
          <w:fldChar w:fldCharType="end"/>
        </w:r>
      </w:hyperlink>
    </w:p>
    <w:p w14:paraId="7E842D66" w14:textId="520DDB5D" w:rsidR="001243D7" w:rsidRDefault="001243D7">
      <w:pPr>
        <w:pStyle w:val="TOC3"/>
        <w:rPr>
          <w:rFonts w:asciiTheme="minorHAnsi" w:eastAsiaTheme="minorEastAsia" w:hAnsiTheme="minorHAnsi" w:cstheme="minorBidi"/>
          <w:color w:val="auto"/>
          <w:sz w:val="22"/>
          <w:szCs w:val="22"/>
        </w:rPr>
      </w:pPr>
      <w:hyperlink w:anchor="_Toc146037891" w:history="1">
        <w:r w:rsidRPr="00153D41">
          <w:rPr>
            <w:rStyle w:val="Hyperlink"/>
          </w:rPr>
          <w:t>2.2.1</w:t>
        </w:r>
        <w:r>
          <w:rPr>
            <w:rFonts w:asciiTheme="minorHAnsi" w:eastAsiaTheme="minorEastAsia" w:hAnsiTheme="minorHAnsi" w:cstheme="minorBidi"/>
            <w:color w:val="auto"/>
            <w:sz w:val="22"/>
            <w:szCs w:val="22"/>
          </w:rPr>
          <w:tab/>
        </w:r>
        <w:r w:rsidRPr="00153D41">
          <w:rPr>
            <w:rStyle w:val="Hyperlink"/>
          </w:rPr>
          <w:t>Корпоративни данъци</w:t>
        </w:r>
        <w:r>
          <w:rPr>
            <w:webHidden/>
          </w:rPr>
          <w:tab/>
        </w:r>
        <w:r>
          <w:rPr>
            <w:webHidden/>
          </w:rPr>
          <w:fldChar w:fldCharType="begin"/>
        </w:r>
        <w:r>
          <w:rPr>
            <w:webHidden/>
          </w:rPr>
          <w:instrText xml:space="preserve"> PAGEREF _Toc146037891 \h </w:instrText>
        </w:r>
        <w:r>
          <w:rPr>
            <w:webHidden/>
          </w:rPr>
        </w:r>
        <w:r>
          <w:rPr>
            <w:webHidden/>
          </w:rPr>
          <w:fldChar w:fldCharType="separate"/>
        </w:r>
        <w:r>
          <w:rPr>
            <w:webHidden/>
          </w:rPr>
          <w:t>76</w:t>
        </w:r>
        <w:r>
          <w:rPr>
            <w:webHidden/>
          </w:rPr>
          <w:fldChar w:fldCharType="end"/>
        </w:r>
      </w:hyperlink>
    </w:p>
    <w:p w14:paraId="2FCE9EA9" w14:textId="4C065F80" w:rsidR="001243D7" w:rsidRDefault="001243D7">
      <w:pPr>
        <w:pStyle w:val="TOC3"/>
        <w:rPr>
          <w:rFonts w:asciiTheme="minorHAnsi" w:eastAsiaTheme="minorEastAsia" w:hAnsiTheme="minorHAnsi" w:cstheme="minorBidi"/>
          <w:color w:val="auto"/>
          <w:sz w:val="22"/>
          <w:szCs w:val="22"/>
        </w:rPr>
      </w:pPr>
      <w:hyperlink w:anchor="_Toc146037892" w:history="1">
        <w:r w:rsidRPr="00153D41">
          <w:rPr>
            <w:rStyle w:val="Hyperlink"/>
          </w:rPr>
          <w:t>2.2.2</w:t>
        </w:r>
        <w:r>
          <w:rPr>
            <w:rFonts w:asciiTheme="minorHAnsi" w:eastAsiaTheme="minorEastAsia" w:hAnsiTheme="minorHAnsi" w:cstheme="minorBidi"/>
            <w:color w:val="auto"/>
            <w:sz w:val="22"/>
            <w:szCs w:val="22"/>
          </w:rPr>
          <w:tab/>
        </w:r>
        <w:r w:rsidRPr="00153D41">
          <w:rPr>
            <w:rStyle w:val="Hyperlink"/>
          </w:rPr>
          <w:t>Данъци върху доходите на физическите лица</w:t>
        </w:r>
        <w:r>
          <w:rPr>
            <w:webHidden/>
          </w:rPr>
          <w:tab/>
        </w:r>
        <w:r>
          <w:rPr>
            <w:webHidden/>
          </w:rPr>
          <w:fldChar w:fldCharType="begin"/>
        </w:r>
        <w:r>
          <w:rPr>
            <w:webHidden/>
          </w:rPr>
          <w:instrText xml:space="preserve"> PAGEREF _Toc146037892 \h </w:instrText>
        </w:r>
        <w:r>
          <w:rPr>
            <w:webHidden/>
          </w:rPr>
        </w:r>
        <w:r>
          <w:rPr>
            <w:webHidden/>
          </w:rPr>
          <w:fldChar w:fldCharType="separate"/>
        </w:r>
        <w:r>
          <w:rPr>
            <w:webHidden/>
          </w:rPr>
          <w:t>78</w:t>
        </w:r>
        <w:r>
          <w:rPr>
            <w:webHidden/>
          </w:rPr>
          <w:fldChar w:fldCharType="end"/>
        </w:r>
      </w:hyperlink>
    </w:p>
    <w:p w14:paraId="24A995EF" w14:textId="2C2162C6" w:rsidR="001243D7" w:rsidRDefault="001243D7">
      <w:pPr>
        <w:pStyle w:val="TOC3"/>
        <w:rPr>
          <w:rFonts w:asciiTheme="minorHAnsi" w:eastAsiaTheme="minorEastAsia" w:hAnsiTheme="minorHAnsi" w:cstheme="minorBidi"/>
          <w:color w:val="auto"/>
          <w:sz w:val="22"/>
          <w:szCs w:val="22"/>
        </w:rPr>
      </w:pPr>
      <w:hyperlink w:anchor="_Toc146037893" w:history="1">
        <w:r w:rsidRPr="00153D41">
          <w:rPr>
            <w:rStyle w:val="Hyperlink"/>
          </w:rPr>
          <w:t>2.2.3</w:t>
        </w:r>
        <w:r>
          <w:rPr>
            <w:rFonts w:asciiTheme="minorHAnsi" w:eastAsiaTheme="minorEastAsia" w:hAnsiTheme="minorHAnsi" w:cstheme="minorBidi"/>
            <w:color w:val="auto"/>
            <w:sz w:val="22"/>
            <w:szCs w:val="22"/>
          </w:rPr>
          <w:tab/>
        </w:r>
        <w:r w:rsidRPr="00153D41">
          <w:rPr>
            <w:rStyle w:val="Hyperlink"/>
          </w:rPr>
          <w:t>Приходи от осигурителни вноски</w:t>
        </w:r>
        <w:r>
          <w:rPr>
            <w:webHidden/>
          </w:rPr>
          <w:tab/>
        </w:r>
        <w:r>
          <w:rPr>
            <w:webHidden/>
          </w:rPr>
          <w:fldChar w:fldCharType="begin"/>
        </w:r>
        <w:r>
          <w:rPr>
            <w:webHidden/>
          </w:rPr>
          <w:instrText xml:space="preserve"> PAGEREF _Toc146037893 \h </w:instrText>
        </w:r>
        <w:r>
          <w:rPr>
            <w:webHidden/>
          </w:rPr>
        </w:r>
        <w:r>
          <w:rPr>
            <w:webHidden/>
          </w:rPr>
          <w:fldChar w:fldCharType="separate"/>
        </w:r>
        <w:r>
          <w:rPr>
            <w:webHidden/>
          </w:rPr>
          <w:t>81</w:t>
        </w:r>
        <w:r>
          <w:rPr>
            <w:webHidden/>
          </w:rPr>
          <w:fldChar w:fldCharType="end"/>
        </w:r>
      </w:hyperlink>
    </w:p>
    <w:p w14:paraId="18E9B1D1" w14:textId="7958C518" w:rsidR="001243D7" w:rsidRDefault="001243D7">
      <w:pPr>
        <w:pStyle w:val="TOC3"/>
        <w:rPr>
          <w:rFonts w:asciiTheme="minorHAnsi" w:eastAsiaTheme="minorEastAsia" w:hAnsiTheme="minorHAnsi" w:cstheme="minorBidi"/>
          <w:color w:val="auto"/>
          <w:sz w:val="22"/>
          <w:szCs w:val="22"/>
        </w:rPr>
      </w:pPr>
      <w:hyperlink w:anchor="_Toc146037894" w:history="1">
        <w:r w:rsidRPr="00153D41">
          <w:rPr>
            <w:rStyle w:val="Hyperlink"/>
          </w:rPr>
          <w:t>2.2.4</w:t>
        </w:r>
        <w:r>
          <w:rPr>
            <w:rFonts w:asciiTheme="minorHAnsi" w:eastAsiaTheme="minorEastAsia" w:hAnsiTheme="minorHAnsi" w:cstheme="minorBidi"/>
            <w:color w:val="auto"/>
            <w:sz w:val="22"/>
            <w:szCs w:val="22"/>
          </w:rPr>
          <w:tab/>
        </w:r>
        <w:r w:rsidRPr="00153D41">
          <w:rPr>
            <w:rStyle w:val="Hyperlink"/>
          </w:rPr>
          <w:t>Данък върху добавената стойност</w:t>
        </w:r>
        <w:r>
          <w:rPr>
            <w:webHidden/>
          </w:rPr>
          <w:tab/>
        </w:r>
        <w:r>
          <w:rPr>
            <w:webHidden/>
          </w:rPr>
          <w:fldChar w:fldCharType="begin"/>
        </w:r>
        <w:r>
          <w:rPr>
            <w:webHidden/>
          </w:rPr>
          <w:instrText xml:space="preserve"> PAGEREF _Toc146037894 \h </w:instrText>
        </w:r>
        <w:r>
          <w:rPr>
            <w:webHidden/>
          </w:rPr>
        </w:r>
        <w:r>
          <w:rPr>
            <w:webHidden/>
          </w:rPr>
          <w:fldChar w:fldCharType="separate"/>
        </w:r>
        <w:r>
          <w:rPr>
            <w:webHidden/>
          </w:rPr>
          <w:t>81</w:t>
        </w:r>
        <w:r>
          <w:rPr>
            <w:webHidden/>
          </w:rPr>
          <w:fldChar w:fldCharType="end"/>
        </w:r>
      </w:hyperlink>
    </w:p>
    <w:p w14:paraId="5857570C" w14:textId="09D28070" w:rsidR="001243D7" w:rsidRDefault="001243D7">
      <w:pPr>
        <w:pStyle w:val="TOC3"/>
        <w:rPr>
          <w:rFonts w:asciiTheme="minorHAnsi" w:eastAsiaTheme="minorEastAsia" w:hAnsiTheme="minorHAnsi" w:cstheme="minorBidi"/>
          <w:color w:val="auto"/>
          <w:sz w:val="22"/>
          <w:szCs w:val="22"/>
        </w:rPr>
      </w:pPr>
      <w:hyperlink w:anchor="_Toc146037895" w:history="1">
        <w:r w:rsidRPr="00153D41">
          <w:rPr>
            <w:rStyle w:val="Hyperlink"/>
          </w:rPr>
          <w:t>2.2.5</w:t>
        </w:r>
        <w:r>
          <w:rPr>
            <w:rFonts w:asciiTheme="minorHAnsi" w:eastAsiaTheme="minorEastAsia" w:hAnsiTheme="minorHAnsi" w:cstheme="minorBidi"/>
            <w:color w:val="auto"/>
            <w:sz w:val="22"/>
            <w:szCs w:val="22"/>
          </w:rPr>
          <w:tab/>
        </w:r>
        <w:r w:rsidRPr="00153D41">
          <w:rPr>
            <w:rStyle w:val="Hyperlink"/>
          </w:rPr>
          <w:t>Акцизи</w:t>
        </w:r>
        <w:r>
          <w:rPr>
            <w:webHidden/>
          </w:rPr>
          <w:tab/>
        </w:r>
        <w:r>
          <w:rPr>
            <w:webHidden/>
          </w:rPr>
          <w:fldChar w:fldCharType="begin"/>
        </w:r>
        <w:r>
          <w:rPr>
            <w:webHidden/>
          </w:rPr>
          <w:instrText xml:space="preserve"> PAGEREF _Toc146037895 \h </w:instrText>
        </w:r>
        <w:r>
          <w:rPr>
            <w:webHidden/>
          </w:rPr>
        </w:r>
        <w:r>
          <w:rPr>
            <w:webHidden/>
          </w:rPr>
          <w:fldChar w:fldCharType="separate"/>
        </w:r>
        <w:r>
          <w:rPr>
            <w:webHidden/>
          </w:rPr>
          <w:t>85</w:t>
        </w:r>
        <w:r>
          <w:rPr>
            <w:webHidden/>
          </w:rPr>
          <w:fldChar w:fldCharType="end"/>
        </w:r>
      </w:hyperlink>
    </w:p>
    <w:p w14:paraId="29B34313" w14:textId="1CF04C8C" w:rsidR="001243D7" w:rsidRDefault="001243D7">
      <w:pPr>
        <w:pStyle w:val="TOC3"/>
        <w:rPr>
          <w:rFonts w:asciiTheme="minorHAnsi" w:eastAsiaTheme="minorEastAsia" w:hAnsiTheme="minorHAnsi" w:cstheme="minorBidi"/>
          <w:color w:val="auto"/>
          <w:sz w:val="22"/>
          <w:szCs w:val="22"/>
        </w:rPr>
      </w:pPr>
      <w:hyperlink w:anchor="_Toc146037896" w:history="1">
        <w:r w:rsidRPr="00153D41">
          <w:rPr>
            <w:rStyle w:val="Hyperlink"/>
          </w:rPr>
          <w:t>2.2.6</w:t>
        </w:r>
        <w:r>
          <w:rPr>
            <w:rFonts w:asciiTheme="minorHAnsi" w:eastAsiaTheme="minorEastAsia" w:hAnsiTheme="minorHAnsi" w:cstheme="minorBidi"/>
            <w:color w:val="auto"/>
            <w:sz w:val="22"/>
            <w:szCs w:val="22"/>
          </w:rPr>
          <w:tab/>
        </w:r>
        <w:r w:rsidRPr="00153D41">
          <w:rPr>
            <w:rStyle w:val="Hyperlink"/>
          </w:rPr>
          <w:t>Мита</w:t>
        </w:r>
        <w:r>
          <w:rPr>
            <w:webHidden/>
          </w:rPr>
          <w:tab/>
        </w:r>
        <w:r>
          <w:rPr>
            <w:webHidden/>
          </w:rPr>
          <w:fldChar w:fldCharType="begin"/>
        </w:r>
        <w:r>
          <w:rPr>
            <w:webHidden/>
          </w:rPr>
          <w:instrText xml:space="preserve"> PAGEREF _Toc146037896 \h </w:instrText>
        </w:r>
        <w:r>
          <w:rPr>
            <w:webHidden/>
          </w:rPr>
        </w:r>
        <w:r>
          <w:rPr>
            <w:webHidden/>
          </w:rPr>
          <w:fldChar w:fldCharType="separate"/>
        </w:r>
        <w:r>
          <w:rPr>
            <w:webHidden/>
          </w:rPr>
          <w:t>88</w:t>
        </w:r>
        <w:r>
          <w:rPr>
            <w:webHidden/>
          </w:rPr>
          <w:fldChar w:fldCharType="end"/>
        </w:r>
      </w:hyperlink>
    </w:p>
    <w:p w14:paraId="5D20EFF7" w14:textId="2BAF3471" w:rsidR="001243D7" w:rsidRDefault="001243D7">
      <w:pPr>
        <w:pStyle w:val="TOC3"/>
        <w:rPr>
          <w:rFonts w:asciiTheme="minorHAnsi" w:eastAsiaTheme="minorEastAsia" w:hAnsiTheme="minorHAnsi" w:cstheme="minorBidi"/>
          <w:color w:val="auto"/>
          <w:sz w:val="22"/>
          <w:szCs w:val="22"/>
        </w:rPr>
      </w:pPr>
      <w:hyperlink w:anchor="_Toc146037897" w:history="1">
        <w:r w:rsidRPr="00153D41">
          <w:rPr>
            <w:rStyle w:val="Hyperlink"/>
          </w:rPr>
          <w:t>2.2.7</w:t>
        </w:r>
        <w:r>
          <w:rPr>
            <w:rFonts w:asciiTheme="minorHAnsi" w:eastAsiaTheme="minorEastAsia" w:hAnsiTheme="minorHAnsi" w:cstheme="minorBidi"/>
            <w:color w:val="auto"/>
            <w:sz w:val="22"/>
            <w:szCs w:val="22"/>
          </w:rPr>
          <w:tab/>
        </w:r>
        <w:r w:rsidRPr="00153D41">
          <w:rPr>
            <w:rStyle w:val="Hyperlink"/>
          </w:rPr>
          <w:t>Данък върху застрахователните премии</w:t>
        </w:r>
        <w:r>
          <w:rPr>
            <w:webHidden/>
          </w:rPr>
          <w:tab/>
        </w:r>
        <w:r>
          <w:rPr>
            <w:webHidden/>
          </w:rPr>
          <w:fldChar w:fldCharType="begin"/>
        </w:r>
        <w:r>
          <w:rPr>
            <w:webHidden/>
          </w:rPr>
          <w:instrText xml:space="preserve"> PAGEREF _Toc146037897 \h </w:instrText>
        </w:r>
        <w:r>
          <w:rPr>
            <w:webHidden/>
          </w:rPr>
        </w:r>
        <w:r>
          <w:rPr>
            <w:webHidden/>
          </w:rPr>
          <w:fldChar w:fldCharType="separate"/>
        </w:r>
        <w:r>
          <w:rPr>
            <w:webHidden/>
          </w:rPr>
          <w:t>90</w:t>
        </w:r>
        <w:r>
          <w:rPr>
            <w:webHidden/>
          </w:rPr>
          <w:fldChar w:fldCharType="end"/>
        </w:r>
      </w:hyperlink>
    </w:p>
    <w:p w14:paraId="53A2BC2F" w14:textId="65CD8A86" w:rsidR="001243D7" w:rsidRDefault="001243D7">
      <w:pPr>
        <w:pStyle w:val="TOC3"/>
        <w:rPr>
          <w:rFonts w:asciiTheme="minorHAnsi" w:eastAsiaTheme="minorEastAsia" w:hAnsiTheme="minorHAnsi" w:cstheme="minorBidi"/>
          <w:color w:val="auto"/>
          <w:sz w:val="22"/>
          <w:szCs w:val="22"/>
        </w:rPr>
      </w:pPr>
      <w:hyperlink w:anchor="_Toc146037898" w:history="1">
        <w:r w:rsidRPr="00153D41">
          <w:rPr>
            <w:rStyle w:val="Hyperlink"/>
          </w:rPr>
          <w:t>2.2.8</w:t>
        </w:r>
        <w:r>
          <w:rPr>
            <w:rFonts w:asciiTheme="minorHAnsi" w:eastAsiaTheme="minorEastAsia" w:hAnsiTheme="minorHAnsi" w:cstheme="minorBidi"/>
            <w:color w:val="auto"/>
            <w:sz w:val="22"/>
            <w:szCs w:val="22"/>
          </w:rPr>
          <w:tab/>
        </w:r>
        <w:r w:rsidRPr="00153D41">
          <w:rPr>
            <w:rStyle w:val="Hyperlink"/>
          </w:rPr>
          <w:t>Други данъци</w:t>
        </w:r>
        <w:r>
          <w:rPr>
            <w:webHidden/>
          </w:rPr>
          <w:tab/>
        </w:r>
        <w:r>
          <w:rPr>
            <w:webHidden/>
          </w:rPr>
          <w:fldChar w:fldCharType="begin"/>
        </w:r>
        <w:r>
          <w:rPr>
            <w:webHidden/>
          </w:rPr>
          <w:instrText xml:space="preserve"> PAGEREF _Toc146037898 \h </w:instrText>
        </w:r>
        <w:r>
          <w:rPr>
            <w:webHidden/>
          </w:rPr>
        </w:r>
        <w:r>
          <w:rPr>
            <w:webHidden/>
          </w:rPr>
          <w:fldChar w:fldCharType="separate"/>
        </w:r>
        <w:r>
          <w:rPr>
            <w:webHidden/>
          </w:rPr>
          <w:t>90</w:t>
        </w:r>
        <w:r>
          <w:rPr>
            <w:webHidden/>
          </w:rPr>
          <w:fldChar w:fldCharType="end"/>
        </w:r>
      </w:hyperlink>
    </w:p>
    <w:p w14:paraId="251A2EAB" w14:textId="622E3A9B" w:rsidR="001243D7" w:rsidRDefault="001243D7">
      <w:pPr>
        <w:pStyle w:val="TOC3"/>
        <w:rPr>
          <w:rFonts w:asciiTheme="minorHAnsi" w:eastAsiaTheme="minorEastAsia" w:hAnsiTheme="minorHAnsi" w:cstheme="minorBidi"/>
          <w:color w:val="auto"/>
          <w:sz w:val="22"/>
          <w:szCs w:val="22"/>
        </w:rPr>
      </w:pPr>
      <w:hyperlink w:anchor="_Toc146037899" w:history="1">
        <w:r w:rsidRPr="00153D41">
          <w:rPr>
            <w:rStyle w:val="Hyperlink"/>
          </w:rPr>
          <w:t>2.2.9</w:t>
        </w:r>
        <w:r>
          <w:rPr>
            <w:rFonts w:asciiTheme="minorHAnsi" w:eastAsiaTheme="minorEastAsia" w:hAnsiTheme="minorHAnsi" w:cstheme="minorBidi"/>
            <w:color w:val="auto"/>
            <w:sz w:val="22"/>
            <w:szCs w:val="22"/>
          </w:rPr>
          <w:tab/>
        </w:r>
        <w:r w:rsidRPr="00153D41">
          <w:rPr>
            <w:rStyle w:val="Hyperlink"/>
          </w:rPr>
          <w:t>Неданъчни приходи</w:t>
        </w:r>
        <w:r>
          <w:rPr>
            <w:webHidden/>
          </w:rPr>
          <w:tab/>
        </w:r>
        <w:r>
          <w:rPr>
            <w:webHidden/>
          </w:rPr>
          <w:fldChar w:fldCharType="begin"/>
        </w:r>
        <w:r>
          <w:rPr>
            <w:webHidden/>
          </w:rPr>
          <w:instrText xml:space="preserve"> PAGEREF _Toc146037899 \h </w:instrText>
        </w:r>
        <w:r>
          <w:rPr>
            <w:webHidden/>
          </w:rPr>
        </w:r>
        <w:r>
          <w:rPr>
            <w:webHidden/>
          </w:rPr>
          <w:fldChar w:fldCharType="separate"/>
        </w:r>
        <w:r>
          <w:rPr>
            <w:webHidden/>
          </w:rPr>
          <w:t>91</w:t>
        </w:r>
        <w:r>
          <w:rPr>
            <w:webHidden/>
          </w:rPr>
          <w:fldChar w:fldCharType="end"/>
        </w:r>
      </w:hyperlink>
    </w:p>
    <w:p w14:paraId="787D168E" w14:textId="305C6E30" w:rsidR="001243D7" w:rsidRDefault="001243D7">
      <w:pPr>
        <w:pStyle w:val="TOC3"/>
        <w:rPr>
          <w:rFonts w:asciiTheme="minorHAnsi" w:eastAsiaTheme="minorEastAsia" w:hAnsiTheme="minorHAnsi" w:cstheme="minorBidi"/>
          <w:color w:val="auto"/>
          <w:sz w:val="22"/>
          <w:szCs w:val="22"/>
        </w:rPr>
      </w:pPr>
      <w:hyperlink w:anchor="_Toc146037900" w:history="1">
        <w:r w:rsidRPr="00153D41">
          <w:rPr>
            <w:rStyle w:val="Hyperlink"/>
          </w:rPr>
          <w:t>2.2.10</w:t>
        </w:r>
        <w:r>
          <w:rPr>
            <w:rFonts w:asciiTheme="minorHAnsi" w:eastAsiaTheme="minorEastAsia" w:hAnsiTheme="minorHAnsi" w:cstheme="minorBidi"/>
            <w:color w:val="auto"/>
            <w:sz w:val="22"/>
            <w:szCs w:val="22"/>
          </w:rPr>
          <w:tab/>
        </w:r>
        <w:r w:rsidRPr="00153D41">
          <w:rPr>
            <w:rStyle w:val="Hyperlink"/>
          </w:rPr>
          <w:t>Помощи и дарения</w:t>
        </w:r>
        <w:r>
          <w:rPr>
            <w:webHidden/>
          </w:rPr>
          <w:tab/>
        </w:r>
        <w:r>
          <w:rPr>
            <w:webHidden/>
          </w:rPr>
          <w:fldChar w:fldCharType="begin"/>
        </w:r>
        <w:r>
          <w:rPr>
            <w:webHidden/>
          </w:rPr>
          <w:instrText xml:space="preserve"> PAGEREF _Toc146037900 \h </w:instrText>
        </w:r>
        <w:r>
          <w:rPr>
            <w:webHidden/>
          </w:rPr>
        </w:r>
        <w:r>
          <w:rPr>
            <w:webHidden/>
          </w:rPr>
          <w:fldChar w:fldCharType="separate"/>
        </w:r>
        <w:r>
          <w:rPr>
            <w:webHidden/>
          </w:rPr>
          <w:t>95</w:t>
        </w:r>
        <w:r>
          <w:rPr>
            <w:webHidden/>
          </w:rPr>
          <w:fldChar w:fldCharType="end"/>
        </w:r>
      </w:hyperlink>
    </w:p>
    <w:p w14:paraId="71D74DE1" w14:textId="6E335BD6" w:rsidR="001243D7" w:rsidRDefault="001243D7">
      <w:pPr>
        <w:pStyle w:val="TOC3"/>
        <w:rPr>
          <w:rFonts w:asciiTheme="minorHAnsi" w:eastAsiaTheme="minorEastAsia" w:hAnsiTheme="minorHAnsi" w:cstheme="minorBidi"/>
          <w:color w:val="auto"/>
          <w:sz w:val="22"/>
          <w:szCs w:val="22"/>
        </w:rPr>
      </w:pPr>
      <w:hyperlink w:anchor="_Toc146037901" w:history="1">
        <w:r w:rsidRPr="00153D41">
          <w:rPr>
            <w:rStyle w:val="Hyperlink"/>
          </w:rPr>
          <w:t>2.3</w:t>
        </w:r>
        <w:r>
          <w:rPr>
            <w:rFonts w:asciiTheme="minorHAnsi" w:eastAsiaTheme="minorEastAsia" w:hAnsiTheme="minorHAnsi" w:cstheme="minorBidi"/>
            <w:color w:val="auto"/>
            <w:sz w:val="22"/>
            <w:szCs w:val="22"/>
          </w:rPr>
          <w:tab/>
        </w:r>
        <w:r w:rsidRPr="00153D41">
          <w:rPr>
            <w:rStyle w:val="Hyperlink"/>
          </w:rPr>
          <w:t>Изпълнение на разходите по икономически елементи по консолидираната фискална програма за 2022 г.</w:t>
        </w:r>
        <w:r>
          <w:rPr>
            <w:webHidden/>
          </w:rPr>
          <w:tab/>
        </w:r>
        <w:r>
          <w:rPr>
            <w:webHidden/>
          </w:rPr>
          <w:fldChar w:fldCharType="begin"/>
        </w:r>
        <w:r>
          <w:rPr>
            <w:webHidden/>
          </w:rPr>
          <w:instrText xml:space="preserve"> PAGEREF _Toc146037901 \h </w:instrText>
        </w:r>
        <w:r>
          <w:rPr>
            <w:webHidden/>
          </w:rPr>
        </w:r>
        <w:r>
          <w:rPr>
            <w:webHidden/>
          </w:rPr>
          <w:fldChar w:fldCharType="separate"/>
        </w:r>
        <w:r>
          <w:rPr>
            <w:webHidden/>
          </w:rPr>
          <w:t>96</w:t>
        </w:r>
        <w:r>
          <w:rPr>
            <w:webHidden/>
          </w:rPr>
          <w:fldChar w:fldCharType="end"/>
        </w:r>
      </w:hyperlink>
    </w:p>
    <w:p w14:paraId="6BD39A29" w14:textId="5E06DADF" w:rsidR="001243D7" w:rsidRDefault="001243D7">
      <w:pPr>
        <w:pStyle w:val="TOC3"/>
        <w:rPr>
          <w:rFonts w:asciiTheme="minorHAnsi" w:eastAsiaTheme="minorEastAsia" w:hAnsiTheme="minorHAnsi" w:cstheme="minorBidi"/>
          <w:color w:val="auto"/>
          <w:sz w:val="22"/>
          <w:szCs w:val="22"/>
        </w:rPr>
      </w:pPr>
      <w:hyperlink w:anchor="_Toc146037902" w:history="1">
        <w:r w:rsidRPr="00153D41">
          <w:rPr>
            <w:rStyle w:val="Hyperlink"/>
          </w:rPr>
          <w:t>2.3.1</w:t>
        </w:r>
        <w:r>
          <w:rPr>
            <w:rFonts w:asciiTheme="minorHAnsi" w:eastAsiaTheme="minorEastAsia" w:hAnsiTheme="minorHAnsi" w:cstheme="minorBidi"/>
            <w:color w:val="auto"/>
            <w:sz w:val="22"/>
            <w:szCs w:val="22"/>
          </w:rPr>
          <w:tab/>
        </w:r>
        <w:r w:rsidRPr="00153D41">
          <w:rPr>
            <w:rStyle w:val="Hyperlink"/>
          </w:rPr>
          <w:t>Текущи нелихвени разходи</w:t>
        </w:r>
        <w:r>
          <w:rPr>
            <w:webHidden/>
          </w:rPr>
          <w:tab/>
        </w:r>
        <w:r>
          <w:rPr>
            <w:webHidden/>
          </w:rPr>
          <w:fldChar w:fldCharType="begin"/>
        </w:r>
        <w:r>
          <w:rPr>
            <w:webHidden/>
          </w:rPr>
          <w:instrText xml:space="preserve"> PAGEREF _Toc146037902 \h </w:instrText>
        </w:r>
        <w:r>
          <w:rPr>
            <w:webHidden/>
          </w:rPr>
        </w:r>
        <w:r>
          <w:rPr>
            <w:webHidden/>
          </w:rPr>
          <w:fldChar w:fldCharType="separate"/>
        </w:r>
        <w:r>
          <w:rPr>
            <w:webHidden/>
          </w:rPr>
          <w:t>97</w:t>
        </w:r>
        <w:r>
          <w:rPr>
            <w:webHidden/>
          </w:rPr>
          <w:fldChar w:fldCharType="end"/>
        </w:r>
      </w:hyperlink>
    </w:p>
    <w:p w14:paraId="2FCE069D" w14:textId="7358E886" w:rsidR="001243D7" w:rsidRDefault="001243D7">
      <w:pPr>
        <w:pStyle w:val="TOC3"/>
        <w:rPr>
          <w:rFonts w:asciiTheme="minorHAnsi" w:eastAsiaTheme="minorEastAsia" w:hAnsiTheme="minorHAnsi" w:cstheme="minorBidi"/>
          <w:color w:val="auto"/>
          <w:sz w:val="22"/>
          <w:szCs w:val="22"/>
        </w:rPr>
      </w:pPr>
      <w:hyperlink w:anchor="_Toc146037903" w:history="1">
        <w:r w:rsidRPr="00153D41">
          <w:rPr>
            <w:rStyle w:val="Hyperlink"/>
          </w:rPr>
          <w:t>2.3.2</w:t>
        </w:r>
        <w:r>
          <w:rPr>
            <w:rFonts w:asciiTheme="minorHAnsi" w:eastAsiaTheme="minorEastAsia" w:hAnsiTheme="minorHAnsi" w:cstheme="minorBidi"/>
            <w:color w:val="auto"/>
            <w:sz w:val="22"/>
            <w:szCs w:val="22"/>
          </w:rPr>
          <w:tab/>
        </w:r>
        <w:r w:rsidRPr="00153D41">
          <w:rPr>
            <w:rStyle w:val="Hyperlink"/>
          </w:rPr>
          <w:t>Капиталови разходи</w:t>
        </w:r>
        <w:r>
          <w:rPr>
            <w:webHidden/>
          </w:rPr>
          <w:tab/>
        </w:r>
        <w:r>
          <w:rPr>
            <w:webHidden/>
          </w:rPr>
          <w:fldChar w:fldCharType="begin"/>
        </w:r>
        <w:r>
          <w:rPr>
            <w:webHidden/>
          </w:rPr>
          <w:instrText xml:space="preserve"> PAGEREF _Toc146037903 \h </w:instrText>
        </w:r>
        <w:r>
          <w:rPr>
            <w:webHidden/>
          </w:rPr>
        </w:r>
        <w:r>
          <w:rPr>
            <w:webHidden/>
          </w:rPr>
          <w:fldChar w:fldCharType="separate"/>
        </w:r>
        <w:r>
          <w:rPr>
            <w:webHidden/>
          </w:rPr>
          <w:t>104</w:t>
        </w:r>
        <w:r>
          <w:rPr>
            <w:webHidden/>
          </w:rPr>
          <w:fldChar w:fldCharType="end"/>
        </w:r>
      </w:hyperlink>
    </w:p>
    <w:p w14:paraId="0DE08849" w14:textId="3885B0DF" w:rsidR="001243D7" w:rsidRDefault="001243D7">
      <w:pPr>
        <w:pStyle w:val="TOC3"/>
        <w:rPr>
          <w:rFonts w:asciiTheme="minorHAnsi" w:eastAsiaTheme="minorEastAsia" w:hAnsiTheme="minorHAnsi" w:cstheme="minorBidi"/>
          <w:color w:val="auto"/>
          <w:sz w:val="22"/>
          <w:szCs w:val="22"/>
        </w:rPr>
      </w:pPr>
      <w:hyperlink w:anchor="_Toc146037904" w:history="1">
        <w:r w:rsidRPr="00153D41">
          <w:rPr>
            <w:rStyle w:val="Hyperlink"/>
          </w:rPr>
          <w:t>2.3.3</w:t>
        </w:r>
        <w:r>
          <w:rPr>
            <w:rFonts w:asciiTheme="minorHAnsi" w:eastAsiaTheme="minorEastAsia" w:hAnsiTheme="minorHAnsi" w:cstheme="minorBidi"/>
            <w:color w:val="auto"/>
            <w:sz w:val="22"/>
            <w:szCs w:val="22"/>
          </w:rPr>
          <w:tab/>
        </w:r>
        <w:r w:rsidRPr="00153D41">
          <w:rPr>
            <w:rStyle w:val="Hyperlink"/>
          </w:rPr>
          <w:t>Предоставени текущи и капиталови трансфери за чужбина</w:t>
        </w:r>
        <w:r>
          <w:rPr>
            <w:webHidden/>
          </w:rPr>
          <w:tab/>
        </w:r>
        <w:r>
          <w:rPr>
            <w:webHidden/>
          </w:rPr>
          <w:fldChar w:fldCharType="begin"/>
        </w:r>
        <w:r>
          <w:rPr>
            <w:webHidden/>
          </w:rPr>
          <w:instrText xml:space="preserve"> PAGEREF _Toc146037904 \h </w:instrText>
        </w:r>
        <w:r>
          <w:rPr>
            <w:webHidden/>
          </w:rPr>
        </w:r>
        <w:r>
          <w:rPr>
            <w:webHidden/>
          </w:rPr>
          <w:fldChar w:fldCharType="separate"/>
        </w:r>
        <w:r>
          <w:rPr>
            <w:webHidden/>
          </w:rPr>
          <w:t>108</w:t>
        </w:r>
        <w:r>
          <w:rPr>
            <w:webHidden/>
          </w:rPr>
          <w:fldChar w:fldCharType="end"/>
        </w:r>
      </w:hyperlink>
    </w:p>
    <w:p w14:paraId="79D9046D" w14:textId="7A91888C" w:rsidR="001243D7" w:rsidRDefault="001243D7">
      <w:pPr>
        <w:pStyle w:val="TOC3"/>
        <w:rPr>
          <w:rFonts w:asciiTheme="minorHAnsi" w:eastAsiaTheme="minorEastAsia" w:hAnsiTheme="minorHAnsi" w:cstheme="minorBidi"/>
          <w:color w:val="auto"/>
          <w:sz w:val="22"/>
          <w:szCs w:val="22"/>
        </w:rPr>
      </w:pPr>
      <w:hyperlink w:anchor="_Toc146037905" w:history="1">
        <w:r w:rsidRPr="00153D41">
          <w:rPr>
            <w:rStyle w:val="Hyperlink"/>
          </w:rPr>
          <w:t>2.3.4</w:t>
        </w:r>
        <w:r>
          <w:rPr>
            <w:rFonts w:asciiTheme="minorHAnsi" w:eastAsiaTheme="minorEastAsia" w:hAnsiTheme="minorHAnsi" w:cstheme="minorBidi"/>
            <w:color w:val="auto"/>
            <w:sz w:val="22"/>
            <w:szCs w:val="22"/>
          </w:rPr>
          <w:tab/>
        </w:r>
        <w:r w:rsidRPr="00153D41">
          <w:rPr>
            <w:rStyle w:val="Hyperlink"/>
          </w:rPr>
          <w:t>Лихвени разходи</w:t>
        </w:r>
        <w:r>
          <w:rPr>
            <w:webHidden/>
          </w:rPr>
          <w:tab/>
        </w:r>
        <w:r>
          <w:rPr>
            <w:webHidden/>
          </w:rPr>
          <w:fldChar w:fldCharType="begin"/>
        </w:r>
        <w:r>
          <w:rPr>
            <w:webHidden/>
          </w:rPr>
          <w:instrText xml:space="preserve"> PAGEREF _Toc146037905 \h </w:instrText>
        </w:r>
        <w:r>
          <w:rPr>
            <w:webHidden/>
          </w:rPr>
        </w:r>
        <w:r>
          <w:rPr>
            <w:webHidden/>
          </w:rPr>
          <w:fldChar w:fldCharType="separate"/>
        </w:r>
        <w:r>
          <w:rPr>
            <w:webHidden/>
          </w:rPr>
          <w:t>108</w:t>
        </w:r>
        <w:r>
          <w:rPr>
            <w:webHidden/>
          </w:rPr>
          <w:fldChar w:fldCharType="end"/>
        </w:r>
      </w:hyperlink>
    </w:p>
    <w:p w14:paraId="158BB460" w14:textId="7CBD255B" w:rsidR="001243D7" w:rsidRDefault="001243D7">
      <w:pPr>
        <w:pStyle w:val="TOC3"/>
        <w:rPr>
          <w:rFonts w:asciiTheme="minorHAnsi" w:eastAsiaTheme="minorEastAsia" w:hAnsiTheme="minorHAnsi" w:cstheme="minorBidi"/>
          <w:color w:val="auto"/>
          <w:sz w:val="22"/>
          <w:szCs w:val="22"/>
        </w:rPr>
      </w:pPr>
      <w:hyperlink w:anchor="_Toc146037906" w:history="1">
        <w:r w:rsidRPr="00153D41">
          <w:rPr>
            <w:rStyle w:val="Hyperlink"/>
          </w:rPr>
          <w:t>2.3.5</w:t>
        </w:r>
        <w:r>
          <w:rPr>
            <w:rFonts w:asciiTheme="minorHAnsi" w:eastAsiaTheme="minorEastAsia" w:hAnsiTheme="minorHAnsi" w:cstheme="minorBidi"/>
            <w:color w:val="auto"/>
            <w:sz w:val="22"/>
            <w:szCs w:val="22"/>
          </w:rPr>
          <w:tab/>
        </w:r>
        <w:r w:rsidRPr="00153D41">
          <w:rPr>
            <w:rStyle w:val="Hyperlink"/>
          </w:rPr>
          <w:t>Вноска на Република България в общия бюджет на ЕС</w:t>
        </w:r>
        <w:r>
          <w:rPr>
            <w:webHidden/>
          </w:rPr>
          <w:tab/>
        </w:r>
        <w:r>
          <w:rPr>
            <w:webHidden/>
          </w:rPr>
          <w:fldChar w:fldCharType="begin"/>
        </w:r>
        <w:r>
          <w:rPr>
            <w:webHidden/>
          </w:rPr>
          <w:instrText xml:space="preserve"> PAGEREF _Toc146037906 \h </w:instrText>
        </w:r>
        <w:r>
          <w:rPr>
            <w:webHidden/>
          </w:rPr>
        </w:r>
        <w:r>
          <w:rPr>
            <w:webHidden/>
          </w:rPr>
          <w:fldChar w:fldCharType="separate"/>
        </w:r>
        <w:r>
          <w:rPr>
            <w:webHidden/>
          </w:rPr>
          <w:t>109</w:t>
        </w:r>
        <w:r>
          <w:rPr>
            <w:webHidden/>
          </w:rPr>
          <w:fldChar w:fldCharType="end"/>
        </w:r>
      </w:hyperlink>
    </w:p>
    <w:p w14:paraId="2B937435" w14:textId="6D94F6E8" w:rsidR="001243D7" w:rsidRDefault="001243D7">
      <w:pPr>
        <w:pStyle w:val="TOC3"/>
        <w:rPr>
          <w:rFonts w:asciiTheme="minorHAnsi" w:eastAsiaTheme="minorEastAsia" w:hAnsiTheme="minorHAnsi" w:cstheme="minorBidi"/>
          <w:color w:val="auto"/>
          <w:sz w:val="22"/>
          <w:szCs w:val="22"/>
        </w:rPr>
      </w:pPr>
      <w:hyperlink w:anchor="_Toc146037907" w:history="1">
        <w:r w:rsidRPr="00153D41">
          <w:rPr>
            <w:rStyle w:val="Hyperlink"/>
          </w:rPr>
          <w:t>2.3.6</w:t>
        </w:r>
        <w:r>
          <w:rPr>
            <w:rFonts w:asciiTheme="minorHAnsi" w:eastAsiaTheme="minorEastAsia" w:hAnsiTheme="minorHAnsi" w:cstheme="minorBidi"/>
            <w:color w:val="auto"/>
            <w:sz w:val="22"/>
            <w:szCs w:val="22"/>
          </w:rPr>
          <w:tab/>
        </w:r>
        <w:r w:rsidRPr="00153D41">
          <w:rPr>
            <w:rStyle w:val="Hyperlink"/>
          </w:rPr>
          <w:t>Изпълнение на утвърдените ангажименти за разходи, които могат да бъдат поети през 202</w:t>
        </w:r>
        <w:r w:rsidRPr="00153D41">
          <w:rPr>
            <w:rStyle w:val="Hyperlink"/>
            <w:lang w:val="ru-RU"/>
          </w:rPr>
          <w:t>2</w:t>
        </w:r>
        <w:r w:rsidRPr="00153D41">
          <w:rPr>
            <w:rStyle w:val="Hyperlink"/>
          </w:rPr>
          <w:t xml:space="preserve"> г. и на новите задължения за разходи, които могат да бъдат натрупани през 202</w:t>
        </w:r>
        <w:r w:rsidRPr="00153D41">
          <w:rPr>
            <w:rStyle w:val="Hyperlink"/>
            <w:lang w:val="ru-RU"/>
          </w:rPr>
          <w:t>2</w:t>
        </w:r>
        <w:r w:rsidRPr="00153D41">
          <w:rPr>
            <w:rStyle w:val="Hyperlink"/>
          </w:rPr>
          <w:t xml:space="preserve"> г. от първостепенните разпоредители с бюджет</w:t>
        </w:r>
        <w:r>
          <w:rPr>
            <w:webHidden/>
          </w:rPr>
          <w:tab/>
        </w:r>
        <w:r>
          <w:rPr>
            <w:webHidden/>
          </w:rPr>
          <w:fldChar w:fldCharType="begin"/>
        </w:r>
        <w:r>
          <w:rPr>
            <w:webHidden/>
          </w:rPr>
          <w:instrText xml:space="preserve"> PAGEREF _Toc146037907 \h </w:instrText>
        </w:r>
        <w:r>
          <w:rPr>
            <w:webHidden/>
          </w:rPr>
        </w:r>
        <w:r>
          <w:rPr>
            <w:webHidden/>
          </w:rPr>
          <w:fldChar w:fldCharType="separate"/>
        </w:r>
        <w:r>
          <w:rPr>
            <w:webHidden/>
          </w:rPr>
          <w:t>110</w:t>
        </w:r>
        <w:r>
          <w:rPr>
            <w:webHidden/>
          </w:rPr>
          <w:fldChar w:fldCharType="end"/>
        </w:r>
      </w:hyperlink>
    </w:p>
    <w:p w14:paraId="52DDEAF9" w14:textId="61DC59AF" w:rsidR="001243D7" w:rsidRDefault="001243D7">
      <w:pPr>
        <w:pStyle w:val="TOC3"/>
        <w:rPr>
          <w:rFonts w:asciiTheme="minorHAnsi" w:eastAsiaTheme="minorEastAsia" w:hAnsiTheme="minorHAnsi" w:cstheme="minorBidi"/>
          <w:color w:val="auto"/>
          <w:sz w:val="22"/>
          <w:szCs w:val="22"/>
        </w:rPr>
      </w:pPr>
      <w:hyperlink w:anchor="_Toc146037908" w:history="1">
        <w:r w:rsidRPr="00153D41">
          <w:rPr>
            <w:rStyle w:val="Hyperlink"/>
          </w:rPr>
          <w:t>2.4</w:t>
        </w:r>
        <w:r>
          <w:rPr>
            <w:rFonts w:asciiTheme="minorHAnsi" w:eastAsiaTheme="minorEastAsia" w:hAnsiTheme="minorHAnsi" w:cstheme="minorBidi"/>
            <w:color w:val="auto"/>
            <w:sz w:val="22"/>
            <w:szCs w:val="22"/>
          </w:rPr>
          <w:tab/>
        </w:r>
        <w:r w:rsidRPr="00153D41">
          <w:rPr>
            <w:rStyle w:val="Hyperlink"/>
          </w:rPr>
          <w:t>Изпълнение на разходите по функции по консолидираната фискална програма за 202</w:t>
        </w:r>
        <w:r w:rsidRPr="00153D41">
          <w:rPr>
            <w:rStyle w:val="Hyperlink"/>
            <w:lang w:val="ru-RU"/>
          </w:rPr>
          <w:t>2</w:t>
        </w:r>
        <w:r w:rsidRPr="00153D41">
          <w:rPr>
            <w:rStyle w:val="Hyperlink"/>
          </w:rPr>
          <w:t>г.</w:t>
        </w:r>
        <w:r>
          <w:rPr>
            <w:webHidden/>
          </w:rPr>
          <w:tab/>
        </w:r>
        <w:r>
          <w:rPr>
            <w:webHidden/>
          </w:rPr>
          <w:fldChar w:fldCharType="begin"/>
        </w:r>
        <w:r>
          <w:rPr>
            <w:webHidden/>
          </w:rPr>
          <w:instrText xml:space="preserve"> PAGEREF _Toc146037908 \h </w:instrText>
        </w:r>
        <w:r>
          <w:rPr>
            <w:webHidden/>
          </w:rPr>
        </w:r>
        <w:r>
          <w:rPr>
            <w:webHidden/>
          </w:rPr>
          <w:fldChar w:fldCharType="separate"/>
        </w:r>
        <w:r>
          <w:rPr>
            <w:webHidden/>
          </w:rPr>
          <w:t>112</w:t>
        </w:r>
        <w:r>
          <w:rPr>
            <w:webHidden/>
          </w:rPr>
          <w:fldChar w:fldCharType="end"/>
        </w:r>
      </w:hyperlink>
    </w:p>
    <w:p w14:paraId="268C2481" w14:textId="4FF27945" w:rsidR="001243D7" w:rsidRDefault="001243D7">
      <w:pPr>
        <w:pStyle w:val="TOC3"/>
        <w:rPr>
          <w:rFonts w:asciiTheme="minorHAnsi" w:eastAsiaTheme="minorEastAsia" w:hAnsiTheme="minorHAnsi" w:cstheme="minorBidi"/>
          <w:color w:val="auto"/>
          <w:sz w:val="22"/>
          <w:szCs w:val="22"/>
        </w:rPr>
      </w:pPr>
      <w:hyperlink w:anchor="_Toc146037909" w:history="1">
        <w:r w:rsidRPr="00153D41">
          <w:rPr>
            <w:rStyle w:val="Hyperlink"/>
          </w:rPr>
          <w:t>2.4.1</w:t>
        </w:r>
        <w:r>
          <w:rPr>
            <w:rFonts w:asciiTheme="minorHAnsi" w:eastAsiaTheme="minorEastAsia" w:hAnsiTheme="minorHAnsi" w:cstheme="minorBidi"/>
            <w:color w:val="auto"/>
            <w:sz w:val="22"/>
            <w:szCs w:val="22"/>
          </w:rPr>
          <w:tab/>
        </w:r>
        <w:r w:rsidRPr="00153D41">
          <w:rPr>
            <w:rStyle w:val="Hyperlink"/>
          </w:rPr>
          <w:t>Общи държавни служби</w:t>
        </w:r>
        <w:r>
          <w:rPr>
            <w:webHidden/>
          </w:rPr>
          <w:tab/>
        </w:r>
        <w:r>
          <w:rPr>
            <w:webHidden/>
          </w:rPr>
          <w:fldChar w:fldCharType="begin"/>
        </w:r>
        <w:r>
          <w:rPr>
            <w:webHidden/>
          </w:rPr>
          <w:instrText xml:space="preserve"> PAGEREF _Toc146037909 \h </w:instrText>
        </w:r>
        <w:r>
          <w:rPr>
            <w:webHidden/>
          </w:rPr>
        </w:r>
        <w:r>
          <w:rPr>
            <w:webHidden/>
          </w:rPr>
          <w:fldChar w:fldCharType="separate"/>
        </w:r>
        <w:r>
          <w:rPr>
            <w:webHidden/>
          </w:rPr>
          <w:t>112</w:t>
        </w:r>
        <w:r>
          <w:rPr>
            <w:webHidden/>
          </w:rPr>
          <w:fldChar w:fldCharType="end"/>
        </w:r>
      </w:hyperlink>
    </w:p>
    <w:p w14:paraId="69613EBB" w14:textId="7422246E" w:rsidR="001243D7" w:rsidRDefault="001243D7">
      <w:pPr>
        <w:pStyle w:val="TOC3"/>
        <w:rPr>
          <w:rFonts w:asciiTheme="minorHAnsi" w:eastAsiaTheme="minorEastAsia" w:hAnsiTheme="minorHAnsi" w:cstheme="minorBidi"/>
          <w:color w:val="auto"/>
          <w:sz w:val="22"/>
          <w:szCs w:val="22"/>
        </w:rPr>
      </w:pPr>
      <w:hyperlink w:anchor="_Toc146037910" w:history="1">
        <w:r w:rsidRPr="00153D41">
          <w:rPr>
            <w:rStyle w:val="Hyperlink"/>
            <w:lang w:val="en-US"/>
          </w:rPr>
          <w:t>2.4.2</w:t>
        </w:r>
        <w:r>
          <w:rPr>
            <w:rFonts w:asciiTheme="minorHAnsi" w:eastAsiaTheme="minorEastAsia" w:hAnsiTheme="minorHAnsi" w:cstheme="minorBidi"/>
            <w:color w:val="auto"/>
            <w:sz w:val="22"/>
            <w:szCs w:val="22"/>
          </w:rPr>
          <w:tab/>
        </w:r>
        <w:r w:rsidRPr="00153D41">
          <w:rPr>
            <w:rStyle w:val="Hyperlink"/>
          </w:rPr>
          <w:t>Отбрана и сигурност</w:t>
        </w:r>
        <w:r>
          <w:rPr>
            <w:webHidden/>
          </w:rPr>
          <w:tab/>
        </w:r>
        <w:r>
          <w:rPr>
            <w:webHidden/>
          </w:rPr>
          <w:fldChar w:fldCharType="begin"/>
        </w:r>
        <w:r>
          <w:rPr>
            <w:webHidden/>
          </w:rPr>
          <w:instrText xml:space="preserve"> PAGEREF _Toc146037910 \h </w:instrText>
        </w:r>
        <w:r>
          <w:rPr>
            <w:webHidden/>
          </w:rPr>
        </w:r>
        <w:r>
          <w:rPr>
            <w:webHidden/>
          </w:rPr>
          <w:fldChar w:fldCharType="separate"/>
        </w:r>
        <w:r>
          <w:rPr>
            <w:webHidden/>
          </w:rPr>
          <w:t>119</w:t>
        </w:r>
        <w:r>
          <w:rPr>
            <w:webHidden/>
          </w:rPr>
          <w:fldChar w:fldCharType="end"/>
        </w:r>
      </w:hyperlink>
    </w:p>
    <w:p w14:paraId="52B06BEA" w14:textId="5B07680B" w:rsidR="001243D7" w:rsidRDefault="001243D7">
      <w:pPr>
        <w:pStyle w:val="TOC3"/>
        <w:rPr>
          <w:rFonts w:asciiTheme="minorHAnsi" w:eastAsiaTheme="minorEastAsia" w:hAnsiTheme="minorHAnsi" w:cstheme="minorBidi"/>
          <w:color w:val="auto"/>
          <w:sz w:val="22"/>
          <w:szCs w:val="22"/>
        </w:rPr>
      </w:pPr>
      <w:hyperlink w:anchor="_Toc146037911" w:history="1">
        <w:r w:rsidRPr="00153D41">
          <w:rPr>
            <w:rStyle w:val="Hyperlink"/>
          </w:rPr>
          <w:t>2.4.3</w:t>
        </w:r>
        <w:r>
          <w:rPr>
            <w:rFonts w:asciiTheme="minorHAnsi" w:eastAsiaTheme="minorEastAsia" w:hAnsiTheme="minorHAnsi" w:cstheme="minorBidi"/>
            <w:color w:val="auto"/>
            <w:sz w:val="22"/>
            <w:szCs w:val="22"/>
          </w:rPr>
          <w:tab/>
        </w:r>
        <w:r w:rsidRPr="00153D41">
          <w:rPr>
            <w:rStyle w:val="Hyperlink"/>
          </w:rPr>
          <w:t>Образование</w:t>
        </w:r>
        <w:r>
          <w:rPr>
            <w:webHidden/>
          </w:rPr>
          <w:tab/>
        </w:r>
        <w:r>
          <w:rPr>
            <w:webHidden/>
          </w:rPr>
          <w:fldChar w:fldCharType="begin"/>
        </w:r>
        <w:r>
          <w:rPr>
            <w:webHidden/>
          </w:rPr>
          <w:instrText xml:space="preserve"> PAGEREF _Toc146037911 \h </w:instrText>
        </w:r>
        <w:r>
          <w:rPr>
            <w:webHidden/>
          </w:rPr>
        </w:r>
        <w:r>
          <w:rPr>
            <w:webHidden/>
          </w:rPr>
          <w:fldChar w:fldCharType="separate"/>
        </w:r>
        <w:r>
          <w:rPr>
            <w:webHidden/>
          </w:rPr>
          <w:t>125</w:t>
        </w:r>
        <w:r>
          <w:rPr>
            <w:webHidden/>
          </w:rPr>
          <w:fldChar w:fldCharType="end"/>
        </w:r>
      </w:hyperlink>
    </w:p>
    <w:p w14:paraId="5528E3FF" w14:textId="1BAFBA65" w:rsidR="001243D7" w:rsidRDefault="001243D7">
      <w:pPr>
        <w:pStyle w:val="TOC3"/>
        <w:rPr>
          <w:rFonts w:asciiTheme="minorHAnsi" w:eastAsiaTheme="minorEastAsia" w:hAnsiTheme="minorHAnsi" w:cstheme="minorBidi"/>
          <w:color w:val="auto"/>
          <w:sz w:val="22"/>
          <w:szCs w:val="22"/>
        </w:rPr>
      </w:pPr>
      <w:hyperlink w:anchor="_Toc146037912" w:history="1">
        <w:r w:rsidRPr="00153D41">
          <w:rPr>
            <w:rStyle w:val="Hyperlink"/>
          </w:rPr>
          <w:t>2.4.4</w:t>
        </w:r>
        <w:r>
          <w:rPr>
            <w:rFonts w:asciiTheme="minorHAnsi" w:eastAsiaTheme="minorEastAsia" w:hAnsiTheme="minorHAnsi" w:cstheme="minorBidi"/>
            <w:color w:val="auto"/>
            <w:sz w:val="22"/>
            <w:szCs w:val="22"/>
          </w:rPr>
          <w:tab/>
        </w:r>
        <w:r w:rsidRPr="00153D41">
          <w:rPr>
            <w:rStyle w:val="Hyperlink"/>
          </w:rPr>
          <w:t>Здравеопазване</w:t>
        </w:r>
        <w:r>
          <w:rPr>
            <w:webHidden/>
          </w:rPr>
          <w:tab/>
        </w:r>
        <w:r>
          <w:rPr>
            <w:webHidden/>
          </w:rPr>
          <w:fldChar w:fldCharType="begin"/>
        </w:r>
        <w:r>
          <w:rPr>
            <w:webHidden/>
          </w:rPr>
          <w:instrText xml:space="preserve"> PAGEREF _Toc146037912 \h </w:instrText>
        </w:r>
        <w:r>
          <w:rPr>
            <w:webHidden/>
          </w:rPr>
        </w:r>
        <w:r>
          <w:rPr>
            <w:webHidden/>
          </w:rPr>
          <w:fldChar w:fldCharType="separate"/>
        </w:r>
        <w:r>
          <w:rPr>
            <w:webHidden/>
          </w:rPr>
          <w:t>128</w:t>
        </w:r>
        <w:r>
          <w:rPr>
            <w:webHidden/>
          </w:rPr>
          <w:fldChar w:fldCharType="end"/>
        </w:r>
      </w:hyperlink>
    </w:p>
    <w:p w14:paraId="1CBF8E5F" w14:textId="3309D7E8" w:rsidR="001243D7" w:rsidRDefault="001243D7">
      <w:pPr>
        <w:pStyle w:val="TOC3"/>
        <w:rPr>
          <w:rFonts w:asciiTheme="minorHAnsi" w:eastAsiaTheme="minorEastAsia" w:hAnsiTheme="minorHAnsi" w:cstheme="minorBidi"/>
          <w:color w:val="auto"/>
          <w:sz w:val="22"/>
          <w:szCs w:val="22"/>
        </w:rPr>
      </w:pPr>
      <w:hyperlink w:anchor="_Toc146037913" w:history="1">
        <w:r w:rsidRPr="00153D41">
          <w:rPr>
            <w:rStyle w:val="Hyperlink"/>
            <w:lang w:val="en-US"/>
          </w:rPr>
          <w:t>2.4.5</w:t>
        </w:r>
        <w:r>
          <w:rPr>
            <w:rFonts w:asciiTheme="minorHAnsi" w:eastAsiaTheme="minorEastAsia" w:hAnsiTheme="minorHAnsi" w:cstheme="minorBidi"/>
            <w:color w:val="auto"/>
            <w:sz w:val="22"/>
            <w:szCs w:val="22"/>
          </w:rPr>
          <w:tab/>
        </w:r>
        <w:r w:rsidRPr="00153D41">
          <w:rPr>
            <w:rStyle w:val="Hyperlink"/>
          </w:rPr>
          <w:t>Социално осигуряване, подпомагане и грижи</w:t>
        </w:r>
        <w:r>
          <w:rPr>
            <w:webHidden/>
          </w:rPr>
          <w:tab/>
        </w:r>
        <w:r>
          <w:rPr>
            <w:webHidden/>
          </w:rPr>
          <w:fldChar w:fldCharType="begin"/>
        </w:r>
        <w:r>
          <w:rPr>
            <w:webHidden/>
          </w:rPr>
          <w:instrText xml:space="preserve"> PAGEREF _Toc146037913 \h </w:instrText>
        </w:r>
        <w:r>
          <w:rPr>
            <w:webHidden/>
          </w:rPr>
        </w:r>
        <w:r>
          <w:rPr>
            <w:webHidden/>
          </w:rPr>
          <w:fldChar w:fldCharType="separate"/>
        </w:r>
        <w:r>
          <w:rPr>
            <w:webHidden/>
          </w:rPr>
          <w:t>131</w:t>
        </w:r>
        <w:r>
          <w:rPr>
            <w:webHidden/>
          </w:rPr>
          <w:fldChar w:fldCharType="end"/>
        </w:r>
      </w:hyperlink>
    </w:p>
    <w:p w14:paraId="7BC59917" w14:textId="214C372F" w:rsidR="001243D7" w:rsidRDefault="001243D7">
      <w:pPr>
        <w:pStyle w:val="TOC3"/>
        <w:rPr>
          <w:rFonts w:asciiTheme="minorHAnsi" w:eastAsiaTheme="minorEastAsia" w:hAnsiTheme="minorHAnsi" w:cstheme="minorBidi"/>
          <w:color w:val="auto"/>
          <w:sz w:val="22"/>
          <w:szCs w:val="22"/>
        </w:rPr>
      </w:pPr>
      <w:hyperlink w:anchor="_Toc146037914" w:history="1">
        <w:r w:rsidRPr="00153D41">
          <w:rPr>
            <w:rStyle w:val="Hyperlink"/>
          </w:rPr>
          <w:t>2.4.6</w:t>
        </w:r>
        <w:r>
          <w:rPr>
            <w:rFonts w:asciiTheme="minorHAnsi" w:eastAsiaTheme="minorEastAsia" w:hAnsiTheme="minorHAnsi" w:cstheme="minorBidi"/>
            <w:color w:val="auto"/>
            <w:sz w:val="22"/>
            <w:szCs w:val="22"/>
          </w:rPr>
          <w:tab/>
        </w:r>
        <w:r w:rsidRPr="00153D41">
          <w:rPr>
            <w:rStyle w:val="Hyperlink"/>
          </w:rPr>
          <w:t>Жилищно строителство, благоустройство, комунално стопанство и опазване на околната среда</w:t>
        </w:r>
        <w:r>
          <w:rPr>
            <w:webHidden/>
          </w:rPr>
          <w:tab/>
        </w:r>
        <w:r>
          <w:rPr>
            <w:webHidden/>
          </w:rPr>
          <w:fldChar w:fldCharType="begin"/>
        </w:r>
        <w:r>
          <w:rPr>
            <w:webHidden/>
          </w:rPr>
          <w:instrText xml:space="preserve"> PAGEREF _Toc146037914 \h </w:instrText>
        </w:r>
        <w:r>
          <w:rPr>
            <w:webHidden/>
          </w:rPr>
        </w:r>
        <w:r>
          <w:rPr>
            <w:webHidden/>
          </w:rPr>
          <w:fldChar w:fldCharType="separate"/>
        </w:r>
        <w:r>
          <w:rPr>
            <w:webHidden/>
          </w:rPr>
          <w:t>139</w:t>
        </w:r>
        <w:r>
          <w:rPr>
            <w:webHidden/>
          </w:rPr>
          <w:fldChar w:fldCharType="end"/>
        </w:r>
      </w:hyperlink>
    </w:p>
    <w:p w14:paraId="668F0B9A" w14:textId="1141E8D6" w:rsidR="001243D7" w:rsidRDefault="001243D7">
      <w:pPr>
        <w:pStyle w:val="TOC3"/>
        <w:rPr>
          <w:rFonts w:asciiTheme="minorHAnsi" w:eastAsiaTheme="minorEastAsia" w:hAnsiTheme="minorHAnsi" w:cstheme="minorBidi"/>
          <w:color w:val="auto"/>
          <w:sz w:val="22"/>
          <w:szCs w:val="22"/>
        </w:rPr>
      </w:pPr>
      <w:hyperlink w:anchor="_Toc146037915" w:history="1">
        <w:r w:rsidRPr="00153D41">
          <w:rPr>
            <w:rStyle w:val="Hyperlink"/>
          </w:rPr>
          <w:t>2.4.7</w:t>
        </w:r>
        <w:r>
          <w:rPr>
            <w:rFonts w:asciiTheme="minorHAnsi" w:eastAsiaTheme="minorEastAsia" w:hAnsiTheme="minorHAnsi" w:cstheme="minorBidi"/>
            <w:color w:val="auto"/>
            <w:sz w:val="22"/>
            <w:szCs w:val="22"/>
          </w:rPr>
          <w:tab/>
        </w:r>
        <w:r w:rsidRPr="00153D41">
          <w:rPr>
            <w:rStyle w:val="Hyperlink"/>
          </w:rPr>
          <w:t>Култура, спорт, почивни дейности и религиозно дело</w:t>
        </w:r>
        <w:r>
          <w:rPr>
            <w:webHidden/>
          </w:rPr>
          <w:tab/>
        </w:r>
        <w:r>
          <w:rPr>
            <w:webHidden/>
          </w:rPr>
          <w:fldChar w:fldCharType="begin"/>
        </w:r>
        <w:r>
          <w:rPr>
            <w:webHidden/>
          </w:rPr>
          <w:instrText xml:space="preserve"> PAGEREF _Toc146037915 \h </w:instrText>
        </w:r>
        <w:r>
          <w:rPr>
            <w:webHidden/>
          </w:rPr>
        </w:r>
        <w:r>
          <w:rPr>
            <w:webHidden/>
          </w:rPr>
          <w:fldChar w:fldCharType="separate"/>
        </w:r>
        <w:r>
          <w:rPr>
            <w:webHidden/>
          </w:rPr>
          <w:t>145</w:t>
        </w:r>
        <w:r>
          <w:rPr>
            <w:webHidden/>
          </w:rPr>
          <w:fldChar w:fldCharType="end"/>
        </w:r>
      </w:hyperlink>
    </w:p>
    <w:p w14:paraId="18BD03B7" w14:textId="683DDA00" w:rsidR="001243D7" w:rsidRDefault="001243D7">
      <w:pPr>
        <w:pStyle w:val="TOC3"/>
        <w:rPr>
          <w:rFonts w:asciiTheme="minorHAnsi" w:eastAsiaTheme="minorEastAsia" w:hAnsiTheme="minorHAnsi" w:cstheme="minorBidi"/>
          <w:color w:val="auto"/>
          <w:sz w:val="22"/>
          <w:szCs w:val="22"/>
        </w:rPr>
      </w:pPr>
      <w:hyperlink w:anchor="_Toc146037916" w:history="1">
        <w:r w:rsidRPr="00153D41">
          <w:rPr>
            <w:rStyle w:val="Hyperlink"/>
            <w:lang w:val="en-US"/>
          </w:rPr>
          <w:t>2.4.8</w:t>
        </w:r>
        <w:r>
          <w:rPr>
            <w:rFonts w:asciiTheme="minorHAnsi" w:eastAsiaTheme="minorEastAsia" w:hAnsiTheme="minorHAnsi" w:cstheme="minorBidi"/>
            <w:color w:val="auto"/>
            <w:sz w:val="22"/>
            <w:szCs w:val="22"/>
          </w:rPr>
          <w:tab/>
        </w:r>
        <w:r w:rsidRPr="00153D41">
          <w:rPr>
            <w:rStyle w:val="Hyperlink"/>
          </w:rPr>
          <w:t>Икономически дейности и услуги</w:t>
        </w:r>
        <w:r>
          <w:rPr>
            <w:webHidden/>
          </w:rPr>
          <w:tab/>
        </w:r>
        <w:r>
          <w:rPr>
            <w:webHidden/>
          </w:rPr>
          <w:fldChar w:fldCharType="begin"/>
        </w:r>
        <w:r>
          <w:rPr>
            <w:webHidden/>
          </w:rPr>
          <w:instrText xml:space="preserve"> PAGEREF _Toc146037916 \h </w:instrText>
        </w:r>
        <w:r>
          <w:rPr>
            <w:webHidden/>
          </w:rPr>
        </w:r>
        <w:r>
          <w:rPr>
            <w:webHidden/>
          </w:rPr>
          <w:fldChar w:fldCharType="separate"/>
        </w:r>
        <w:r>
          <w:rPr>
            <w:webHidden/>
          </w:rPr>
          <w:t>150</w:t>
        </w:r>
        <w:r>
          <w:rPr>
            <w:webHidden/>
          </w:rPr>
          <w:fldChar w:fldCharType="end"/>
        </w:r>
      </w:hyperlink>
    </w:p>
    <w:p w14:paraId="2644451F" w14:textId="7D9F8869" w:rsidR="001243D7" w:rsidRDefault="001243D7">
      <w:pPr>
        <w:pStyle w:val="TOC3"/>
        <w:rPr>
          <w:rFonts w:asciiTheme="minorHAnsi" w:eastAsiaTheme="minorEastAsia" w:hAnsiTheme="minorHAnsi" w:cstheme="minorBidi"/>
          <w:color w:val="auto"/>
          <w:sz w:val="22"/>
          <w:szCs w:val="22"/>
        </w:rPr>
      </w:pPr>
      <w:hyperlink w:anchor="_Toc146037917" w:history="1">
        <w:r w:rsidRPr="00153D41">
          <w:rPr>
            <w:rStyle w:val="Hyperlink"/>
          </w:rPr>
          <w:t>2.4.9</w:t>
        </w:r>
        <w:r>
          <w:rPr>
            <w:rFonts w:asciiTheme="minorHAnsi" w:eastAsiaTheme="minorEastAsia" w:hAnsiTheme="minorHAnsi" w:cstheme="minorBidi"/>
            <w:color w:val="auto"/>
            <w:sz w:val="22"/>
            <w:szCs w:val="22"/>
          </w:rPr>
          <w:tab/>
        </w:r>
        <w:r w:rsidRPr="00153D41">
          <w:rPr>
            <w:rStyle w:val="Hyperlink"/>
          </w:rPr>
          <w:t>Разходи, некласифицирани в другите функции</w:t>
        </w:r>
        <w:r>
          <w:rPr>
            <w:webHidden/>
          </w:rPr>
          <w:tab/>
        </w:r>
        <w:r>
          <w:rPr>
            <w:webHidden/>
          </w:rPr>
          <w:fldChar w:fldCharType="begin"/>
        </w:r>
        <w:r>
          <w:rPr>
            <w:webHidden/>
          </w:rPr>
          <w:instrText xml:space="preserve"> PAGEREF _Toc146037917 \h </w:instrText>
        </w:r>
        <w:r>
          <w:rPr>
            <w:webHidden/>
          </w:rPr>
        </w:r>
        <w:r>
          <w:rPr>
            <w:webHidden/>
          </w:rPr>
          <w:fldChar w:fldCharType="separate"/>
        </w:r>
        <w:r>
          <w:rPr>
            <w:webHidden/>
          </w:rPr>
          <w:t>163</w:t>
        </w:r>
        <w:r>
          <w:rPr>
            <w:webHidden/>
          </w:rPr>
          <w:fldChar w:fldCharType="end"/>
        </w:r>
      </w:hyperlink>
    </w:p>
    <w:p w14:paraId="241C6E3C" w14:textId="66AD8927" w:rsidR="001243D7" w:rsidRDefault="001243D7">
      <w:pPr>
        <w:pStyle w:val="TOC3"/>
        <w:rPr>
          <w:rFonts w:asciiTheme="minorHAnsi" w:eastAsiaTheme="minorEastAsia" w:hAnsiTheme="minorHAnsi" w:cstheme="minorBidi"/>
          <w:color w:val="auto"/>
          <w:sz w:val="22"/>
          <w:szCs w:val="22"/>
        </w:rPr>
      </w:pPr>
      <w:hyperlink w:anchor="_Toc146037918" w:history="1">
        <w:r w:rsidRPr="00153D41">
          <w:rPr>
            <w:rStyle w:val="Hyperlink"/>
          </w:rPr>
          <w:t>2.5</w:t>
        </w:r>
        <w:r>
          <w:rPr>
            <w:rFonts w:asciiTheme="minorHAnsi" w:eastAsiaTheme="minorEastAsia" w:hAnsiTheme="minorHAnsi" w:cstheme="minorBidi"/>
            <w:color w:val="auto"/>
            <w:sz w:val="22"/>
            <w:szCs w:val="22"/>
          </w:rPr>
          <w:tab/>
        </w:r>
        <w:r w:rsidRPr="00153D41">
          <w:rPr>
            <w:rStyle w:val="Hyperlink"/>
          </w:rPr>
          <w:t>Изпълнение на показателите в частта на финансирането по консолидираната фискална програма за 202</w:t>
        </w:r>
        <w:r w:rsidRPr="00153D41">
          <w:rPr>
            <w:rStyle w:val="Hyperlink"/>
            <w:lang w:val="ru-RU"/>
          </w:rPr>
          <w:t>2</w:t>
        </w:r>
        <w:r w:rsidRPr="00153D41">
          <w:rPr>
            <w:rStyle w:val="Hyperlink"/>
          </w:rPr>
          <w:t xml:space="preserve"> г.</w:t>
        </w:r>
        <w:r>
          <w:rPr>
            <w:webHidden/>
          </w:rPr>
          <w:tab/>
        </w:r>
        <w:r>
          <w:rPr>
            <w:webHidden/>
          </w:rPr>
          <w:fldChar w:fldCharType="begin"/>
        </w:r>
        <w:r>
          <w:rPr>
            <w:webHidden/>
          </w:rPr>
          <w:instrText xml:space="preserve"> PAGEREF _Toc146037918 \h </w:instrText>
        </w:r>
        <w:r>
          <w:rPr>
            <w:webHidden/>
          </w:rPr>
        </w:r>
        <w:r>
          <w:rPr>
            <w:webHidden/>
          </w:rPr>
          <w:fldChar w:fldCharType="separate"/>
        </w:r>
        <w:r>
          <w:rPr>
            <w:webHidden/>
          </w:rPr>
          <w:t>164</w:t>
        </w:r>
        <w:r>
          <w:rPr>
            <w:webHidden/>
          </w:rPr>
          <w:fldChar w:fldCharType="end"/>
        </w:r>
      </w:hyperlink>
    </w:p>
    <w:p w14:paraId="71BDC192" w14:textId="1FBAB510" w:rsidR="001243D7" w:rsidRDefault="001243D7">
      <w:pPr>
        <w:pStyle w:val="TOC3"/>
        <w:rPr>
          <w:rFonts w:asciiTheme="minorHAnsi" w:eastAsiaTheme="minorEastAsia" w:hAnsiTheme="minorHAnsi" w:cstheme="minorBidi"/>
          <w:color w:val="auto"/>
          <w:sz w:val="22"/>
          <w:szCs w:val="22"/>
        </w:rPr>
      </w:pPr>
      <w:hyperlink w:anchor="_Toc146037919" w:history="1">
        <w:r w:rsidRPr="00153D41">
          <w:rPr>
            <w:rStyle w:val="Hyperlink"/>
          </w:rPr>
          <w:t>2.5.1</w:t>
        </w:r>
        <w:r>
          <w:rPr>
            <w:rFonts w:asciiTheme="minorHAnsi" w:eastAsiaTheme="minorEastAsia" w:hAnsiTheme="minorHAnsi" w:cstheme="minorBidi"/>
            <w:color w:val="auto"/>
            <w:sz w:val="22"/>
            <w:szCs w:val="22"/>
          </w:rPr>
          <w:tab/>
        </w:r>
        <w:r w:rsidRPr="00153D41">
          <w:rPr>
            <w:rStyle w:val="Hyperlink"/>
          </w:rPr>
          <w:t>Външно финансиране</w:t>
        </w:r>
        <w:r>
          <w:rPr>
            <w:webHidden/>
          </w:rPr>
          <w:tab/>
        </w:r>
        <w:r>
          <w:rPr>
            <w:webHidden/>
          </w:rPr>
          <w:fldChar w:fldCharType="begin"/>
        </w:r>
        <w:r>
          <w:rPr>
            <w:webHidden/>
          </w:rPr>
          <w:instrText xml:space="preserve"> PAGEREF _Toc146037919 \h </w:instrText>
        </w:r>
        <w:r>
          <w:rPr>
            <w:webHidden/>
          </w:rPr>
        </w:r>
        <w:r>
          <w:rPr>
            <w:webHidden/>
          </w:rPr>
          <w:fldChar w:fldCharType="separate"/>
        </w:r>
        <w:r>
          <w:rPr>
            <w:webHidden/>
          </w:rPr>
          <w:t>164</w:t>
        </w:r>
        <w:r>
          <w:rPr>
            <w:webHidden/>
          </w:rPr>
          <w:fldChar w:fldCharType="end"/>
        </w:r>
      </w:hyperlink>
    </w:p>
    <w:p w14:paraId="17B7ECB6" w14:textId="6CC8FA20" w:rsidR="001243D7" w:rsidRDefault="001243D7">
      <w:pPr>
        <w:pStyle w:val="TOC3"/>
        <w:rPr>
          <w:rFonts w:asciiTheme="minorHAnsi" w:eastAsiaTheme="minorEastAsia" w:hAnsiTheme="minorHAnsi" w:cstheme="minorBidi"/>
          <w:color w:val="auto"/>
          <w:sz w:val="22"/>
          <w:szCs w:val="22"/>
        </w:rPr>
      </w:pPr>
      <w:hyperlink w:anchor="_Toc146037920" w:history="1">
        <w:r w:rsidRPr="00153D41">
          <w:rPr>
            <w:rStyle w:val="Hyperlink"/>
          </w:rPr>
          <w:t>2.5.2</w:t>
        </w:r>
        <w:r>
          <w:rPr>
            <w:rFonts w:asciiTheme="minorHAnsi" w:eastAsiaTheme="minorEastAsia" w:hAnsiTheme="minorHAnsi" w:cstheme="minorBidi"/>
            <w:color w:val="auto"/>
            <w:sz w:val="22"/>
            <w:szCs w:val="22"/>
          </w:rPr>
          <w:tab/>
        </w:r>
        <w:r w:rsidRPr="00153D41">
          <w:rPr>
            <w:rStyle w:val="Hyperlink"/>
          </w:rPr>
          <w:t>Вътрешно финансиране</w:t>
        </w:r>
        <w:r>
          <w:rPr>
            <w:webHidden/>
          </w:rPr>
          <w:tab/>
        </w:r>
        <w:r>
          <w:rPr>
            <w:webHidden/>
          </w:rPr>
          <w:fldChar w:fldCharType="begin"/>
        </w:r>
        <w:r>
          <w:rPr>
            <w:webHidden/>
          </w:rPr>
          <w:instrText xml:space="preserve"> PAGEREF _Toc146037920 \h </w:instrText>
        </w:r>
        <w:r>
          <w:rPr>
            <w:webHidden/>
          </w:rPr>
        </w:r>
        <w:r>
          <w:rPr>
            <w:webHidden/>
          </w:rPr>
          <w:fldChar w:fldCharType="separate"/>
        </w:r>
        <w:r>
          <w:rPr>
            <w:webHidden/>
          </w:rPr>
          <w:t>165</w:t>
        </w:r>
        <w:r>
          <w:rPr>
            <w:webHidden/>
          </w:rPr>
          <w:fldChar w:fldCharType="end"/>
        </w:r>
      </w:hyperlink>
    </w:p>
    <w:p w14:paraId="0600C089" w14:textId="289F29A6" w:rsidR="001243D7" w:rsidRDefault="001243D7">
      <w:pPr>
        <w:pStyle w:val="TOC3"/>
        <w:rPr>
          <w:rFonts w:asciiTheme="minorHAnsi" w:eastAsiaTheme="minorEastAsia" w:hAnsiTheme="minorHAnsi" w:cstheme="minorBidi"/>
          <w:color w:val="auto"/>
          <w:sz w:val="22"/>
          <w:szCs w:val="22"/>
        </w:rPr>
      </w:pPr>
      <w:hyperlink w:anchor="_Toc146037921" w:history="1">
        <w:r w:rsidRPr="00153D41">
          <w:rPr>
            <w:rStyle w:val="Hyperlink"/>
          </w:rPr>
          <w:t>2.5.3</w:t>
        </w:r>
        <w:r>
          <w:rPr>
            <w:rFonts w:asciiTheme="minorHAnsi" w:eastAsiaTheme="minorEastAsia" w:hAnsiTheme="minorHAnsi" w:cstheme="minorBidi"/>
            <w:color w:val="auto"/>
            <w:sz w:val="22"/>
            <w:szCs w:val="22"/>
          </w:rPr>
          <w:tab/>
        </w:r>
        <w:r w:rsidRPr="00153D41">
          <w:rPr>
            <w:rStyle w:val="Hyperlink"/>
          </w:rPr>
          <w:t>Приватизация</w:t>
        </w:r>
        <w:r>
          <w:rPr>
            <w:webHidden/>
          </w:rPr>
          <w:tab/>
        </w:r>
        <w:r>
          <w:rPr>
            <w:webHidden/>
          </w:rPr>
          <w:fldChar w:fldCharType="begin"/>
        </w:r>
        <w:r>
          <w:rPr>
            <w:webHidden/>
          </w:rPr>
          <w:instrText xml:space="preserve"> PAGEREF _Toc146037921 \h </w:instrText>
        </w:r>
        <w:r>
          <w:rPr>
            <w:webHidden/>
          </w:rPr>
        </w:r>
        <w:r>
          <w:rPr>
            <w:webHidden/>
          </w:rPr>
          <w:fldChar w:fldCharType="separate"/>
        </w:r>
        <w:r>
          <w:rPr>
            <w:webHidden/>
          </w:rPr>
          <w:t>168</w:t>
        </w:r>
        <w:r>
          <w:rPr>
            <w:webHidden/>
          </w:rPr>
          <w:fldChar w:fldCharType="end"/>
        </w:r>
      </w:hyperlink>
    </w:p>
    <w:p w14:paraId="65E70702" w14:textId="7B3BD514" w:rsidR="001243D7" w:rsidRDefault="001243D7">
      <w:pPr>
        <w:pStyle w:val="TOC3"/>
        <w:rPr>
          <w:rFonts w:asciiTheme="minorHAnsi" w:eastAsiaTheme="minorEastAsia" w:hAnsiTheme="minorHAnsi" w:cstheme="minorBidi"/>
          <w:color w:val="auto"/>
          <w:sz w:val="22"/>
          <w:szCs w:val="22"/>
        </w:rPr>
      </w:pPr>
      <w:hyperlink w:anchor="_Toc146037922" w:history="1">
        <w:r w:rsidRPr="00153D41">
          <w:rPr>
            <w:rStyle w:val="Hyperlink"/>
          </w:rPr>
          <w:t>2.5.4</w:t>
        </w:r>
        <w:r>
          <w:rPr>
            <w:rFonts w:asciiTheme="minorHAnsi" w:eastAsiaTheme="minorEastAsia" w:hAnsiTheme="minorHAnsi" w:cstheme="minorBidi"/>
            <w:color w:val="auto"/>
            <w:sz w:val="22"/>
            <w:szCs w:val="22"/>
          </w:rPr>
          <w:tab/>
        </w:r>
        <w:r w:rsidRPr="00153D41">
          <w:rPr>
            <w:rStyle w:val="Hyperlink"/>
          </w:rPr>
          <w:t>Средства, акумулирани по сметка на Държавния фонд за гарантиране  устойчивост на държавната пенсионна система</w:t>
        </w:r>
        <w:r>
          <w:rPr>
            <w:webHidden/>
          </w:rPr>
          <w:tab/>
        </w:r>
        <w:r>
          <w:rPr>
            <w:webHidden/>
          </w:rPr>
          <w:fldChar w:fldCharType="begin"/>
        </w:r>
        <w:r>
          <w:rPr>
            <w:webHidden/>
          </w:rPr>
          <w:instrText xml:space="preserve"> PAGEREF _Toc146037922 \h </w:instrText>
        </w:r>
        <w:r>
          <w:rPr>
            <w:webHidden/>
          </w:rPr>
        </w:r>
        <w:r>
          <w:rPr>
            <w:webHidden/>
          </w:rPr>
          <w:fldChar w:fldCharType="separate"/>
        </w:r>
        <w:r>
          <w:rPr>
            <w:webHidden/>
          </w:rPr>
          <w:t>168</w:t>
        </w:r>
        <w:r>
          <w:rPr>
            <w:webHidden/>
          </w:rPr>
          <w:fldChar w:fldCharType="end"/>
        </w:r>
      </w:hyperlink>
    </w:p>
    <w:p w14:paraId="6B04BD41" w14:textId="23E4FAF2" w:rsidR="001243D7" w:rsidRDefault="001243D7">
      <w:pPr>
        <w:pStyle w:val="TOC1"/>
        <w:rPr>
          <w:rFonts w:asciiTheme="minorHAnsi" w:eastAsiaTheme="minorEastAsia" w:hAnsiTheme="minorHAnsi" w:cstheme="minorBidi"/>
          <w:b w:val="0"/>
          <w:color w:val="auto"/>
        </w:rPr>
      </w:pPr>
      <w:hyperlink w:anchor="_Toc146037923" w:history="1">
        <w:r w:rsidRPr="00153D41">
          <w:rPr>
            <w:rStyle w:val="Hyperlink"/>
          </w:rPr>
          <w:t>III. ДЪРЖАВЕН БЮДЖЕТ, БЮДЖЕТИ НА ОБЩИНИТЕ, НА СОЦИАЛНООСИГУРИТЕЛНИТЕ ФОНДОВЕ И БЮДЖЕТИ ПО ЧЛ. 13, АЛ. 3 и АЛ. 4 ОТ ЗАКОНА ЗА ПУБЛИЧНИТЕ ФИНАНСИ</w:t>
        </w:r>
        <w:r>
          <w:rPr>
            <w:webHidden/>
          </w:rPr>
          <w:tab/>
        </w:r>
        <w:r>
          <w:rPr>
            <w:webHidden/>
          </w:rPr>
          <w:fldChar w:fldCharType="begin"/>
        </w:r>
        <w:r>
          <w:rPr>
            <w:webHidden/>
          </w:rPr>
          <w:instrText xml:space="preserve"> PAGEREF _Toc146037923 \h </w:instrText>
        </w:r>
        <w:r>
          <w:rPr>
            <w:webHidden/>
          </w:rPr>
        </w:r>
        <w:r>
          <w:rPr>
            <w:webHidden/>
          </w:rPr>
          <w:fldChar w:fldCharType="separate"/>
        </w:r>
        <w:r>
          <w:rPr>
            <w:webHidden/>
          </w:rPr>
          <w:t>171</w:t>
        </w:r>
        <w:r>
          <w:rPr>
            <w:webHidden/>
          </w:rPr>
          <w:fldChar w:fldCharType="end"/>
        </w:r>
      </w:hyperlink>
    </w:p>
    <w:p w14:paraId="2FDD452D" w14:textId="1CF82B6B" w:rsidR="001243D7" w:rsidRDefault="001243D7">
      <w:pPr>
        <w:pStyle w:val="TOC2"/>
        <w:rPr>
          <w:rFonts w:asciiTheme="minorHAnsi" w:eastAsiaTheme="minorEastAsia" w:hAnsiTheme="minorHAnsi" w:cstheme="minorBidi"/>
          <w:b w:val="0"/>
          <w:color w:val="auto"/>
        </w:rPr>
      </w:pPr>
      <w:hyperlink w:anchor="_Toc146037924" w:history="1">
        <w:r w:rsidRPr="00153D41">
          <w:rPr>
            <w:rStyle w:val="Hyperlink"/>
          </w:rPr>
          <w:t>1.</w:t>
        </w:r>
        <w:r>
          <w:rPr>
            <w:rFonts w:asciiTheme="minorHAnsi" w:eastAsiaTheme="minorEastAsia" w:hAnsiTheme="minorHAnsi" w:cstheme="minorBidi"/>
            <w:b w:val="0"/>
            <w:color w:val="auto"/>
          </w:rPr>
          <w:tab/>
        </w:r>
        <w:r w:rsidRPr="00153D41">
          <w:rPr>
            <w:rStyle w:val="Hyperlink"/>
          </w:rPr>
          <w:t>Държавен бюджет</w:t>
        </w:r>
        <w:r>
          <w:rPr>
            <w:webHidden/>
          </w:rPr>
          <w:tab/>
        </w:r>
        <w:r>
          <w:rPr>
            <w:webHidden/>
          </w:rPr>
          <w:fldChar w:fldCharType="begin"/>
        </w:r>
        <w:r>
          <w:rPr>
            <w:webHidden/>
          </w:rPr>
          <w:instrText xml:space="preserve"> PAGEREF _Toc146037924 \h </w:instrText>
        </w:r>
        <w:r>
          <w:rPr>
            <w:webHidden/>
          </w:rPr>
        </w:r>
        <w:r>
          <w:rPr>
            <w:webHidden/>
          </w:rPr>
          <w:fldChar w:fldCharType="separate"/>
        </w:r>
        <w:r>
          <w:rPr>
            <w:webHidden/>
          </w:rPr>
          <w:t>171</w:t>
        </w:r>
        <w:r>
          <w:rPr>
            <w:webHidden/>
          </w:rPr>
          <w:fldChar w:fldCharType="end"/>
        </w:r>
      </w:hyperlink>
    </w:p>
    <w:p w14:paraId="56B38BD0" w14:textId="3B750C87" w:rsidR="001243D7" w:rsidRDefault="001243D7">
      <w:pPr>
        <w:pStyle w:val="TOC3"/>
        <w:rPr>
          <w:rFonts w:asciiTheme="minorHAnsi" w:eastAsiaTheme="minorEastAsia" w:hAnsiTheme="minorHAnsi" w:cstheme="minorBidi"/>
          <w:color w:val="auto"/>
          <w:sz w:val="22"/>
          <w:szCs w:val="22"/>
        </w:rPr>
      </w:pPr>
      <w:hyperlink w:anchor="_Toc146037925" w:history="1">
        <w:r w:rsidRPr="00153D41">
          <w:rPr>
            <w:rStyle w:val="Hyperlink"/>
          </w:rPr>
          <w:t>1.1</w:t>
        </w:r>
        <w:r>
          <w:rPr>
            <w:rFonts w:asciiTheme="minorHAnsi" w:eastAsiaTheme="minorEastAsia" w:hAnsiTheme="minorHAnsi" w:cstheme="minorBidi"/>
            <w:color w:val="auto"/>
            <w:sz w:val="22"/>
            <w:szCs w:val="22"/>
          </w:rPr>
          <w:tab/>
        </w:r>
        <w:r w:rsidRPr="00153D41">
          <w:rPr>
            <w:rStyle w:val="Hyperlink"/>
          </w:rPr>
          <w:t>Бюджет на Народното събрание</w:t>
        </w:r>
        <w:r>
          <w:rPr>
            <w:webHidden/>
          </w:rPr>
          <w:tab/>
        </w:r>
        <w:r>
          <w:rPr>
            <w:webHidden/>
          </w:rPr>
          <w:fldChar w:fldCharType="begin"/>
        </w:r>
        <w:r>
          <w:rPr>
            <w:webHidden/>
          </w:rPr>
          <w:instrText xml:space="preserve"> PAGEREF _Toc146037925 \h </w:instrText>
        </w:r>
        <w:r>
          <w:rPr>
            <w:webHidden/>
          </w:rPr>
        </w:r>
        <w:r>
          <w:rPr>
            <w:webHidden/>
          </w:rPr>
          <w:fldChar w:fldCharType="separate"/>
        </w:r>
        <w:r>
          <w:rPr>
            <w:webHidden/>
          </w:rPr>
          <w:t>174</w:t>
        </w:r>
        <w:r>
          <w:rPr>
            <w:webHidden/>
          </w:rPr>
          <w:fldChar w:fldCharType="end"/>
        </w:r>
      </w:hyperlink>
    </w:p>
    <w:p w14:paraId="41079ACE" w14:textId="30EDC1F1" w:rsidR="001243D7" w:rsidRDefault="001243D7">
      <w:pPr>
        <w:pStyle w:val="TOC3"/>
        <w:rPr>
          <w:rFonts w:asciiTheme="minorHAnsi" w:eastAsiaTheme="minorEastAsia" w:hAnsiTheme="minorHAnsi" w:cstheme="minorBidi"/>
          <w:color w:val="auto"/>
          <w:sz w:val="22"/>
          <w:szCs w:val="22"/>
        </w:rPr>
      </w:pPr>
      <w:hyperlink w:anchor="_Toc146037926" w:history="1">
        <w:r w:rsidRPr="00153D41">
          <w:rPr>
            <w:rStyle w:val="Hyperlink"/>
          </w:rPr>
          <w:t>1.2</w:t>
        </w:r>
        <w:r>
          <w:rPr>
            <w:rFonts w:asciiTheme="minorHAnsi" w:eastAsiaTheme="minorEastAsia" w:hAnsiTheme="minorHAnsi" w:cstheme="minorBidi"/>
            <w:color w:val="auto"/>
            <w:sz w:val="22"/>
            <w:szCs w:val="22"/>
          </w:rPr>
          <w:tab/>
        </w:r>
        <w:r w:rsidRPr="00153D41">
          <w:rPr>
            <w:rStyle w:val="Hyperlink"/>
          </w:rPr>
          <w:t>Бюджет на съдебната власт</w:t>
        </w:r>
        <w:r>
          <w:rPr>
            <w:webHidden/>
          </w:rPr>
          <w:tab/>
        </w:r>
        <w:r>
          <w:rPr>
            <w:webHidden/>
          </w:rPr>
          <w:fldChar w:fldCharType="begin"/>
        </w:r>
        <w:r>
          <w:rPr>
            <w:webHidden/>
          </w:rPr>
          <w:instrText xml:space="preserve"> PAGEREF _Toc146037926 \h </w:instrText>
        </w:r>
        <w:r>
          <w:rPr>
            <w:webHidden/>
          </w:rPr>
        </w:r>
        <w:r>
          <w:rPr>
            <w:webHidden/>
          </w:rPr>
          <w:fldChar w:fldCharType="separate"/>
        </w:r>
        <w:r>
          <w:rPr>
            <w:webHidden/>
          </w:rPr>
          <w:t>174</w:t>
        </w:r>
        <w:r>
          <w:rPr>
            <w:webHidden/>
          </w:rPr>
          <w:fldChar w:fldCharType="end"/>
        </w:r>
      </w:hyperlink>
    </w:p>
    <w:p w14:paraId="5BCAAE6C" w14:textId="2670DF14" w:rsidR="001243D7" w:rsidRDefault="001243D7">
      <w:pPr>
        <w:pStyle w:val="TOC2"/>
        <w:rPr>
          <w:rFonts w:asciiTheme="minorHAnsi" w:eastAsiaTheme="minorEastAsia" w:hAnsiTheme="minorHAnsi" w:cstheme="minorBidi"/>
          <w:b w:val="0"/>
          <w:color w:val="auto"/>
        </w:rPr>
      </w:pPr>
      <w:hyperlink w:anchor="_Toc146037927" w:history="1">
        <w:r w:rsidRPr="00153D41">
          <w:rPr>
            <w:rStyle w:val="Hyperlink"/>
          </w:rPr>
          <w:t>2.</w:t>
        </w:r>
        <w:r>
          <w:rPr>
            <w:rFonts w:asciiTheme="minorHAnsi" w:eastAsiaTheme="minorEastAsia" w:hAnsiTheme="minorHAnsi" w:cstheme="minorBidi"/>
            <w:b w:val="0"/>
            <w:color w:val="auto"/>
          </w:rPr>
          <w:tab/>
        </w:r>
        <w:r w:rsidRPr="00153D41">
          <w:rPr>
            <w:rStyle w:val="Hyperlink"/>
          </w:rPr>
          <w:t>Бюджети на общините</w:t>
        </w:r>
        <w:r>
          <w:rPr>
            <w:webHidden/>
          </w:rPr>
          <w:tab/>
        </w:r>
        <w:r>
          <w:rPr>
            <w:webHidden/>
          </w:rPr>
          <w:fldChar w:fldCharType="begin"/>
        </w:r>
        <w:r>
          <w:rPr>
            <w:webHidden/>
          </w:rPr>
          <w:instrText xml:space="preserve"> PAGEREF _Toc146037927 \h </w:instrText>
        </w:r>
        <w:r>
          <w:rPr>
            <w:webHidden/>
          </w:rPr>
        </w:r>
        <w:r>
          <w:rPr>
            <w:webHidden/>
          </w:rPr>
          <w:fldChar w:fldCharType="separate"/>
        </w:r>
        <w:r>
          <w:rPr>
            <w:webHidden/>
          </w:rPr>
          <w:t>174</w:t>
        </w:r>
        <w:r>
          <w:rPr>
            <w:webHidden/>
          </w:rPr>
          <w:fldChar w:fldCharType="end"/>
        </w:r>
      </w:hyperlink>
    </w:p>
    <w:p w14:paraId="09923A0F" w14:textId="1B07A8A7" w:rsidR="001243D7" w:rsidRDefault="001243D7">
      <w:pPr>
        <w:pStyle w:val="TOC2"/>
        <w:rPr>
          <w:rFonts w:asciiTheme="minorHAnsi" w:eastAsiaTheme="minorEastAsia" w:hAnsiTheme="minorHAnsi" w:cstheme="minorBidi"/>
          <w:b w:val="0"/>
          <w:color w:val="auto"/>
        </w:rPr>
      </w:pPr>
      <w:hyperlink w:anchor="_Toc146037928" w:history="1">
        <w:r w:rsidRPr="00153D41">
          <w:rPr>
            <w:rStyle w:val="Hyperlink"/>
            <w:bCs/>
          </w:rPr>
          <w:t>3.</w:t>
        </w:r>
        <w:r>
          <w:rPr>
            <w:rFonts w:asciiTheme="minorHAnsi" w:eastAsiaTheme="minorEastAsia" w:hAnsiTheme="minorHAnsi" w:cstheme="minorBidi"/>
            <w:b w:val="0"/>
            <w:color w:val="auto"/>
          </w:rPr>
          <w:tab/>
        </w:r>
        <w:r w:rsidRPr="00153D41">
          <w:rPr>
            <w:rStyle w:val="Hyperlink"/>
            <w:bCs/>
          </w:rPr>
          <w:t>Бюджети на социалноосигурителните фондове</w:t>
        </w:r>
        <w:r>
          <w:rPr>
            <w:webHidden/>
          </w:rPr>
          <w:tab/>
        </w:r>
        <w:r>
          <w:rPr>
            <w:webHidden/>
          </w:rPr>
          <w:fldChar w:fldCharType="begin"/>
        </w:r>
        <w:r>
          <w:rPr>
            <w:webHidden/>
          </w:rPr>
          <w:instrText xml:space="preserve"> PAGEREF _Toc146037928 \h </w:instrText>
        </w:r>
        <w:r>
          <w:rPr>
            <w:webHidden/>
          </w:rPr>
        </w:r>
        <w:r>
          <w:rPr>
            <w:webHidden/>
          </w:rPr>
          <w:fldChar w:fldCharType="separate"/>
        </w:r>
        <w:r>
          <w:rPr>
            <w:webHidden/>
          </w:rPr>
          <w:t>181</w:t>
        </w:r>
        <w:r>
          <w:rPr>
            <w:webHidden/>
          </w:rPr>
          <w:fldChar w:fldCharType="end"/>
        </w:r>
      </w:hyperlink>
    </w:p>
    <w:p w14:paraId="49C9F63D" w14:textId="42C28588" w:rsidR="001243D7" w:rsidRDefault="001243D7">
      <w:pPr>
        <w:pStyle w:val="TOC3"/>
        <w:rPr>
          <w:rFonts w:asciiTheme="minorHAnsi" w:eastAsiaTheme="minorEastAsia" w:hAnsiTheme="minorHAnsi" w:cstheme="minorBidi"/>
          <w:color w:val="auto"/>
          <w:sz w:val="22"/>
          <w:szCs w:val="22"/>
        </w:rPr>
      </w:pPr>
      <w:hyperlink w:anchor="_Toc146037929" w:history="1">
        <w:r w:rsidRPr="00153D41">
          <w:rPr>
            <w:rStyle w:val="Hyperlink"/>
          </w:rPr>
          <w:t>3.1</w:t>
        </w:r>
        <w:r>
          <w:rPr>
            <w:rFonts w:asciiTheme="minorHAnsi" w:eastAsiaTheme="minorEastAsia" w:hAnsiTheme="minorHAnsi" w:cstheme="minorBidi"/>
            <w:color w:val="auto"/>
            <w:sz w:val="22"/>
            <w:szCs w:val="22"/>
          </w:rPr>
          <w:tab/>
        </w:r>
        <w:r w:rsidRPr="00153D41">
          <w:rPr>
            <w:rStyle w:val="Hyperlink"/>
          </w:rPr>
          <w:t>Бюджет на държавното обществено осигуряване</w:t>
        </w:r>
        <w:r>
          <w:rPr>
            <w:webHidden/>
          </w:rPr>
          <w:tab/>
        </w:r>
        <w:r>
          <w:rPr>
            <w:webHidden/>
          </w:rPr>
          <w:fldChar w:fldCharType="begin"/>
        </w:r>
        <w:r>
          <w:rPr>
            <w:webHidden/>
          </w:rPr>
          <w:instrText xml:space="preserve"> PAGEREF _Toc146037929 \h </w:instrText>
        </w:r>
        <w:r>
          <w:rPr>
            <w:webHidden/>
          </w:rPr>
        </w:r>
        <w:r>
          <w:rPr>
            <w:webHidden/>
          </w:rPr>
          <w:fldChar w:fldCharType="separate"/>
        </w:r>
        <w:r>
          <w:rPr>
            <w:webHidden/>
          </w:rPr>
          <w:t>181</w:t>
        </w:r>
        <w:r>
          <w:rPr>
            <w:webHidden/>
          </w:rPr>
          <w:fldChar w:fldCharType="end"/>
        </w:r>
      </w:hyperlink>
    </w:p>
    <w:p w14:paraId="63F8631E" w14:textId="69466459" w:rsidR="001243D7" w:rsidRDefault="001243D7">
      <w:pPr>
        <w:pStyle w:val="TOC3"/>
        <w:rPr>
          <w:rFonts w:asciiTheme="minorHAnsi" w:eastAsiaTheme="minorEastAsia" w:hAnsiTheme="minorHAnsi" w:cstheme="minorBidi"/>
          <w:color w:val="auto"/>
          <w:sz w:val="22"/>
          <w:szCs w:val="22"/>
        </w:rPr>
      </w:pPr>
      <w:hyperlink w:anchor="_Toc146037930" w:history="1">
        <w:r w:rsidRPr="00153D41">
          <w:rPr>
            <w:rStyle w:val="Hyperlink"/>
          </w:rPr>
          <w:t>3.2</w:t>
        </w:r>
        <w:r>
          <w:rPr>
            <w:rFonts w:asciiTheme="minorHAnsi" w:eastAsiaTheme="minorEastAsia" w:hAnsiTheme="minorHAnsi" w:cstheme="minorBidi"/>
            <w:color w:val="auto"/>
            <w:sz w:val="22"/>
            <w:szCs w:val="22"/>
          </w:rPr>
          <w:tab/>
        </w:r>
        <w:r w:rsidRPr="00153D41">
          <w:rPr>
            <w:rStyle w:val="Hyperlink"/>
          </w:rPr>
          <w:t>Бюджет на Учителски пенсионен фонд</w:t>
        </w:r>
        <w:r>
          <w:rPr>
            <w:webHidden/>
          </w:rPr>
          <w:tab/>
        </w:r>
        <w:r>
          <w:rPr>
            <w:webHidden/>
          </w:rPr>
          <w:fldChar w:fldCharType="begin"/>
        </w:r>
        <w:r>
          <w:rPr>
            <w:webHidden/>
          </w:rPr>
          <w:instrText xml:space="preserve"> PAGEREF _Toc146037930 \h </w:instrText>
        </w:r>
        <w:r>
          <w:rPr>
            <w:webHidden/>
          </w:rPr>
        </w:r>
        <w:r>
          <w:rPr>
            <w:webHidden/>
          </w:rPr>
          <w:fldChar w:fldCharType="separate"/>
        </w:r>
        <w:r>
          <w:rPr>
            <w:webHidden/>
          </w:rPr>
          <w:t>182</w:t>
        </w:r>
        <w:r>
          <w:rPr>
            <w:webHidden/>
          </w:rPr>
          <w:fldChar w:fldCharType="end"/>
        </w:r>
      </w:hyperlink>
    </w:p>
    <w:p w14:paraId="4AFF5163" w14:textId="6D10B383" w:rsidR="001243D7" w:rsidRDefault="001243D7">
      <w:pPr>
        <w:pStyle w:val="TOC3"/>
        <w:rPr>
          <w:rFonts w:asciiTheme="minorHAnsi" w:eastAsiaTheme="minorEastAsia" w:hAnsiTheme="minorHAnsi" w:cstheme="minorBidi"/>
          <w:color w:val="auto"/>
          <w:sz w:val="22"/>
          <w:szCs w:val="22"/>
        </w:rPr>
      </w:pPr>
      <w:hyperlink w:anchor="_Toc146037931" w:history="1">
        <w:r w:rsidRPr="00153D41">
          <w:rPr>
            <w:rStyle w:val="Hyperlink"/>
          </w:rPr>
          <w:t>3.3</w:t>
        </w:r>
        <w:r>
          <w:rPr>
            <w:rFonts w:asciiTheme="minorHAnsi" w:eastAsiaTheme="minorEastAsia" w:hAnsiTheme="minorHAnsi" w:cstheme="minorBidi"/>
            <w:color w:val="auto"/>
            <w:sz w:val="22"/>
            <w:szCs w:val="22"/>
          </w:rPr>
          <w:tab/>
        </w:r>
        <w:r w:rsidRPr="00153D41">
          <w:rPr>
            <w:rStyle w:val="Hyperlink"/>
          </w:rPr>
          <w:t>Бюджет на фонд „Гарантирани вземания на работниците и служителите”</w:t>
        </w:r>
        <w:r>
          <w:rPr>
            <w:webHidden/>
          </w:rPr>
          <w:tab/>
        </w:r>
        <w:r>
          <w:rPr>
            <w:webHidden/>
          </w:rPr>
          <w:fldChar w:fldCharType="begin"/>
        </w:r>
        <w:r>
          <w:rPr>
            <w:webHidden/>
          </w:rPr>
          <w:instrText xml:space="preserve"> PAGEREF _Toc146037931 \h </w:instrText>
        </w:r>
        <w:r>
          <w:rPr>
            <w:webHidden/>
          </w:rPr>
        </w:r>
        <w:r>
          <w:rPr>
            <w:webHidden/>
          </w:rPr>
          <w:fldChar w:fldCharType="separate"/>
        </w:r>
        <w:r>
          <w:rPr>
            <w:webHidden/>
          </w:rPr>
          <w:t>183</w:t>
        </w:r>
        <w:r>
          <w:rPr>
            <w:webHidden/>
          </w:rPr>
          <w:fldChar w:fldCharType="end"/>
        </w:r>
      </w:hyperlink>
    </w:p>
    <w:p w14:paraId="3FE2147D" w14:textId="1325BAAE" w:rsidR="001243D7" w:rsidRDefault="001243D7">
      <w:pPr>
        <w:pStyle w:val="TOC3"/>
        <w:rPr>
          <w:rFonts w:asciiTheme="minorHAnsi" w:eastAsiaTheme="minorEastAsia" w:hAnsiTheme="minorHAnsi" w:cstheme="minorBidi"/>
          <w:color w:val="auto"/>
          <w:sz w:val="22"/>
          <w:szCs w:val="22"/>
        </w:rPr>
      </w:pPr>
      <w:hyperlink w:anchor="_Toc146037932" w:history="1">
        <w:r w:rsidRPr="00153D41">
          <w:rPr>
            <w:rStyle w:val="Hyperlink"/>
          </w:rPr>
          <w:t>3.4</w:t>
        </w:r>
        <w:r>
          <w:rPr>
            <w:rFonts w:asciiTheme="minorHAnsi" w:eastAsiaTheme="minorEastAsia" w:hAnsiTheme="minorHAnsi" w:cstheme="minorBidi"/>
            <w:color w:val="auto"/>
            <w:sz w:val="22"/>
            <w:szCs w:val="22"/>
          </w:rPr>
          <w:tab/>
        </w:r>
        <w:r w:rsidRPr="00153D41">
          <w:rPr>
            <w:rStyle w:val="Hyperlink"/>
          </w:rPr>
          <w:t>Бюджет на Националната здравноосигурителна каса</w:t>
        </w:r>
        <w:r>
          <w:rPr>
            <w:webHidden/>
          </w:rPr>
          <w:tab/>
        </w:r>
        <w:r>
          <w:rPr>
            <w:webHidden/>
          </w:rPr>
          <w:fldChar w:fldCharType="begin"/>
        </w:r>
        <w:r>
          <w:rPr>
            <w:webHidden/>
          </w:rPr>
          <w:instrText xml:space="preserve"> PAGEREF _Toc146037932 \h </w:instrText>
        </w:r>
        <w:r>
          <w:rPr>
            <w:webHidden/>
          </w:rPr>
        </w:r>
        <w:r>
          <w:rPr>
            <w:webHidden/>
          </w:rPr>
          <w:fldChar w:fldCharType="separate"/>
        </w:r>
        <w:r>
          <w:rPr>
            <w:webHidden/>
          </w:rPr>
          <w:t>183</w:t>
        </w:r>
        <w:r>
          <w:rPr>
            <w:webHidden/>
          </w:rPr>
          <w:fldChar w:fldCharType="end"/>
        </w:r>
      </w:hyperlink>
    </w:p>
    <w:p w14:paraId="5F38CADD" w14:textId="403B1023" w:rsidR="001243D7" w:rsidRDefault="001243D7">
      <w:pPr>
        <w:pStyle w:val="TOC2"/>
        <w:rPr>
          <w:rFonts w:asciiTheme="minorHAnsi" w:eastAsiaTheme="minorEastAsia" w:hAnsiTheme="minorHAnsi" w:cstheme="minorBidi"/>
          <w:b w:val="0"/>
          <w:color w:val="auto"/>
        </w:rPr>
      </w:pPr>
      <w:hyperlink w:anchor="_Toc146037933" w:history="1">
        <w:r w:rsidRPr="00153D41">
          <w:rPr>
            <w:rStyle w:val="Hyperlink"/>
          </w:rPr>
          <w:t>4.</w:t>
        </w:r>
        <w:r>
          <w:rPr>
            <w:rFonts w:asciiTheme="minorHAnsi" w:eastAsiaTheme="minorEastAsia" w:hAnsiTheme="minorHAnsi" w:cstheme="minorBidi"/>
            <w:b w:val="0"/>
            <w:color w:val="auto"/>
          </w:rPr>
          <w:tab/>
        </w:r>
        <w:r w:rsidRPr="00153D41">
          <w:rPr>
            <w:rStyle w:val="Hyperlink"/>
          </w:rPr>
          <w:t>Бюджети по чл. 13, ал. 3 от Закона за публичните финанси и бюджет на  Селскостопанска академия</w:t>
        </w:r>
        <w:r>
          <w:rPr>
            <w:webHidden/>
          </w:rPr>
          <w:tab/>
        </w:r>
        <w:r>
          <w:rPr>
            <w:webHidden/>
          </w:rPr>
          <w:fldChar w:fldCharType="begin"/>
        </w:r>
        <w:r>
          <w:rPr>
            <w:webHidden/>
          </w:rPr>
          <w:instrText xml:space="preserve"> PAGEREF _Toc146037933 \h </w:instrText>
        </w:r>
        <w:r>
          <w:rPr>
            <w:webHidden/>
          </w:rPr>
        </w:r>
        <w:r>
          <w:rPr>
            <w:webHidden/>
          </w:rPr>
          <w:fldChar w:fldCharType="separate"/>
        </w:r>
        <w:r>
          <w:rPr>
            <w:webHidden/>
          </w:rPr>
          <w:t>185</w:t>
        </w:r>
        <w:r>
          <w:rPr>
            <w:webHidden/>
          </w:rPr>
          <w:fldChar w:fldCharType="end"/>
        </w:r>
      </w:hyperlink>
    </w:p>
    <w:p w14:paraId="20CB56C1" w14:textId="7A7E3CEA" w:rsidR="001243D7" w:rsidRDefault="001243D7">
      <w:pPr>
        <w:pStyle w:val="TOC3"/>
        <w:rPr>
          <w:rFonts w:asciiTheme="minorHAnsi" w:eastAsiaTheme="minorEastAsia" w:hAnsiTheme="minorHAnsi" w:cstheme="minorBidi"/>
          <w:color w:val="auto"/>
          <w:sz w:val="22"/>
          <w:szCs w:val="22"/>
        </w:rPr>
      </w:pPr>
      <w:hyperlink w:anchor="_Toc146037934" w:history="1">
        <w:r w:rsidRPr="00153D41">
          <w:rPr>
            <w:rStyle w:val="Hyperlink"/>
          </w:rPr>
          <w:t>4.1</w:t>
        </w:r>
        <w:r>
          <w:rPr>
            <w:rFonts w:asciiTheme="minorHAnsi" w:eastAsiaTheme="minorEastAsia" w:hAnsiTheme="minorHAnsi" w:cstheme="minorBidi"/>
            <w:color w:val="auto"/>
            <w:sz w:val="22"/>
            <w:szCs w:val="22"/>
          </w:rPr>
          <w:tab/>
        </w:r>
        <w:r w:rsidRPr="00153D41">
          <w:rPr>
            <w:rStyle w:val="Hyperlink"/>
          </w:rPr>
          <w:t>Държавни висши училища</w:t>
        </w:r>
        <w:r>
          <w:rPr>
            <w:webHidden/>
          </w:rPr>
          <w:tab/>
        </w:r>
        <w:r>
          <w:rPr>
            <w:webHidden/>
          </w:rPr>
          <w:fldChar w:fldCharType="begin"/>
        </w:r>
        <w:r>
          <w:rPr>
            <w:webHidden/>
          </w:rPr>
          <w:instrText xml:space="preserve"> PAGEREF _Toc146037934 \h </w:instrText>
        </w:r>
        <w:r>
          <w:rPr>
            <w:webHidden/>
          </w:rPr>
        </w:r>
        <w:r>
          <w:rPr>
            <w:webHidden/>
          </w:rPr>
          <w:fldChar w:fldCharType="separate"/>
        </w:r>
        <w:r>
          <w:rPr>
            <w:webHidden/>
          </w:rPr>
          <w:t>185</w:t>
        </w:r>
        <w:r>
          <w:rPr>
            <w:webHidden/>
          </w:rPr>
          <w:fldChar w:fldCharType="end"/>
        </w:r>
      </w:hyperlink>
    </w:p>
    <w:p w14:paraId="33CBF51E" w14:textId="189D8FF5" w:rsidR="001243D7" w:rsidRDefault="001243D7">
      <w:pPr>
        <w:pStyle w:val="TOC3"/>
        <w:rPr>
          <w:rFonts w:asciiTheme="minorHAnsi" w:eastAsiaTheme="minorEastAsia" w:hAnsiTheme="minorHAnsi" w:cstheme="minorBidi"/>
          <w:color w:val="auto"/>
          <w:sz w:val="22"/>
          <w:szCs w:val="22"/>
        </w:rPr>
      </w:pPr>
      <w:hyperlink w:anchor="_Toc146037935" w:history="1">
        <w:r w:rsidRPr="00153D41">
          <w:rPr>
            <w:rStyle w:val="Hyperlink"/>
          </w:rPr>
          <w:t>4.2</w:t>
        </w:r>
        <w:r>
          <w:rPr>
            <w:rFonts w:asciiTheme="minorHAnsi" w:eastAsiaTheme="minorEastAsia" w:hAnsiTheme="minorHAnsi" w:cstheme="minorBidi"/>
            <w:color w:val="auto"/>
            <w:sz w:val="22"/>
            <w:szCs w:val="22"/>
          </w:rPr>
          <w:tab/>
        </w:r>
        <w:r w:rsidRPr="00153D41">
          <w:rPr>
            <w:rStyle w:val="Hyperlink"/>
          </w:rPr>
          <w:t>Българска академия на науките</w:t>
        </w:r>
        <w:r>
          <w:rPr>
            <w:webHidden/>
          </w:rPr>
          <w:tab/>
        </w:r>
        <w:r>
          <w:rPr>
            <w:webHidden/>
          </w:rPr>
          <w:fldChar w:fldCharType="begin"/>
        </w:r>
        <w:r>
          <w:rPr>
            <w:webHidden/>
          </w:rPr>
          <w:instrText xml:space="preserve"> PAGEREF _Toc146037935 \h </w:instrText>
        </w:r>
        <w:r>
          <w:rPr>
            <w:webHidden/>
          </w:rPr>
        </w:r>
        <w:r>
          <w:rPr>
            <w:webHidden/>
          </w:rPr>
          <w:fldChar w:fldCharType="separate"/>
        </w:r>
        <w:r>
          <w:rPr>
            <w:webHidden/>
          </w:rPr>
          <w:t>186</w:t>
        </w:r>
        <w:r>
          <w:rPr>
            <w:webHidden/>
          </w:rPr>
          <w:fldChar w:fldCharType="end"/>
        </w:r>
      </w:hyperlink>
    </w:p>
    <w:p w14:paraId="328752EC" w14:textId="70693F8D" w:rsidR="001243D7" w:rsidRDefault="001243D7">
      <w:pPr>
        <w:pStyle w:val="TOC3"/>
        <w:rPr>
          <w:rFonts w:asciiTheme="minorHAnsi" w:eastAsiaTheme="minorEastAsia" w:hAnsiTheme="minorHAnsi" w:cstheme="minorBidi"/>
          <w:color w:val="auto"/>
          <w:sz w:val="22"/>
          <w:szCs w:val="22"/>
        </w:rPr>
      </w:pPr>
      <w:hyperlink w:anchor="_Toc146037936" w:history="1">
        <w:r w:rsidRPr="00153D41">
          <w:rPr>
            <w:rStyle w:val="Hyperlink"/>
          </w:rPr>
          <w:t>4.3</w:t>
        </w:r>
        <w:r>
          <w:rPr>
            <w:rFonts w:asciiTheme="minorHAnsi" w:eastAsiaTheme="minorEastAsia" w:hAnsiTheme="minorHAnsi" w:cstheme="minorBidi"/>
            <w:color w:val="auto"/>
            <w:sz w:val="22"/>
            <w:szCs w:val="22"/>
          </w:rPr>
          <w:tab/>
        </w:r>
        <w:r w:rsidRPr="00153D41">
          <w:rPr>
            <w:rStyle w:val="Hyperlink"/>
          </w:rPr>
          <w:t>Селскостопанска академия</w:t>
        </w:r>
        <w:r>
          <w:rPr>
            <w:webHidden/>
          </w:rPr>
          <w:tab/>
        </w:r>
        <w:r>
          <w:rPr>
            <w:webHidden/>
          </w:rPr>
          <w:fldChar w:fldCharType="begin"/>
        </w:r>
        <w:r>
          <w:rPr>
            <w:webHidden/>
          </w:rPr>
          <w:instrText xml:space="preserve"> PAGEREF _Toc146037936 \h </w:instrText>
        </w:r>
        <w:r>
          <w:rPr>
            <w:webHidden/>
          </w:rPr>
        </w:r>
        <w:r>
          <w:rPr>
            <w:webHidden/>
          </w:rPr>
          <w:fldChar w:fldCharType="separate"/>
        </w:r>
        <w:r>
          <w:rPr>
            <w:webHidden/>
          </w:rPr>
          <w:t>186</w:t>
        </w:r>
        <w:r>
          <w:rPr>
            <w:webHidden/>
          </w:rPr>
          <w:fldChar w:fldCharType="end"/>
        </w:r>
      </w:hyperlink>
    </w:p>
    <w:p w14:paraId="0C84E51B" w14:textId="5CF56F60" w:rsidR="001243D7" w:rsidRDefault="001243D7">
      <w:pPr>
        <w:pStyle w:val="TOC3"/>
        <w:rPr>
          <w:rFonts w:asciiTheme="minorHAnsi" w:eastAsiaTheme="minorEastAsia" w:hAnsiTheme="minorHAnsi" w:cstheme="minorBidi"/>
          <w:color w:val="auto"/>
          <w:sz w:val="22"/>
          <w:szCs w:val="22"/>
        </w:rPr>
      </w:pPr>
      <w:hyperlink w:anchor="_Toc146037937" w:history="1">
        <w:r w:rsidRPr="00153D41">
          <w:rPr>
            <w:rStyle w:val="Hyperlink"/>
          </w:rPr>
          <w:t>4.4</w:t>
        </w:r>
        <w:r>
          <w:rPr>
            <w:rFonts w:asciiTheme="minorHAnsi" w:eastAsiaTheme="minorEastAsia" w:hAnsiTheme="minorHAnsi" w:cstheme="minorBidi"/>
            <w:color w:val="auto"/>
            <w:sz w:val="22"/>
            <w:szCs w:val="22"/>
          </w:rPr>
          <w:tab/>
        </w:r>
        <w:r w:rsidRPr="00153D41">
          <w:rPr>
            <w:rStyle w:val="Hyperlink"/>
          </w:rPr>
          <w:t>Българско национално радио</w:t>
        </w:r>
        <w:r>
          <w:rPr>
            <w:webHidden/>
          </w:rPr>
          <w:tab/>
        </w:r>
        <w:r>
          <w:rPr>
            <w:webHidden/>
          </w:rPr>
          <w:fldChar w:fldCharType="begin"/>
        </w:r>
        <w:r>
          <w:rPr>
            <w:webHidden/>
          </w:rPr>
          <w:instrText xml:space="preserve"> PAGEREF _Toc146037937 \h </w:instrText>
        </w:r>
        <w:r>
          <w:rPr>
            <w:webHidden/>
          </w:rPr>
        </w:r>
        <w:r>
          <w:rPr>
            <w:webHidden/>
          </w:rPr>
          <w:fldChar w:fldCharType="separate"/>
        </w:r>
        <w:r>
          <w:rPr>
            <w:webHidden/>
          </w:rPr>
          <w:t>187</w:t>
        </w:r>
        <w:r>
          <w:rPr>
            <w:webHidden/>
          </w:rPr>
          <w:fldChar w:fldCharType="end"/>
        </w:r>
      </w:hyperlink>
    </w:p>
    <w:p w14:paraId="6155E737" w14:textId="1A8E6412" w:rsidR="001243D7" w:rsidRDefault="001243D7">
      <w:pPr>
        <w:pStyle w:val="TOC3"/>
        <w:rPr>
          <w:rFonts w:asciiTheme="minorHAnsi" w:eastAsiaTheme="minorEastAsia" w:hAnsiTheme="minorHAnsi" w:cstheme="minorBidi"/>
          <w:color w:val="auto"/>
          <w:sz w:val="22"/>
          <w:szCs w:val="22"/>
        </w:rPr>
      </w:pPr>
      <w:hyperlink w:anchor="_Toc146037938" w:history="1">
        <w:r w:rsidRPr="00153D41">
          <w:rPr>
            <w:rStyle w:val="Hyperlink"/>
          </w:rPr>
          <w:t>4.5</w:t>
        </w:r>
        <w:r>
          <w:rPr>
            <w:rFonts w:asciiTheme="minorHAnsi" w:eastAsiaTheme="minorEastAsia" w:hAnsiTheme="minorHAnsi" w:cstheme="minorBidi"/>
            <w:color w:val="auto"/>
            <w:sz w:val="22"/>
            <w:szCs w:val="22"/>
          </w:rPr>
          <w:tab/>
        </w:r>
        <w:r w:rsidRPr="00153D41">
          <w:rPr>
            <w:rStyle w:val="Hyperlink"/>
          </w:rPr>
          <w:t>Българска национална телевизия</w:t>
        </w:r>
        <w:r>
          <w:rPr>
            <w:webHidden/>
          </w:rPr>
          <w:tab/>
        </w:r>
        <w:r>
          <w:rPr>
            <w:webHidden/>
          </w:rPr>
          <w:fldChar w:fldCharType="begin"/>
        </w:r>
        <w:r>
          <w:rPr>
            <w:webHidden/>
          </w:rPr>
          <w:instrText xml:space="preserve"> PAGEREF _Toc146037938 \h </w:instrText>
        </w:r>
        <w:r>
          <w:rPr>
            <w:webHidden/>
          </w:rPr>
        </w:r>
        <w:r>
          <w:rPr>
            <w:webHidden/>
          </w:rPr>
          <w:fldChar w:fldCharType="separate"/>
        </w:r>
        <w:r>
          <w:rPr>
            <w:webHidden/>
          </w:rPr>
          <w:t>188</w:t>
        </w:r>
        <w:r>
          <w:rPr>
            <w:webHidden/>
          </w:rPr>
          <w:fldChar w:fldCharType="end"/>
        </w:r>
      </w:hyperlink>
    </w:p>
    <w:p w14:paraId="379421D7" w14:textId="47FB530C" w:rsidR="001243D7" w:rsidRDefault="001243D7">
      <w:pPr>
        <w:pStyle w:val="TOC3"/>
        <w:rPr>
          <w:rFonts w:asciiTheme="minorHAnsi" w:eastAsiaTheme="minorEastAsia" w:hAnsiTheme="minorHAnsi" w:cstheme="minorBidi"/>
          <w:color w:val="auto"/>
          <w:sz w:val="22"/>
          <w:szCs w:val="22"/>
        </w:rPr>
      </w:pPr>
      <w:hyperlink w:anchor="_Toc146037939" w:history="1">
        <w:r w:rsidRPr="00153D41">
          <w:rPr>
            <w:rStyle w:val="Hyperlink"/>
          </w:rPr>
          <w:t>4.6</w:t>
        </w:r>
        <w:r>
          <w:rPr>
            <w:rFonts w:asciiTheme="minorHAnsi" w:eastAsiaTheme="minorEastAsia" w:hAnsiTheme="minorHAnsi" w:cstheme="minorBidi"/>
            <w:color w:val="auto"/>
            <w:sz w:val="22"/>
            <w:szCs w:val="22"/>
          </w:rPr>
          <w:tab/>
        </w:r>
        <w:r w:rsidRPr="00153D41">
          <w:rPr>
            <w:rStyle w:val="Hyperlink"/>
          </w:rPr>
          <w:t>Българска телеграфна агенция</w:t>
        </w:r>
        <w:r>
          <w:rPr>
            <w:webHidden/>
          </w:rPr>
          <w:tab/>
        </w:r>
        <w:r>
          <w:rPr>
            <w:webHidden/>
          </w:rPr>
          <w:fldChar w:fldCharType="begin"/>
        </w:r>
        <w:r>
          <w:rPr>
            <w:webHidden/>
          </w:rPr>
          <w:instrText xml:space="preserve"> PAGEREF _Toc146037939 \h </w:instrText>
        </w:r>
        <w:r>
          <w:rPr>
            <w:webHidden/>
          </w:rPr>
        </w:r>
        <w:r>
          <w:rPr>
            <w:webHidden/>
          </w:rPr>
          <w:fldChar w:fldCharType="separate"/>
        </w:r>
        <w:r>
          <w:rPr>
            <w:webHidden/>
          </w:rPr>
          <w:t>189</w:t>
        </w:r>
        <w:r>
          <w:rPr>
            <w:webHidden/>
          </w:rPr>
          <w:fldChar w:fldCharType="end"/>
        </w:r>
      </w:hyperlink>
    </w:p>
    <w:p w14:paraId="48E30E6B" w14:textId="4E5508D3" w:rsidR="001243D7" w:rsidRDefault="001243D7">
      <w:pPr>
        <w:pStyle w:val="TOC2"/>
        <w:rPr>
          <w:rFonts w:asciiTheme="minorHAnsi" w:eastAsiaTheme="minorEastAsia" w:hAnsiTheme="minorHAnsi" w:cstheme="minorBidi"/>
          <w:b w:val="0"/>
          <w:color w:val="auto"/>
        </w:rPr>
      </w:pPr>
      <w:hyperlink w:anchor="_Toc146037940" w:history="1">
        <w:r w:rsidRPr="00153D41">
          <w:rPr>
            <w:rStyle w:val="Hyperlink"/>
          </w:rPr>
          <w:t>5.</w:t>
        </w:r>
        <w:r>
          <w:rPr>
            <w:rFonts w:asciiTheme="minorHAnsi" w:eastAsiaTheme="minorEastAsia" w:hAnsiTheme="minorHAnsi" w:cstheme="minorBidi"/>
            <w:b w:val="0"/>
            <w:color w:val="auto"/>
          </w:rPr>
          <w:tab/>
        </w:r>
        <w:r w:rsidRPr="00153D41">
          <w:rPr>
            <w:rStyle w:val="Hyperlink"/>
          </w:rPr>
          <w:t>Сметки за средствата от Европейския съюз на бюджетни организации</w:t>
        </w:r>
        <w:r>
          <w:rPr>
            <w:webHidden/>
          </w:rPr>
          <w:tab/>
        </w:r>
        <w:r>
          <w:rPr>
            <w:webHidden/>
          </w:rPr>
          <w:fldChar w:fldCharType="begin"/>
        </w:r>
        <w:r>
          <w:rPr>
            <w:webHidden/>
          </w:rPr>
          <w:instrText xml:space="preserve"> PAGEREF _Toc146037940 \h </w:instrText>
        </w:r>
        <w:r>
          <w:rPr>
            <w:webHidden/>
          </w:rPr>
        </w:r>
        <w:r>
          <w:rPr>
            <w:webHidden/>
          </w:rPr>
          <w:fldChar w:fldCharType="separate"/>
        </w:r>
        <w:r>
          <w:rPr>
            <w:webHidden/>
          </w:rPr>
          <w:t>190</w:t>
        </w:r>
        <w:r>
          <w:rPr>
            <w:webHidden/>
          </w:rPr>
          <w:fldChar w:fldCharType="end"/>
        </w:r>
      </w:hyperlink>
    </w:p>
    <w:p w14:paraId="49AD0C7E" w14:textId="0EE31595" w:rsidR="001243D7" w:rsidRDefault="001243D7">
      <w:pPr>
        <w:pStyle w:val="TOC3"/>
        <w:rPr>
          <w:rFonts w:asciiTheme="minorHAnsi" w:eastAsiaTheme="minorEastAsia" w:hAnsiTheme="minorHAnsi" w:cstheme="minorBidi"/>
          <w:color w:val="auto"/>
          <w:sz w:val="22"/>
          <w:szCs w:val="22"/>
        </w:rPr>
      </w:pPr>
      <w:hyperlink w:anchor="_Toc146037941" w:history="1">
        <w:r w:rsidRPr="00153D41">
          <w:rPr>
            <w:rStyle w:val="Hyperlink"/>
          </w:rPr>
          <w:t>5.1</w:t>
        </w:r>
        <w:r>
          <w:rPr>
            <w:rFonts w:asciiTheme="minorHAnsi" w:eastAsiaTheme="minorEastAsia" w:hAnsiTheme="minorHAnsi" w:cstheme="minorBidi"/>
            <w:color w:val="auto"/>
            <w:sz w:val="22"/>
            <w:szCs w:val="22"/>
          </w:rPr>
          <w:tab/>
        </w:r>
        <w:r w:rsidRPr="00153D41">
          <w:rPr>
            <w:rStyle w:val="Hyperlink"/>
          </w:rPr>
          <w:t>Сметка за средствата от Европейския съюз на Националния фонд</w:t>
        </w:r>
        <w:r>
          <w:rPr>
            <w:webHidden/>
          </w:rPr>
          <w:tab/>
        </w:r>
        <w:r>
          <w:rPr>
            <w:webHidden/>
          </w:rPr>
          <w:fldChar w:fldCharType="begin"/>
        </w:r>
        <w:r>
          <w:rPr>
            <w:webHidden/>
          </w:rPr>
          <w:instrText xml:space="preserve"> PAGEREF _Toc146037941 \h </w:instrText>
        </w:r>
        <w:r>
          <w:rPr>
            <w:webHidden/>
          </w:rPr>
        </w:r>
        <w:r>
          <w:rPr>
            <w:webHidden/>
          </w:rPr>
          <w:fldChar w:fldCharType="separate"/>
        </w:r>
        <w:r>
          <w:rPr>
            <w:webHidden/>
          </w:rPr>
          <w:t>190</w:t>
        </w:r>
        <w:r>
          <w:rPr>
            <w:webHidden/>
          </w:rPr>
          <w:fldChar w:fldCharType="end"/>
        </w:r>
      </w:hyperlink>
    </w:p>
    <w:p w14:paraId="0EC50DA6" w14:textId="66A0CC35" w:rsidR="001243D7" w:rsidRDefault="001243D7">
      <w:pPr>
        <w:pStyle w:val="TOC3"/>
        <w:rPr>
          <w:rFonts w:asciiTheme="minorHAnsi" w:eastAsiaTheme="minorEastAsia" w:hAnsiTheme="minorHAnsi" w:cstheme="minorBidi"/>
          <w:color w:val="auto"/>
          <w:sz w:val="22"/>
          <w:szCs w:val="22"/>
        </w:rPr>
      </w:pPr>
      <w:hyperlink w:anchor="_Toc146037942" w:history="1">
        <w:r w:rsidRPr="00153D41">
          <w:rPr>
            <w:rStyle w:val="Hyperlink"/>
          </w:rPr>
          <w:t>5.2</w:t>
        </w:r>
        <w:r>
          <w:rPr>
            <w:rFonts w:asciiTheme="minorHAnsi" w:eastAsiaTheme="minorEastAsia" w:hAnsiTheme="minorHAnsi" w:cstheme="minorBidi"/>
            <w:color w:val="auto"/>
            <w:sz w:val="22"/>
            <w:szCs w:val="22"/>
          </w:rPr>
          <w:tab/>
        </w:r>
        <w:r w:rsidRPr="00153D41">
          <w:rPr>
            <w:rStyle w:val="Hyperlink"/>
          </w:rPr>
          <w:t>Сметки за средствата от Европейския съюз, администрирани от Разплащателната агенция към Държавен фонд „Земеделие”</w:t>
        </w:r>
        <w:r>
          <w:rPr>
            <w:webHidden/>
          </w:rPr>
          <w:tab/>
        </w:r>
        <w:r>
          <w:rPr>
            <w:webHidden/>
          </w:rPr>
          <w:fldChar w:fldCharType="begin"/>
        </w:r>
        <w:r>
          <w:rPr>
            <w:webHidden/>
          </w:rPr>
          <w:instrText xml:space="preserve"> PAGEREF _Toc146037942 \h </w:instrText>
        </w:r>
        <w:r>
          <w:rPr>
            <w:webHidden/>
          </w:rPr>
        </w:r>
        <w:r>
          <w:rPr>
            <w:webHidden/>
          </w:rPr>
          <w:fldChar w:fldCharType="separate"/>
        </w:r>
        <w:r>
          <w:rPr>
            <w:webHidden/>
          </w:rPr>
          <w:t>194</w:t>
        </w:r>
        <w:r>
          <w:rPr>
            <w:webHidden/>
          </w:rPr>
          <w:fldChar w:fldCharType="end"/>
        </w:r>
      </w:hyperlink>
    </w:p>
    <w:p w14:paraId="38A964E8" w14:textId="428B8DD7" w:rsidR="001243D7" w:rsidRDefault="001243D7">
      <w:pPr>
        <w:pStyle w:val="TOC3"/>
        <w:rPr>
          <w:rFonts w:asciiTheme="minorHAnsi" w:eastAsiaTheme="minorEastAsia" w:hAnsiTheme="minorHAnsi" w:cstheme="minorBidi"/>
          <w:color w:val="auto"/>
          <w:sz w:val="22"/>
          <w:szCs w:val="22"/>
        </w:rPr>
      </w:pPr>
      <w:hyperlink w:anchor="_Toc146037943" w:history="1">
        <w:r w:rsidRPr="00153D41">
          <w:rPr>
            <w:rStyle w:val="Hyperlink"/>
          </w:rPr>
          <w:t>5.3</w:t>
        </w:r>
        <w:r>
          <w:rPr>
            <w:rFonts w:asciiTheme="minorHAnsi" w:eastAsiaTheme="minorEastAsia" w:hAnsiTheme="minorHAnsi" w:cstheme="minorBidi"/>
            <w:color w:val="auto"/>
            <w:sz w:val="22"/>
            <w:szCs w:val="22"/>
          </w:rPr>
          <w:tab/>
        </w:r>
        <w:r w:rsidRPr="00153D41">
          <w:rPr>
            <w:rStyle w:val="Hyperlink"/>
          </w:rPr>
          <w:t>Сметки за средствата от ЕС на общините</w:t>
        </w:r>
        <w:r>
          <w:rPr>
            <w:webHidden/>
          </w:rPr>
          <w:tab/>
        </w:r>
        <w:r>
          <w:rPr>
            <w:webHidden/>
          </w:rPr>
          <w:fldChar w:fldCharType="begin"/>
        </w:r>
        <w:r>
          <w:rPr>
            <w:webHidden/>
          </w:rPr>
          <w:instrText xml:space="preserve"> PAGEREF _Toc146037943 \h </w:instrText>
        </w:r>
        <w:r>
          <w:rPr>
            <w:webHidden/>
          </w:rPr>
        </w:r>
        <w:r>
          <w:rPr>
            <w:webHidden/>
          </w:rPr>
          <w:fldChar w:fldCharType="separate"/>
        </w:r>
        <w:r>
          <w:rPr>
            <w:webHidden/>
          </w:rPr>
          <w:t>198</w:t>
        </w:r>
        <w:r>
          <w:rPr>
            <w:webHidden/>
          </w:rPr>
          <w:fldChar w:fldCharType="end"/>
        </w:r>
      </w:hyperlink>
    </w:p>
    <w:p w14:paraId="5590FCAF" w14:textId="4EC7C43E" w:rsidR="001243D7" w:rsidRDefault="001243D7">
      <w:pPr>
        <w:pStyle w:val="TOC2"/>
        <w:rPr>
          <w:rFonts w:asciiTheme="minorHAnsi" w:eastAsiaTheme="minorEastAsia" w:hAnsiTheme="minorHAnsi" w:cstheme="minorBidi"/>
          <w:b w:val="0"/>
          <w:color w:val="auto"/>
        </w:rPr>
      </w:pPr>
      <w:hyperlink w:anchor="_Toc146037944" w:history="1">
        <w:r w:rsidRPr="00153D41">
          <w:rPr>
            <w:rStyle w:val="Hyperlink"/>
          </w:rPr>
          <w:t>6.</w:t>
        </w:r>
        <w:r>
          <w:rPr>
            <w:rFonts w:asciiTheme="minorHAnsi" w:eastAsiaTheme="minorEastAsia" w:hAnsiTheme="minorHAnsi" w:cstheme="minorBidi"/>
            <w:b w:val="0"/>
            <w:color w:val="auto"/>
          </w:rPr>
          <w:tab/>
        </w:r>
        <w:r w:rsidRPr="00153D41">
          <w:rPr>
            <w:rStyle w:val="Hyperlink"/>
          </w:rPr>
          <w:t>Бюджети по чл. 13, ал. 4 от Закона за публичните финанси</w:t>
        </w:r>
        <w:r>
          <w:rPr>
            <w:webHidden/>
          </w:rPr>
          <w:tab/>
        </w:r>
        <w:r>
          <w:rPr>
            <w:webHidden/>
          </w:rPr>
          <w:fldChar w:fldCharType="begin"/>
        </w:r>
        <w:r>
          <w:rPr>
            <w:webHidden/>
          </w:rPr>
          <w:instrText xml:space="preserve"> PAGEREF _Toc146037944 \h </w:instrText>
        </w:r>
        <w:r>
          <w:rPr>
            <w:webHidden/>
          </w:rPr>
        </w:r>
        <w:r>
          <w:rPr>
            <w:webHidden/>
          </w:rPr>
          <w:fldChar w:fldCharType="separate"/>
        </w:r>
        <w:r>
          <w:rPr>
            <w:webHidden/>
          </w:rPr>
          <w:t>198</w:t>
        </w:r>
        <w:r>
          <w:rPr>
            <w:webHidden/>
          </w:rPr>
          <w:fldChar w:fldCharType="end"/>
        </w:r>
      </w:hyperlink>
    </w:p>
    <w:p w14:paraId="363AAEB3" w14:textId="67676779" w:rsidR="001243D7" w:rsidRDefault="001243D7">
      <w:pPr>
        <w:pStyle w:val="TOC3"/>
        <w:rPr>
          <w:rFonts w:asciiTheme="minorHAnsi" w:eastAsiaTheme="minorEastAsia" w:hAnsiTheme="minorHAnsi" w:cstheme="minorBidi"/>
          <w:color w:val="auto"/>
          <w:sz w:val="22"/>
          <w:szCs w:val="22"/>
        </w:rPr>
      </w:pPr>
      <w:hyperlink w:anchor="_Toc146037945" w:history="1">
        <w:r w:rsidRPr="00153D41">
          <w:rPr>
            <w:rStyle w:val="Hyperlink"/>
          </w:rPr>
          <w:t>6.1</w:t>
        </w:r>
        <w:r>
          <w:rPr>
            <w:rFonts w:asciiTheme="minorHAnsi" w:eastAsiaTheme="minorEastAsia" w:hAnsiTheme="minorHAnsi" w:cstheme="minorBidi"/>
            <w:color w:val="auto"/>
            <w:sz w:val="22"/>
            <w:szCs w:val="22"/>
          </w:rPr>
          <w:tab/>
        </w:r>
        <w:r w:rsidRPr="00153D41">
          <w:rPr>
            <w:rStyle w:val="Hyperlink"/>
          </w:rPr>
          <w:t>Предприятие за управление на дейностите по опазване на околната среда</w:t>
        </w:r>
        <w:r>
          <w:rPr>
            <w:webHidden/>
          </w:rPr>
          <w:tab/>
        </w:r>
        <w:r>
          <w:rPr>
            <w:webHidden/>
          </w:rPr>
          <w:fldChar w:fldCharType="begin"/>
        </w:r>
        <w:r>
          <w:rPr>
            <w:webHidden/>
          </w:rPr>
          <w:instrText xml:space="preserve"> PAGEREF _Toc146037945 \h </w:instrText>
        </w:r>
        <w:r>
          <w:rPr>
            <w:webHidden/>
          </w:rPr>
        </w:r>
        <w:r>
          <w:rPr>
            <w:webHidden/>
          </w:rPr>
          <w:fldChar w:fldCharType="separate"/>
        </w:r>
        <w:r>
          <w:rPr>
            <w:webHidden/>
          </w:rPr>
          <w:t>198</w:t>
        </w:r>
        <w:r>
          <w:rPr>
            <w:webHidden/>
          </w:rPr>
          <w:fldChar w:fldCharType="end"/>
        </w:r>
      </w:hyperlink>
    </w:p>
    <w:p w14:paraId="044CDCCD" w14:textId="566E7866" w:rsidR="001243D7" w:rsidRDefault="001243D7">
      <w:pPr>
        <w:pStyle w:val="TOC3"/>
        <w:rPr>
          <w:rFonts w:asciiTheme="minorHAnsi" w:eastAsiaTheme="minorEastAsia" w:hAnsiTheme="minorHAnsi" w:cstheme="minorBidi"/>
          <w:color w:val="auto"/>
          <w:sz w:val="22"/>
          <w:szCs w:val="22"/>
        </w:rPr>
      </w:pPr>
      <w:hyperlink w:anchor="_Toc146037946" w:history="1">
        <w:r w:rsidRPr="00153D41">
          <w:rPr>
            <w:rStyle w:val="Hyperlink"/>
          </w:rPr>
          <w:t>6.2</w:t>
        </w:r>
        <w:r>
          <w:rPr>
            <w:rFonts w:asciiTheme="minorHAnsi" w:eastAsiaTheme="minorEastAsia" w:hAnsiTheme="minorHAnsi" w:cstheme="minorBidi"/>
            <w:color w:val="auto"/>
            <w:sz w:val="22"/>
            <w:szCs w:val="22"/>
          </w:rPr>
          <w:tab/>
        </w:r>
        <w:r w:rsidRPr="00153D41">
          <w:rPr>
            <w:rStyle w:val="Hyperlink"/>
          </w:rPr>
          <w:t>Фонд „Сигурност на електроенергийната система“</w:t>
        </w:r>
        <w:r>
          <w:rPr>
            <w:webHidden/>
          </w:rPr>
          <w:tab/>
        </w:r>
        <w:r>
          <w:rPr>
            <w:webHidden/>
          </w:rPr>
          <w:fldChar w:fldCharType="begin"/>
        </w:r>
        <w:r>
          <w:rPr>
            <w:webHidden/>
          </w:rPr>
          <w:instrText xml:space="preserve"> PAGEREF _Toc146037946 \h </w:instrText>
        </w:r>
        <w:r>
          <w:rPr>
            <w:webHidden/>
          </w:rPr>
        </w:r>
        <w:r>
          <w:rPr>
            <w:webHidden/>
          </w:rPr>
          <w:fldChar w:fldCharType="separate"/>
        </w:r>
        <w:r>
          <w:rPr>
            <w:webHidden/>
          </w:rPr>
          <w:t>199</w:t>
        </w:r>
        <w:r>
          <w:rPr>
            <w:webHidden/>
          </w:rPr>
          <w:fldChar w:fldCharType="end"/>
        </w:r>
      </w:hyperlink>
    </w:p>
    <w:p w14:paraId="13BF5ACC" w14:textId="26B0278E" w:rsidR="001243D7" w:rsidRDefault="001243D7">
      <w:pPr>
        <w:pStyle w:val="TOC3"/>
        <w:rPr>
          <w:rFonts w:asciiTheme="minorHAnsi" w:eastAsiaTheme="minorEastAsia" w:hAnsiTheme="minorHAnsi" w:cstheme="minorBidi"/>
          <w:color w:val="auto"/>
          <w:sz w:val="22"/>
          <w:szCs w:val="22"/>
        </w:rPr>
      </w:pPr>
      <w:hyperlink w:anchor="_Toc146037947" w:history="1">
        <w:r w:rsidRPr="00153D41">
          <w:rPr>
            <w:rStyle w:val="Hyperlink"/>
          </w:rPr>
          <w:t>6.3</w:t>
        </w:r>
        <w:r>
          <w:rPr>
            <w:rFonts w:asciiTheme="minorHAnsi" w:eastAsiaTheme="minorEastAsia" w:hAnsiTheme="minorHAnsi" w:cstheme="minorBidi"/>
            <w:color w:val="auto"/>
            <w:sz w:val="22"/>
            <w:szCs w:val="22"/>
          </w:rPr>
          <w:tab/>
        </w:r>
        <w:r w:rsidRPr="00153D41">
          <w:rPr>
            <w:rStyle w:val="Hyperlink"/>
          </w:rPr>
          <w:t>Държавно предприятие „Научно-производствен център“</w:t>
        </w:r>
        <w:r>
          <w:rPr>
            <w:webHidden/>
          </w:rPr>
          <w:tab/>
        </w:r>
        <w:r>
          <w:rPr>
            <w:webHidden/>
          </w:rPr>
          <w:fldChar w:fldCharType="begin"/>
        </w:r>
        <w:r>
          <w:rPr>
            <w:webHidden/>
          </w:rPr>
          <w:instrText xml:space="preserve"> PAGEREF _Toc146037947 \h </w:instrText>
        </w:r>
        <w:r>
          <w:rPr>
            <w:webHidden/>
          </w:rPr>
        </w:r>
        <w:r>
          <w:rPr>
            <w:webHidden/>
          </w:rPr>
          <w:fldChar w:fldCharType="separate"/>
        </w:r>
        <w:r>
          <w:rPr>
            <w:webHidden/>
          </w:rPr>
          <w:t>200</w:t>
        </w:r>
        <w:r>
          <w:rPr>
            <w:webHidden/>
          </w:rPr>
          <w:fldChar w:fldCharType="end"/>
        </w:r>
      </w:hyperlink>
    </w:p>
    <w:p w14:paraId="2F0B1209" w14:textId="593D6E1B" w:rsidR="001243D7" w:rsidRDefault="001243D7">
      <w:pPr>
        <w:pStyle w:val="TOC3"/>
        <w:rPr>
          <w:rFonts w:asciiTheme="minorHAnsi" w:eastAsiaTheme="minorEastAsia" w:hAnsiTheme="minorHAnsi" w:cstheme="minorBidi"/>
          <w:color w:val="auto"/>
          <w:sz w:val="22"/>
          <w:szCs w:val="22"/>
        </w:rPr>
      </w:pPr>
      <w:hyperlink w:anchor="_Toc146037948" w:history="1">
        <w:r w:rsidRPr="00153D41">
          <w:rPr>
            <w:rStyle w:val="Hyperlink"/>
          </w:rPr>
          <w:t>6.4</w:t>
        </w:r>
        <w:r>
          <w:rPr>
            <w:rFonts w:asciiTheme="minorHAnsi" w:eastAsiaTheme="minorEastAsia" w:hAnsiTheme="minorHAnsi" w:cstheme="minorBidi"/>
            <w:color w:val="auto"/>
            <w:sz w:val="22"/>
            <w:szCs w:val="22"/>
          </w:rPr>
          <w:tab/>
        </w:r>
        <w:r w:rsidRPr="00153D41">
          <w:rPr>
            <w:rStyle w:val="Hyperlink"/>
          </w:rPr>
          <w:t>Държавно предприятие „Управление и стопанисване на язовири”</w:t>
        </w:r>
        <w:r>
          <w:rPr>
            <w:webHidden/>
          </w:rPr>
          <w:tab/>
        </w:r>
        <w:r>
          <w:rPr>
            <w:webHidden/>
          </w:rPr>
          <w:fldChar w:fldCharType="begin"/>
        </w:r>
        <w:r>
          <w:rPr>
            <w:webHidden/>
          </w:rPr>
          <w:instrText xml:space="preserve"> PAGEREF _Toc146037948 \h </w:instrText>
        </w:r>
        <w:r>
          <w:rPr>
            <w:webHidden/>
          </w:rPr>
        </w:r>
        <w:r>
          <w:rPr>
            <w:webHidden/>
          </w:rPr>
          <w:fldChar w:fldCharType="separate"/>
        </w:r>
        <w:r>
          <w:rPr>
            <w:webHidden/>
          </w:rPr>
          <w:t>200</w:t>
        </w:r>
        <w:r>
          <w:rPr>
            <w:webHidden/>
          </w:rPr>
          <w:fldChar w:fldCharType="end"/>
        </w:r>
      </w:hyperlink>
    </w:p>
    <w:p w14:paraId="56BFB983" w14:textId="4CF7134A" w:rsidR="001243D7" w:rsidRDefault="001243D7">
      <w:pPr>
        <w:pStyle w:val="TOC3"/>
        <w:rPr>
          <w:rFonts w:asciiTheme="minorHAnsi" w:eastAsiaTheme="minorEastAsia" w:hAnsiTheme="minorHAnsi" w:cstheme="minorBidi"/>
          <w:color w:val="auto"/>
          <w:sz w:val="22"/>
          <w:szCs w:val="22"/>
        </w:rPr>
      </w:pPr>
      <w:hyperlink w:anchor="_Toc146037949" w:history="1">
        <w:r w:rsidRPr="00153D41">
          <w:rPr>
            <w:rStyle w:val="Hyperlink"/>
          </w:rPr>
          <w:t>6.5</w:t>
        </w:r>
        <w:r>
          <w:rPr>
            <w:rFonts w:asciiTheme="minorHAnsi" w:eastAsiaTheme="minorEastAsia" w:hAnsiTheme="minorHAnsi" w:cstheme="minorBidi"/>
            <w:color w:val="auto"/>
            <w:sz w:val="22"/>
            <w:szCs w:val="22"/>
          </w:rPr>
          <w:tab/>
        </w:r>
        <w:r w:rsidRPr="00153D41">
          <w:rPr>
            <w:rStyle w:val="Hyperlink"/>
          </w:rPr>
          <w:t>Държавно предприятие „Държавна петролна компания”</w:t>
        </w:r>
        <w:r>
          <w:rPr>
            <w:webHidden/>
          </w:rPr>
          <w:tab/>
        </w:r>
        <w:r>
          <w:rPr>
            <w:webHidden/>
          </w:rPr>
          <w:fldChar w:fldCharType="begin"/>
        </w:r>
        <w:r>
          <w:rPr>
            <w:webHidden/>
          </w:rPr>
          <w:instrText xml:space="preserve"> PAGEREF _Toc146037949 \h </w:instrText>
        </w:r>
        <w:r>
          <w:rPr>
            <w:webHidden/>
          </w:rPr>
        </w:r>
        <w:r>
          <w:rPr>
            <w:webHidden/>
          </w:rPr>
          <w:fldChar w:fldCharType="separate"/>
        </w:r>
        <w:r>
          <w:rPr>
            <w:webHidden/>
          </w:rPr>
          <w:t>200</w:t>
        </w:r>
        <w:r>
          <w:rPr>
            <w:webHidden/>
          </w:rPr>
          <w:fldChar w:fldCharType="end"/>
        </w:r>
      </w:hyperlink>
    </w:p>
    <w:p w14:paraId="143CB30E" w14:textId="3A29F47C" w:rsidR="001243D7" w:rsidRDefault="001243D7">
      <w:pPr>
        <w:pStyle w:val="TOC1"/>
        <w:rPr>
          <w:rFonts w:asciiTheme="minorHAnsi" w:eastAsiaTheme="minorEastAsia" w:hAnsiTheme="minorHAnsi" w:cstheme="minorBidi"/>
          <w:b w:val="0"/>
          <w:color w:val="auto"/>
        </w:rPr>
      </w:pPr>
      <w:hyperlink w:anchor="_Toc146037950" w:history="1">
        <w:r w:rsidRPr="00153D41">
          <w:rPr>
            <w:rStyle w:val="Hyperlink"/>
          </w:rPr>
          <w:t>ЗАКЛЮ</w:t>
        </w:r>
        <w:r w:rsidRPr="00153D41">
          <w:rPr>
            <w:rStyle w:val="Hyperlink"/>
          </w:rPr>
          <w:t>Ч</w:t>
        </w:r>
        <w:r w:rsidRPr="00153D41">
          <w:rPr>
            <w:rStyle w:val="Hyperlink"/>
          </w:rPr>
          <w:t>ЕНИЕ</w:t>
        </w:r>
        <w:r>
          <w:rPr>
            <w:webHidden/>
          </w:rPr>
          <w:tab/>
        </w:r>
        <w:r>
          <w:rPr>
            <w:webHidden/>
          </w:rPr>
          <w:fldChar w:fldCharType="begin"/>
        </w:r>
        <w:r>
          <w:rPr>
            <w:webHidden/>
          </w:rPr>
          <w:instrText xml:space="preserve"> PAGEREF _Toc146037950 \h </w:instrText>
        </w:r>
        <w:r>
          <w:rPr>
            <w:webHidden/>
          </w:rPr>
        </w:r>
        <w:r>
          <w:rPr>
            <w:webHidden/>
          </w:rPr>
          <w:fldChar w:fldCharType="separate"/>
        </w:r>
        <w:r>
          <w:rPr>
            <w:webHidden/>
          </w:rPr>
          <w:t>201</w:t>
        </w:r>
        <w:r>
          <w:rPr>
            <w:webHidden/>
          </w:rPr>
          <w:fldChar w:fldCharType="end"/>
        </w:r>
      </w:hyperlink>
    </w:p>
    <w:p w14:paraId="22EFE529" w14:textId="149E118B" w:rsidR="00666D9F" w:rsidRPr="007B48E9" w:rsidRDefault="00666D9F" w:rsidP="003A7277">
      <w:pPr>
        <w:pStyle w:val="TOC1"/>
      </w:pPr>
      <w:r w:rsidRPr="007B48E9">
        <w:rPr>
          <w:noProof w:val="0"/>
        </w:rPr>
        <w:fldChar w:fldCharType="end"/>
      </w:r>
    </w:p>
    <w:p w14:paraId="7AB76C64" w14:textId="77777777" w:rsidR="00161894" w:rsidRPr="000A67D2" w:rsidRDefault="00666D9F" w:rsidP="00161894">
      <w:pPr>
        <w:pStyle w:val="Heading1"/>
      </w:pPr>
      <w:bookmarkStart w:id="5" w:name="_Toc261276548"/>
      <w:r w:rsidRPr="007B48E9">
        <w:rPr>
          <w:color w:val="0070C0"/>
        </w:rPr>
        <w:br w:type="page"/>
      </w:r>
      <w:bookmarkStart w:id="6" w:name="_Toc324863379"/>
      <w:bookmarkStart w:id="7" w:name="_Toc146037868"/>
      <w:bookmarkEnd w:id="5"/>
      <w:r w:rsidR="00161894" w:rsidRPr="000A67D2">
        <w:t>Използвани съкращения</w:t>
      </w:r>
      <w:bookmarkEnd w:id="6"/>
      <w:bookmarkEnd w:id="7"/>
    </w:p>
    <w:p w14:paraId="69C6275F" w14:textId="77777777" w:rsidR="00161894" w:rsidRPr="007B48E9" w:rsidRDefault="00161894" w:rsidP="00161894">
      <w:pPr>
        <w:rPr>
          <w:color w:val="0070C0"/>
          <w:sz w:val="8"/>
          <w:szCs w:val="8"/>
        </w:rPr>
      </w:pPr>
    </w:p>
    <w:p w14:paraId="71E148D7" w14:textId="77777777" w:rsidR="00161894" w:rsidRPr="000A67D2" w:rsidRDefault="00161894" w:rsidP="00161894">
      <w:r w:rsidRPr="000A67D2">
        <w:t>АМ – Агенция „Митници”</w:t>
      </w:r>
    </w:p>
    <w:p w14:paraId="6AB45E6F" w14:textId="77777777" w:rsidR="00161894" w:rsidRPr="000A67D2" w:rsidRDefault="00161894" w:rsidP="00161894">
      <w:pPr>
        <w:autoSpaceDE w:val="0"/>
        <w:autoSpaceDN w:val="0"/>
        <w:adjustRightInd w:val="0"/>
      </w:pPr>
      <w:r w:rsidRPr="000A67D2">
        <w:t>БВП – брутен вътрешен продукт</w:t>
      </w:r>
    </w:p>
    <w:p w14:paraId="2497ABC2" w14:textId="77777777" w:rsidR="00161894" w:rsidRPr="000A67D2" w:rsidRDefault="00161894" w:rsidP="00161894">
      <w:pPr>
        <w:autoSpaceDE w:val="0"/>
        <w:autoSpaceDN w:val="0"/>
        <w:adjustRightInd w:val="0"/>
      </w:pPr>
      <w:r w:rsidRPr="000A67D2">
        <w:t xml:space="preserve">БДЖ – Български държавни железници </w:t>
      </w:r>
    </w:p>
    <w:p w14:paraId="69A4E660" w14:textId="77777777" w:rsidR="00161894" w:rsidRPr="000A67D2" w:rsidRDefault="00161894" w:rsidP="00161894">
      <w:r w:rsidRPr="000A67D2">
        <w:t>БНБ – Българска народна банка</w:t>
      </w:r>
    </w:p>
    <w:p w14:paraId="7626D3DA" w14:textId="77777777" w:rsidR="00161894" w:rsidRPr="004D5FFC" w:rsidRDefault="00161894" w:rsidP="00161894">
      <w:pPr>
        <w:rPr>
          <w:lang w:val="ru-RU"/>
        </w:rPr>
      </w:pPr>
      <w:r w:rsidRPr="000A67D2">
        <w:t>БФП - безвъзмездна финансова помощ</w:t>
      </w:r>
    </w:p>
    <w:p w14:paraId="1D0A4839" w14:textId="77777777" w:rsidR="00161894" w:rsidRPr="00437034" w:rsidRDefault="00161894" w:rsidP="00161894">
      <w:r w:rsidRPr="00437034">
        <w:t>ВОП – вътреобщностни придобивания</w:t>
      </w:r>
    </w:p>
    <w:p w14:paraId="2E8161EA" w14:textId="77777777" w:rsidR="00161894" w:rsidRPr="00437034" w:rsidRDefault="00161894" w:rsidP="00161894">
      <w:r w:rsidRPr="00437034">
        <w:t>ДАНС – Държавна агенция „Национална сигурност”</w:t>
      </w:r>
    </w:p>
    <w:p w14:paraId="3496121E" w14:textId="77777777" w:rsidR="00161894" w:rsidRPr="00437034" w:rsidRDefault="00161894" w:rsidP="00161894">
      <w:r w:rsidRPr="00437034">
        <w:t>ДБ – държавен бюджет</w:t>
      </w:r>
    </w:p>
    <w:p w14:paraId="7C41E701" w14:textId="77777777" w:rsidR="00161894" w:rsidRPr="00437034" w:rsidRDefault="00161894" w:rsidP="00161894">
      <w:r w:rsidRPr="00437034">
        <w:t>ДВ – Държавен вестник</w:t>
      </w:r>
    </w:p>
    <w:p w14:paraId="074816F7" w14:textId="77777777" w:rsidR="00161894" w:rsidRPr="00437034" w:rsidRDefault="00161894" w:rsidP="00161894">
      <w:r w:rsidRPr="00437034">
        <w:t>ДВУ – държавни висши училища</w:t>
      </w:r>
    </w:p>
    <w:p w14:paraId="73A5B01C" w14:textId="77777777" w:rsidR="00161894" w:rsidRPr="00437034" w:rsidRDefault="00161894" w:rsidP="00161894">
      <w:r w:rsidRPr="00437034">
        <w:t>ДДС – данък върху добавената стойност</w:t>
      </w:r>
    </w:p>
    <w:p w14:paraId="36620CB9" w14:textId="77777777" w:rsidR="00161894" w:rsidRPr="00437034" w:rsidRDefault="00161894" w:rsidP="00161894">
      <w:r w:rsidRPr="00437034">
        <w:t>ДИЗ – държавни инвестиционни заеми</w:t>
      </w:r>
    </w:p>
    <w:p w14:paraId="6A8ED412" w14:textId="77777777" w:rsidR="00161894" w:rsidRPr="00437034" w:rsidRDefault="00161894" w:rsidP="00161894">
      <w:r w:rsidRPr="00437034">
        <w:t xml:space="preserve">ДМА – дълготрайни материални активи </w:t>
      </w:r>
    </w:p>
    <w:p w14:paraId="046A9F98" w14:textId="77777777" w:rsidR="00161894" w:rsidRPr="00437034" w:rsidRDefault="00161894" w:rsidP="00161894">
      <w:r w:rsidRPr="00437034">
        <w:t>ДМП – други международни програми</w:t>
      </w:r>
    </w:p>
    <w:p w14:paraId="097930A9" w14:textId="77777777" w:rsidR="00161894" w:rsidRPr="00437034" w:rsidRDefault="00161894" w:rsidP="00161894">
      <w:r w:rsidRPr="00437034">
        <w:t>ДОО – държавно обществено осигуряване</w:t>
      </w:r>
    </w:p>
    <w:p w14:paraId="094C7DD8" w14:textId="77777777" w:rsidR="00161894" w:rsidRPr="00437034" w:rsidRDefault="00161894" w:rsidP="00161894">
      <w:r w:rsidRPr="00437034">
        <w:t>ДФЗ – Държавен фонд „Земеделие”</w:t>
      </w:r>
    </w:p>
    <w:p w14:paraId="56846EA8" w14:textId="77777777" w:rsidR="00161894" w:rsidRPr="00437034" w:rsidRDefault="00161894" w:rsidP="00161894">
      <w:r w:rsidRPr="00437034">
        <w:t>ЕК – Европейска комисия</w:t>
      </w:r>
    </w:p>
    <w:p w14:paraId="3195FCCC" w14:textId="77777777" w:rsidR="00161894" w:rsidRPr="00437034" w:rsidRDefault="00161894" w:rsidP="00161894">
      <w:r w:rsidRPr="00437034">
        <w:t>ЕО – Европейска общност</w:t>
      </w:r>
    </w:p>
    <w:p w14:paraId="620FE8D0" w14:textId="77777777" w:rsidR="00161894" w:rsidRPr="00437034" w:rsidRDefault="00161894" w:rsidP="00161894">
      <w:r w:rsidRPr="00437034">
        <w:t>ЕС – Европейски съюз</w:t>
      </w:r>
    </w:p>
    <w:p w14:paraId="17635113" w14:textId="77777777" w:rsidR="00161894" w:rsidRPr="00437034" w:rsidRDefault="00161894" w:rsidP="00161894">
      <w:r w:rsidRPr="00437034">
        <w:t>ЕСС – Европейска система от национални и регионални сметки на Общността</w:t>
      </w:r>
    </w:p>
    <w:p w14:paraId="582A13C0" w14:textId="77777777" w:rsidR="00161894" w:rsidRPr="00437034" w:rsidRDefault="00161894" w:rsidP="00161894">
      <w:r w:rsidRPr="00437034">
        <w:t>ЕИП – Европейско икономическо пространство</w:t>
      </w:r>
    </w:p>
    <w:p w14:paraId="6144A263" w14:textId="77777777" w:rsidR="00161894" w:rsidRPr="00437034" w:rsidRDefault="00161894" w:rsidP="00161894">
      <w:r w:rsidRPr="00437034">
        <w:t>ЗАДС – Закон за акцизите и данъчните складове</w:t>
      </w:r>
    </w:p>
    <w:p w14:paraId="2116908D" w14:textId="77777777" w:rsidR="00161894" w:rsidRPr="00437034" w:rsidRDefault="00161894" w:rsidP="00161894">
      <w:r w:rsidRPr="00437034">
        <w:t>ЗДБРБ – Закон за държавния бюджет на Република България</w:t>
      </w:r>
    </w:p>
    <w:p w14:paraId="79B429DE" w14:textId="77777777" w:rsidR="00161894" w:rsidRPr="00437034" w:rsidRDefault="00161894" w:rsidP="00161894">
      <w:r w:rsidRPr="00437034">
        <w:t>ЗДДС – Закон за данък върху добавената стойност</w:t>
      </w:r>
    </w:p>
    <w:p w14:paraId="0FB70FC7" w14:textId="77777777" w:rsidR="00161894" w:rsidRPr="00437034" w:rsidRDefault="00161894" w:rsidP="00161894">
      <w:r w:rsidRPr="00437034">
        <w:t>ЗДДФЛ – Закон за данъците върху доходите на физическите лица</w:t>
      </w:r>
    </w:p>
    <w:p w14:paraId="7CE50EF2" w14:textId="77777777" w:rsidR="00161894" w:rsidRPr="00437034" w:rsidRDefault="00161894" w:rsidP="00161894">
      <w:r w:rsidRPr="00437034">
        <w:t>ЗИД – Закон за изменение и допълнение</w:t>
      </w:r>
    </w:p>
    <w:p w14:paraId="7A7B48F4" w14:textId="77777777" w:rsidR="00161894" w:rsidRPr="00437034" w:rsidRDefault="00161894" w:rsidP="00161894">
      <w:r w:rsidRPr="00437034">
        <w:t>ЗКПО – Закон за корпоративното подоходно облагане</w:t>
      </w:r>
    </w:p>
    <w:p w14:paraId="66AAC055" w14:textId="77777777" w:rsidR="00161894" w:rsidRPr="00437034" w:rsidRDefault="00161894" w:rsidP="00161894">
      <w:r w:rsidRPr="00437034">
        <w:t>ЗМДТ – Закон за местните данъци и такси</w:t>
      </w:r>
    </w:p>
    <w:p w14:paraId="31036368" w14:textId="77777777" w:rsidR="00161894" w:rsidRPr="0071448F" w:rsidRDefault="00161894" w:rsidP="00161894">
      <w:r w:rsidRPr="0071448F">
        <w:t>ИСПА – Инструмент на структурните политики за присъединяване</w:t>
      </w:r>
    </w:p>
    <w:p w14:paraId="6A0955FC" w14:textId="77777777" w:rsidR="00161894" w:rsidRPr="0071448F" w:rsidRDefault="00161894" w:rsidP="00161894">
      <w:r w:rsidRPr="0071448F">
        <w:t>ИА – Изпълнителна агенция</w:t>
      </w:r>
    </w:p>
    <w:p w14:paraId="03349026" w14:textId="77777777" w:rsidR="00161894" w:rsidRPr="0071448F" w:rsidRDefault="00161894" w:rsidP="00161894">
      <w:r w:rsidRPr="0071448F">
        <w:t>ИПП – Инструмент за предприсъединителна помощ</w:t>
      </w:r>
    </w:p>
    <w:p w14:paraId="128AAEFD" w14:textId="77777777" w:rsidR="00161894" w:rsidRPr="0071448F" w:rsidRDefault="00161894" w:rsidP="00161894">
      <w:r w:rsidRPr="0071448F">
        <w:t>КСО – Кодекс за социално осигуряване</w:t>
      </w:r>
    </w:p>
    <w:p w14:paraId="6D67E7B1" w14:textId="77777777" w:rsidR="00161894" w:rsidRPr="0071448F" w:rsidRDefault="00161894" w:rsidP="00161894">
      <w:r w:rsidRPr="0071448F">
        <w:t>КФП – консолидирана фискална програма</w:t>
      </w:r>
    </w:p>
    <w:p w14:paraId="46306298" w14:textId="77777777" w:rsidR="00161894" w:rsidRPr="0071448F" w:rsidRDefault="00161894" w:rsidP="00161894">
      <w:r w:rsidRPr="0071448F">
        <w:t>МБВР – Международна банка за възстановяване и развитие</w:t>
      </w:r>
    </w:p>
    <w:p w14:paraId="49432D45" w14:textId="77777777" w:rsidR="00161894" w:rsidRPr="0071448F" w:rsidRDefault="00161894" w:rsidP="00161894">
      <w:r w:rsidRPr="0071448F">
        <w:t>МВР – Министерство на вътрешните работи</w:t>
      </w:r>
    </w:p>
    <w:p w14:paraId="312C97EB" w14:textId="77777777" w:rsidR="00161894" w:rsidRPr="0071448F" w:rsidRDefault="00161894" w:rsidP="00161894">
      <w:r w:rsidRPr="0071448F">
        <w:t>МВнР – Министерство на външните работи</w:t>
      </w:r>
    </w:p>
    <w:p w14:paraId="16CCE2C6" w14:textId="77777777" w:rsidR="00161894" w:rsidRPr="0071448F" w:rsidRDefault="00161894" w:rsidP="00161894">
      <w:r w:rsidRPr="0071448F">
        <w:t>МВФ – Международен валутен фонд</w:t>
      </w:r>
    </w:p>
    <w:p w14:paraId="4D247595" w14:textId="77777777" w:rsidR="00161894" w:rsidRPr="0071448F" w:rsidRDefault="00161894" w:rsidP="00161894">
      <w:r w:rsidRPr="0071448F">
        <w:t xml:space="preserve">МЕ – Министерство на енергетиката </w:t>
      </w:r>
    </w:p>
    <w:p w14:paraId="0ABFC30D" w14:textId="77777777" w:rsidR="00161894" w:rsidRPr="0071448F" w:rsidRDefault="00161894" w:rsidP="00161894">
      <w:r w:rsidRPr="0071448F">
        <w:t>МЗ – Министерство на здравеопазването</w:t>
      </w:r>
    </w:p>
    <w:p w14:paraId="79AA8F1A" w14:textId="77777777" w:rsidR="00161894" w:rsidRPr="0071448F" w:rsidRDefault="00161894" w:rsidP="00161894">
      <w:r w:rsidRPr="0071448F">
        <w:t xml:space="preserve">МЗм – Министерство на земеделието </w:t>
      </w:r>
    </w:p>
    <w:p w14:paraId="1F40E04B" w14:textId="77777777" w:rsidR="00161894" w:rsidRPr="0071448F" w:rsidRDefault="00161894" w:rsidP="00161894">
      <w:r w:rsidRPr="0071448F">
        <w:t>МИ – Министерство на икономиката и индустрията</w:t>
      </w:r>
    </w:p>
    <w:p w14:paraId="16E95CDD" w14:textId="77777777" w:rsidR="00161894" w:rsidRPr="0071448F" w:rsidRDefault="00161894" w:rsidP="00161894">
      <w:r w:rsidRPr="0071448F">
        <w:t>МК – Министерство на културата</w:t>
      </w:r>
    </w:p>
    <w:p w14:paraId="119C45EE" w14:textId="77777777" w:rsidR="00161894" w:rsidRPr="0071448F" w:rsidRDefault="00161894" w:rsidP="00161894">
      <w:r w:rsidRPr="0071448F">
        <w:t>МО – Министерство на отбраната</w:t>
      </w:r>
    </w:p>
    <w:p w14:paraId="3333856B" w14:textId="77777777" w:rsidR="00161894" w:rsidRPr="0071448F" w:rsidRDefault="00161894" w:rsidP="00161894">
      <w:r w:rsidRPr="0071448F">
        <w:t>МОН – Министерство на образованието и науката</w:t>
      </w:r>
    </w:p>
    <w:p w14:paraId="5A92180F" w14:textId="77777777" w:rsidR="00161894" w:rsidRPr="0071448F" w:rsidRDefault="00161894" w:rsidP="00161894">
      <w:r w:rsidRPr="0071448F">
        <w:t>МОСВ – Министерство на околната среда и водите</w:t>
      </w:r>
    </w:p>
    <w:p w14:paraId="31B1EE83" w14:textId="77777777" w:rsidR="00161894" w:rsidRPr="0071448F" w:rsidRDefault="00161894" w:rsidP="00161894">
      <w:r w:rsidRPr="0071448F">
        <w:t>МП – Министерство на правосъдието</w:t>
      </w:r>
    </w:p>
    <w:p w14:paraId="1217E31F" w14:textId="77777777" w:rsidR="00161894" w:rsidRPr="0071448F" w:rsidRDefault="00161894" w:rsidP="00161894">
      <w:r w:rsidRPr="0071448F">
        <w:t xml:space="preserve">МПС – Моторни превозни средства </w:t>
      </w:r>
    </w:p>
    <w:p w14:paraId="3970D356" w14:textId="77777777" w:rsidR="00161894" w:rsidRPr="0071448F" w:rsidRDefault="00161894" w:rsidP="00161894">
      <w:r w:rsidRPr="0071448F">
        <w:t>МРРБ – Министерство на регионалното развитие и благоустройството</w:t>
      </w:r>
    </w:p>
    <w:p w14:paraId="38685120" w14:textId="77777777" w:rsidR="00161894" w:rsidRPr="0071448F" w:rsidRDefault="00161894" w:rsidP="00161894">
      <w:r w:rsidRPr="0071448F">
        <w:t>МС – Министерски съвет</w:t>
      </w:r>
    </w:p>
    <w:p w14:paraId="14FD0C06" w14:textId="77777777" w:rsidR="00161894" w:rsidRPr="0052444C" w:rsidRDefault="00161894" w:rsidP="00161894">
      <w:r w:rsidRPr="0052444C">
        <w:t>МТС – Министерство на транспорта и съобщенията</w:t>
      </w:r>
    </w:p>
    <w:p w14:paraId="4AC2FC06" w14:textId="77777777" w:rsidR="00161894" w:rsidRPr="0052444C" w:rsidRDefault="00161894" w:rsidP="00161894">
      <w:r w:rsidRPr="0052444C">
        <w:t>МТСП – Министерство на труда и социалната политика</w:t>
      </w:r>
    </w:p>
    <w:p w14:paraId="354B54B6" w14:textId="77777777" w:rsidR="00161894" w:rsidRPr="0052444C" w:rsidRDefault="00161894" w:rsidP="00161894">
      <w:r w:rsidRPr="0052444C">
        <w:t>МФ – Министерство на финансите</w:t>
      </w:r>
    </w:p>
    <w:p w14:paraId="25FD9E7D" w14:textId="77777777" w:rsidR="00161894" w:rsidRPr="0052444C" w:rsidRDefault="00161894" w:rsidP="00161894">
      <w:r w:rsidRPr="0052444C">
        <w:t>ММС – Министерство на младежта и спорта</w:t>
      </w:r>
    </w:p>
    <w:p w14:paraId="0DB5E91F" w14:textId="77777777" w:rsidR="00161894" w:rsidRPr="0052444C" w:rsidRDefault="00161894" w:rsidP="00161894">
      <w:r w:rsidRPr="0052444C">
        <w:t>НАП – Национална агенция за приходите</w:t>
      </w:r>
    </w:p>
    <w:p w14:paraId="16BCF739" w14:textId="77777777" w:rsidR="00161894" w:rsidRPr="0052444C" w:rsidRDefault="00161894" w:rsidP="00161894">
      <w:r w:rsidRPr="0052444C">
        <w:t>АПИ –Агенция „Пътна инфраструктура”</w:t>
      </w:r>
    </w:p>
    <w:p w14:paraId="3EA152C8" w14:textId="32A28E01" w:rsidR="00161894" w:rsidRPr="0052444C" w:rsidRDefault="00161894" w:rsidP="00161894">
      <w:r w:rsidRPr="0052444C">
        <w:t xml:space="preserve">НФМ </w:t>
      </w:r>
      <w:r w:rsidR="008A4677" w:rsidRPr="0071448F">
        <w:t xml:space="preserve">– </w:t>
      </w:r>
      <w:r w:rsidRPr="0052444C">
        <w:t>Норвежки финансов механизъм</w:t>
      </w:r>
    </w:p>
    <w:p w14:paraId="4DF196A6" w14:textId="77777777" w:rsidR="00161894" w:rsidRPr="0052444C" w:rsidRDefault="00161894" w:rsidP="00161894">
      <w:r w:rsidRPr="0052444C">
        <w:t>ОП – Оперативна програма</w:t>
      </w:r>
    </w:p>
    <w:p w14:paraId="482D4FE5" w14:textId="0A2BEB29" w:rsidR="00161894" w:rsidRDefault="00161894" w:rsidP="00161894">
      <w:r w:rsidRPr="0052444C">
        <w:t>ПЗР – преходни и заключителни разпоредби</w:t>
      </w:r>
    </w:p>
    <w:p w14:paraId="51E946BB" w14:textId="212E9156" w:rsidR="003110B7" w:rsidRPr="0052444C" w:rsidRDefault="003110B7" w:rsidP="00161894">
      <w:r>
        <w:t xml:space="preserve">ПО </w:t>
      </w:r>
      <w:r w:rsidR="008A4677" w:rsidRPr="0071448F">
        <w:t xml:space="preserve">– </w:t>
      </w:r>
      <w:r>
        <w:t>приоритетна</w:t>
      </w:r>
      <w:r w:rsidRPr="003110B7">
        <w:t xml:space="preserve"> ос</w:t>
      </w:r>
    </w:p>
    <w:p w14:paraId="0D5EEC1F" w14:textId="77777777" w:rsidR="00161894" w:rsidRPr="0052444C" w:rsidRDefault="00161894" w:rsidP="00161894">
      <w:r w:rsidRPr="0052444C">
        <w:t xml:space="preserve">ПРБ – първостепенни разпоредители с бюджет </w:t>
      </w:r>
    </w:p>
    <w:p w14:paraId="0D951245" w14:textId="77777777" w:rsidR="00161894" w:rsidRPr="0052444C" w:rsidRDefault="00161894" w:rsidP="00161894">
      <w:r w:rsidRPr="0052444C">
        <w:t>пр. п. – процентни пункта</w:t>
      </w:r>
    </w:p>
    <w:p w14:paraId="2AEA8C9A" w14:textId="77777777" w:rsidR="00161894" w:rsidRPr="00A1207D" w:rsidRDefault="00161894" w:rsidP="00161894">
      <w:r w:rsidRPr="00A1207D">
        <w:t>ПТСВГ – Програми за трансгранично сътрудничество по външните граници на ЕС</w:t>
      </w:r>
    </w:p>
    <w:p w14:paraId="0320B7E1" w14:textId="77777777" w:rsidR="00161894" w:rsidRPr="00A1207D" w:rsidRDefault="00161894" w:rsidP="00161894">
      <w:r w:rsidRPr="00A1207D">
        <w:t>ПУДООС – Предприятие за управление на дейностите по опазване на околната среда</w:t>
      </w:r>
    </w:p>
    <w:p w14:paraId="193AF49A" w14:textId="77777777" w:rsidR="00161894" w:rsidRPr="00A1207D" w:rsidRDefault="00161894" w:rsidP="00161894">
      <w:r w:rsidRPr="00A1207D">
        <w:t>ПМС – Постановление на Министерския съвет</w:t>
      </w:r>
    </w:p>
    <w:p w14:paraId="2BE26B12" w14:textId="77777777" w:rsidR="00161894" w:rsidRPr="00A1207D" w:rsidRDefault="00161894" w:rsidP="00161894">
      <w:r w:rsidRPr="00A1207D">
        <w:t>СКФ – Структурни фондове и Кохезионен фонд</w:t>
      </w:r>
    </w:p>
    <w:p w14:paraId="283251E7" w14:textId="77777777" w:rsidR="00161894" w:rsidRPr="00A1207D" w:rsidRDefault="00161894" w:rsidP="00161894">
      <w:r w:rsidRPr="00A1207D">
        <w:t>СНС – Система за национални сметки</w:t>
      </w:r>
    </w:p>
    <w:p w14:paraId="2D7CE5E2" w14:textId="77777777" w:rsidR="00161894" w:rsidRPr="00A1207D" w:rsidRDefault="00161894" w:rsidP="00161894">
      <w:r w:rsidRPr="00A1207D">
        <w:t>СП – Сметна палата</w:t>
      </w:r>
    </w:p>
    <w:p w14:paraId="2B8BD636" w14:textId="77777777" w:rsidR="00161894" w:rsidRPr="00A1207D" w:rsidRDefault="00161894" w:rsidP="00161894">
      <w:r w:rsidRPr="00A1207D">
        <w:t>УПФ – Учителски пенсионен фонд</w:t>
      </w:r>
    </w:p>
    <w:p w14:paraId="2EA5978E" w14:textId="77777777" w:rsidR="00161894" w:rsidRPr="00A1207D" w:rsidRDefault="00161894" w:rsidP="00161894">
      <w:r w:rsidRPr="00A1207D">
        <w:t>ФГВРС –  Фонд „Гарантирани вземания на работниците и служителите”</w:t>
      </w:r>
    </w:p>
    <w:p w14:paraId="21B3F66F" w14:textId="77777777" w:rsidR="00161894" w:rsidRPr="00A1207D" w:rsidRDefault="00161894" w:rsidP="00161894">
      <w:pPr>
        <w:ind w:right="-108"/>
        <w:rPr>
          <w:lang w:val="ru-RU"/>
        </w:rPr>
      </w:pPr>
      <w:r w:rsidRPr="00A1207D">
        <w:t>ФМ на ЕИП – Финансов механизъм на Европейско икономическо пространство</w:t>
      </w:r>
    </w:p>
    <w:p w14:paraId="1001BD9E" w14:textId="77777777" w:rsidR="00161894" w:rsidRPr="00CB1C25" w:rsidRDefault="00161894" w:rsidP="00161894">
      <w:pPr>
        <w:ind w:right="-108"/>
      </w:pPr>
      <w:r w:rsidRPr="00CB1C25">
        <w:t>ХИПЦ – хармонизиран индекс на потребителските цени</w:t>
      </w:r>
    </w:p>
    <w:p w14:paraId="2DD42034" w14:textId="77777777" w:rsidR="00161894" w:rsidRPr="00CB1C25" w:rsidRDefault="00161894" w:rsidP="00161894">
      <w:r w:rsidRPr="00CB1C25">
        <w:t>ЦБ – централен бюджет</w:t>
      </w:r>
    </w:p>
    <w:p w14:paraId="6ECCC90A" w14:textId="2BE7E7E1" w:rsidR="00666D9F" w:rsidRPr="007B48E9" w:rsidRDefault="00666D9F" w:rsidP="00161894">
      <w:pPr>
        <w:pStyle w:val="Heading1"/>
        <w:rPr>
          <w:color w:val="0070C0"/>
        </w:rPr>
      </w:pPr>
    </w:p>
    <w:p w14:paraId="41498296" w14:textId="77777777" w:rsidR="00666D9F" w:rsidRPr="007B48E9" w:rsidRDefault="00666D9F" w:rsidP="006E1D59">
      <w:pPr>
        <w:rPr>
          <w:color w:val="0070C0"/>
          <w:sz w:val="2"/>
          <w:szCs w:val="2"/>
        </w:rPr>
      </w:pPr>
      <w:r w:rsidRPr="007B48E9">
        <w:rPr>
          <w:color w:val="0070C0"/>
          <w:lang w:val="ru-RU"/>
        </w:rPr>
        <w:tab/>
      </w:r>
      <w:r w:rsidRPr="007B48E9">
        <w:rPr>
          <w:color w:val="0070C0"/>
          <w:lang w:val="ru-RU"/>
        </w:rPr>
        <w:tab/>
      </w:r>
      <w:r w:rsidRPr="007B48E9">
        <w:rPr>
          <w:color w:val="0070C0"/>
        </w:rPr>
        <w:br w:type="page"/>
      </w:r>
    </w:p>
    <w:p w14:paraId="40CBA6EA" w14:textId="47CE2B89" w:rsidR="004F29B4" w:rsidRPr="009D72BD" w:rsidRDefault="004F29B4" w:rsidP="00BD39E0">
      <w:pPr>
        <w:keepNext/>
        <w:numPr>
          <w:ilvl w:val="0"/>
          <w:numId w:val="63"/>
        </w:numPr>
        <w:ind w:left="0" w:firstLine="0"/>
        <w:jc w:val="center"/>
        <w:outlineLvl w:val="0"/>
        <w:rPr>
          <w:b/>
          <w:bCs/>
          <w:lang w:eastAsia="en-US"/>
        </w:rPr>
      </w:pPr>
      <w:bookmarkStart w:id="8" w:name="_Toc261276549"/>
      <w:bookmarkStart w:id="9" w:name="_Toc324863380"/>
      <w:r w:rsidRPr="009D72BD">
        <w:rPr>
          <w:b/>
          <w:bCs/>
          <w:lang w:eastAsia="en-US"/>
        </w:rPr>
        <w:t xml:space="preserve"> </w:t>
      </w:r>
      <w:bookmarkStart w:id="10" w:name="_Toc146037869"/>
      <w:r w:rsidRPr="009D72BD">
        <w:rPr>
          <w:b/>
          <w:bCs/>
          <w:lang w:eastAsia="en-US"/>
        </w:rPr>
        <w:t>АНАЛИЗ НА ОСНОВНИТЕ МАКРОИКОНОМИЧЕСКИ ПОКАЗАТЕЛИ И ТЕНДЕНЦИИ В РАЗВИТИЕТО НА ВЪНШНАТА И ВЪТРЕШНАТА ИКОНОМИЧЕСКА СРЕДА ПРЕЗ 2022 г.</w:t>
      </w:r>
      <w:bookmarkEnd w:id="10"/>
    </w:p>
    <w:p w14:paraId="2AE198B9" w14:textId="77777777" w:rsidR="004F29B4" w:rsidRPr="004F29B4" w:rsidRDefault="004F29B4" w:rsidP="004F29B4">
      <w:pPr>
        <w:ind w:firstLine="567"/>
        <w:jc w:val="both"/>
        <w:rPr>
          <w:color w:val="262626"/>
          <w:lang w:eastAsia="ja-JP"/>
        </w:rPr>
      </w:pPr>
      <w:r w:rsidRPr="004F29B4">
        <w:rPr>
          <w:color w:val="262626"/>
          <w:lang w:eastAsia="ja-JP"/>
        </w:rPr>
        <w:t>През 2022 г. световната икономика бе повлияна, от една страна, от продължаващото възстановяване след кризата, породена от пандемията от COVID-19, а от друга - от новите шокове от войната на Руската федерация в Украйна и енергийните проблеми в Европа. Съответно, през първото полугодие бе отчетен силен икономически растеж както в ЕС, така и в световен план, движен от известно облекчаване на веригите за доставки, покачване на потреблението и производството. Високата несигурност породена от войната, рисковете пред енергийната стабилност в ЕС и недостига на основни суровини се отразиха в нарастване на цените на международните суровини и последвало значително ускорение на инфлацията. В опит да овладеят покачващия се инфлационен натиск, водещите централни банки започнаха да провеждат по-рестриктивна парична политика и предприеха поредица от повишения на референтните лихвени проценти. Икономиката на ЕС бе пряко засегната от международните събития, което се отрази в постепенно забавяне на растежа на БВП през отделните тримесечия на 2022 г., отчитайки общ годишен растеж от 3,5 %. По-слабия растеж бе движен основно от забавяне на потреблението на домакинствата най-вече на недълготрайни потребителски стоки.</w:t>
      </w:r>
    </w:p>
    <w:p w14:paraId="2BACB6E4" w14:textId="77777777" w:rsidR="004F29B4" w:rsidRPr="004F29B4" w:rsidRDefault="004F29B4" w:rsidP="004F29B4">
      <w:pPr>
        <w:ind w:firstLine="567"/>
        <w:jc w:val="both"/>
        <w:rPr>
          <w:color w:val="262626"/>
          <w:lang w:eastAsia="ja-JP"/>
        </w:rPr>
      </w:pPr>
      <w:r w:rsidRPr="004F29B4">
        <w:rPr>
          <w:color w:val="262626"/>
          <w:lang w:eastAsia="ja-JP"/>
        </w:rPr>
        <w:t>В САЩ също се наблюдаваше забавяне на растежа на БВП до 2,1 % при 5,9 % година по-рано. Низходящата тенденция бе водена от влошаване на търсенето на стоки от страна на домакинствата. Инвестициите също допринесоха за забавянето като при тях силно отрицателно влияние имаше жилищното строителство. Китай продължи да налага ограничения, свързани с разпространението на COVID-19, поне през първата половина на 2022 г. Това заедно със затрудненията на пазара на недвижими имоти и безпрецедентната суша ограничиха икономическата активност до растеж на БВП от 3 %. Силното частно потребление и подобрението при пазара на труда в Турция подкрепиха икономическия растеж. Същевременно, растежа на инвестициите и износа се забави значително през втората половина на 2022 г., което предопредели и забавяне на макар и силния растеж на БВП от 5,6 % при 11,4 % през 2021 г.</w:t>
      </w:r>
    </w:p>
    <w:p w14:paraId="1BF11FD3" w14:textId="77777777" w:rsidR="004F29B4" w:rsidRPr="004F29B4" w:rsidRDefault="004F29B4" w:rsidP="004F29B4">
      <w:pPr>
        <w:ind w:firstLine="720"/>
        <w:jc w:val="both"/>
        <w:rPr>
          <w:color w:val="262626"/>
          <w:lang w:eastAsia="ja-JP"/>
        </w:rPr>
      </w:pPr>
    </w:p>
    <w:p w14:paraId="0C5E90B6" w14:textId="77777777" w:rsidR="004F29B4" w:rsidRPr="004F29B4" w:rsidRDefault="004F29B4" w:rsidP="004F29B4">
      <w:pPr>
        <w:keepNext/>
        <w:spacing w:after="200"/>
        <w:jc w:val="center"/>
        <w:rPr>
          <w:b/>
          <w:i/>
          <w:iCs/>
          <w:szCs w:val="18"/>
          <w:lang w:eastAsia="ja-JP"/>
        </w:rPr>
      </w:pPr>
      <w:r w:rsidRPr="004F29B4">
        <w:rPr>
          <w:b/>
          <w:i/>
          <w:iCs/>
          <w:szCs w:val="18"/>
          <w:lang w:eastAsia="ja-JP"/>
        </w:rPr>
        <w:t>Реален растеж на БВП (в  %, на годишна база)</w:t>
      </w:r>
    </w:p>
    <w:tbl>
      <w:tblPr>
        <w:tblW w:w="8930" w:type="dxa"/>
        <w:jc w:val="center"/>
        <w:tblLayout w:type="fixed"/>
        <w:tblCellMar>
          <w:left w:w="70" w:type="dxa"/>
          <w:right w:w="70" w:type="dxa"/>
        </w:tblCellMar>
        <w:tblLook w:val="0000" w:firstRow="0" w:lastRow="0" w:firstColumn="0" w:lastColumn="0" w:noHBand="0" w:noVBand="0"/>
      </w:tblPr>
      <w:tblGrid>
        <w:gridCol w:w="2666"/>
        <w:gridCol w:w="1044"/>
        <w:gridCol w:w="1044"/>
        <w:gridCol w:w="1044"/>
        <w:gridCol w:w="1044"/>
        <w:gridCol w:w="1044"/>
        <w:gridCol w:w="1044"/>
      </w:tblGrid>
      <w:tr w:rsidR="004F29B4" w:rsidRPr="004F29B4" w14:paraId="3D6A701B" w14:textId="77777777" w:rsidTr="004F29B4">
        <w:trPr>
          <w:trHeight w:val="337"/>
          <w:jc w:val="center"/>
        </w:trPr>
        <w:tc>
          <w:tcPr>
            <w:tcW w:w="2666" w:type="dxa"/>
            <w:tcBorders>
              <w:top w:val="thinThickSmallGap" w:sz="12" w:space="0" w:color="800000"/>
              <w:left w:val="thinThickSmallGap" w:sz="12" w:space="0" w:color="800000"/>
              <w:bottom w:val="single" w:sz="8" w:space="0" w:color="FFFFFF"/>
              <w:right w:val="single" w:sz="8" w:space="0" w:color="FFFFFF"/>
            </w:tcBorders>
            <w:shd w:val="clear" w:color="auto" w:fill="800000"/>
            <w:vAlign w:val="center"/>
          </w:tcPr>
          <w:p w14:paraId="22E24C4B" w14:textId="77777777" w:rsidR="004F29B4" w:rsidRPr="004F29B4" w:rsidRDefault="004F29B4" w:rsidP="004F29B4">
            <w:pPr>
              <w:jc w:val="center"/>
              <w:rPr>
                <w:b/>
                <w:sz w:val="20"/>
                <w:szCs w:val="20"/>
              </w:rPr>
            </w:pP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14:paraId="5E95993C" w14:textId="77777777" w:rsidR="004F29B4" w:rsidRPr="004F29B4" w:rsidRDefault="004F29B4" w:rsidP="004F29B4">
            <w:pPr>
              <w:jc w:val="center"/>
              <w:rPr>
                <w:b/>
                <w:snapToGrid w:val="0"/>
                <w:sz w:val="20"/>
                <w:szCs w:val="20"/>
              </w:rPr>
            </w:pPr>
            <w:r w:rsidRPr="004F29B4">
              <w:rPr>
                <w:b/>
                <w:snapToGrid w:val="0"/>
                <w:sz w:val="20"/>
                <w:szCs w:val="20"/>
              </w:rPr>
              <w:t>2021</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14:paraId="2C247148" w14:textId="77777777" w:rsidR="004F29B4" w:rsidRPr="004F29B4" w:rsidRDefault="004F29B4" w:rsidP="004F29B4">
            <w:pPr>
              <w:jc w:val="center"/>
              <w:rPr>
                <w:b/>
                <w:snapToGrid w:val="0"/>
                <w:sz w:val="20"/>
                <w:szCs w:val="20"/>
              </w:rPr>
            </w:pPr>
            <w:r w:rsidRPr="004F29B4">
              <w:rPr>
                <w:b/>
                <w:snapToGrid w:val="0"/>
                <w:sz w:val="20"/>
                <w:szCs w:val="20"/>
              </w:rPr>
              <w:t>I.2022</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14:paraId="0D1AB2DF" w14:textId="77777777" w:rsidR="004F29B4" w:rsidRPr="004F29B4" w:rsidRDefault="004F29B4" w:rsidP="004F29B4">
            <w:pPr>
              <w:jc w:val="center"/>
              <w:rPr>
                <w:b/>
                <w:snapToGrid w:val="0"/>
                <w:sz w:val="20"/>
                <w:szCs w:val="20"/>
              </w:rPr>
            </w:pPr>
            <w:r w:rsidRPr="004F29B4">
              <w:rPr>
                <w:b/>
                <w:snapToGrid w:val="0"/>
                <w:sz w:val="20"/>
                <w:szCs w:val="20"/>
              </w:rPr>
              <w:t>II.2022</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14:paraId="544CD513" w14:textId="77777777" w:rsidR="004F29B4" w:rsidRPr="004F29B4" w:rsidRDefault="004F29B4" w:rsidP="004F29B4">
            <w:pPr>
              <w:jc w:val="center"/>
              <w:rPr>
                <w:b/>
                <w:snapToGrid w:val="0"/>
                <w:sz w:val="20"/>
                <w:szCs w:val="20"/>
              </w:rPr>
            </w:pPr>
            <w:r w:rsidRPr="004F29B4">
              <w:rPr>
                <w:b/>
                <w:snapToGrid w:val="0"/>
                <w:sz w:val="20"/>
                <w:szCs w:val="20"/>
              </w:rPr>
              <w:t>III.2022</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14:paraId="22971F5B" w14:textId="77777777" w:rsidR="004F29B4" w:rsidRPr="004F29B4" w:rsidRDefault="004F29B4" w:rsidP="004F29B4">
            <w:pPr>
              <w:jc w:val="center"/>
              <w:rPr>
                <w:b/>
                <w:snapToGrid w:val="0"/>
                <w:sz w:val="20"/>
                <w:szCs w:val="20"/>
              </w:rPr>
            </w:pPr>
            <w:r w:rsidRPr="004F29B4">
              <w:rPr>
                <w:b/>
                <w:snapToGrid w:val="0"/>
                <w:sz w:val="20"/>
                <w:szCs w:val="20"/>
              </w:rPr>
              <w:t>IV.2022</w:t>
            </w:r>
          </w:p>
        </w:tc>
        <w:tc>
          <w:tcPr>
            <w:tcW w:w="1044" w:type="dxa"/>
            <w:tcBorders>
              <w:top w:val="thinThickSmallGap" w:sz="12" w:space="0" w:color="800000"/>
              <w:left w:val="single" w:sz="8" w:space="0" w:color="FFFFFF"/>
              <w:bottom w:val="single" w:sz="8" w:space="0" w:color="FFFFFF"/>
              <w:right w:val="thinThickSmallGap" w:sz="12" w:space="0" w:color="800000"/>
            </w:tcBorders>
            <w:shd w:val="clear" w:color="auto" w:fill="800000"/>
            <w:vAlign w:val="center"/>
          </w:tcPr>
          <w:p w14:paraId="1A9ABDA7" w14:textId="77777777" w:rsidR="004F29B4" w:rsidRPr="004F29B4" w:rsidRDefault="004F29B4" w:rsidP="004F29B4">
            <w:pPr>
              <w:jc w:val="center"/>
              <w:rPr>
                <w:b/>
                <w:snapToGrid w:val="0"/>
                <w:sz w:val="20"/>
                <w:szCs w:val="20"/>
              </w:rPr>
            </w:pPr>
            <w:r w:rsidRPr="004F29B4">
              <w:rPr>
                <w:b/>
                <w:snapToGrid w:val="0"/>
                <w:sz w:val="20"/>
                <w:szCs w:val="20"/>
              </w:rPr>
              <w:t>2022</w:t>
            </w:r>
          </w:p>
        </w:tc>
      </w:tr>
      <w:tr w:rsidR="004F29B4" w:rsidRPr="004F29B4" w14:paraId="29850B9C" w14:textId="77777777" w:rsidTr="004F29B4">
        <w:trPr>
          <w:trHeight w:val="351"/>
          <w:jc w:val="center"/>
        </w:trPr>
        <w:tc>
          <w:tcPr>
            <w:tcW w:w="2666" w:type="dxa"/>
            <w:tcBorders>
              <w:left w:val="thinThickSmallGap" w:sz="12" w:space="0" w:color="800000"/>
              <w:right w:val="single" w:sz="8" w:space="0" w:color="800000"/>
            </w:tcBorders>
            <w:shd w:val="clear" w:color="auto" w:fill="FFFFCC"/>
            <w:vAlign w:val="center"/>
          </w:tcPr>
          <w:p w14:paraId="375B9DBE" w14:textId="77777777" w:rsidR="004F29B4" w:rsidRPr="004F29B4" w:rsidRDefault="004F29B4" w:rsidP="004F29B4">
            <w:pPr>
              <w:rPr>
                <w:snapToGrid w:val="0"/>
                <w:sz w:val="20"/>
                <w:szCs w:val="20"/>
              </w:rPr>
            </w:pPr>
            <w:r w:rsidRPr="004F29B4">
              <w:rPr>
                <w:snapToGrid w:val="0"/>
                <w:sz w:val="20"/>
                <w:szCs w:val="20"/>
              </w:rPr>
              <w:t>Европейски съюз - 27</w:t>
            </w:r>
          </w:p>
        </w:tc>
        <w:tc>
          <w:tcPr>
            <w:tcW w:w="1044" w:type="dxa"/>
            <w:tcBorders>
              <w:left w:val="single" w:sz="8" w:space="0" w:color="800000"/>
              <w:right w:val="single" w:sz="8" w:space="0" w:color="800000"/>
            </w:tcBorders>
            <w:shd w:val="clear" w:color="auto" w:fill="FFFFCC"/>
            <w:vAlign w:val="center"/>
          </w:tcPr>
          <w:p w14:paraId="50BF4502"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5,4</w:t>
            </w:r>
          </w:p>
        </w:tc>
        <w:tc>
          <w:tcPr>
            <w:tcW w:w="1044" w:type="dxa"/>
            <w:tcBorders>
              <w:left w:val="single" w:sz="8" w:space="0" w:color="800000"/>
              <w:right w:val="single" w:sz="8" w:space="0" w:color="800000"/>
            </w:tcBorders>
            <w:shd w:val="clear" w:color="auto" w:fill="FFFFCC"/>
            <w:vAlign w:val="center"/>
          </w:tcPr>
          <w:p w14:paraId="54C74667"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5,7</w:t>
            </w:r>
          </w:p>
        </w:tc>
        <w:tc>
          <w:tcPr>
            <w:tcW w:w="1044" w:type="dxa"/>
            <w:tcBorders>
              <w:left w:val="single" w:sz="8" w:space="0" w:color="800000"/>
              <w:right w:val="single" w:sz="8" w:space="0" w:color="800000"/>
            </w:tcBorders>
            <w:shd w:val="clear" w:color="auto" w:fill="FFFFCC"/>
            <w:vAlign w:val="center"/>
          </w:tcPr>
          <w:p w14:paraId="7BE4ADBD"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4,4</w:t>
            </w:r>
          </w:p>
        </w:tc>
        <w:tc>
          <w:tcPr>
            <w:tcW w:w="1044" w:type="dxa"/>
            <w:tcBorders>
              <w:left w:val="single" w:sz="8" w:space="0" w:color="800000"/>
              <w:right w:val="single" w:sz="8" w:space="0" w:color="800000"/>
            </w:tcBorders>
            <w:shd w:val="clear" w:color="auto" w:fill="FFFFCC"/>
            <w:vAlign w:val="center"/>
          </w:tcPr>
          <w:p w14:paraId="0EEA2113"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2,6</w:t>
            </w:r>
          </w:p>
        </w:tc>
        <w:tc>
          <w:tcPr>
            <w:tcW w:w="1044" w:type="dxa"/>
            <w:tcBorders>
              <w:left w:val="single" w:sz="8" w:space="0" w:color="800000"/>
              <w:right w:val="single" w:sz="8" w:space="0" w:color="800000"/>
            </w:tcBorders>
            <w:shd w:val="clear" w:color="auto" w:fill="FFFFCC"/>
            <w:vAlign w:val="center"/>
          </w:tcPr>
          <w:p w14:paraId="4703A1A8"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1,7</w:t>
            </w:r>
          </w:p>
        </w:tc>
        <w:tc>
          <w:tcPr>
            <w:tcW w:w="1044" w:type="dxa"/>
            <w:tcBorders>
              <w:left w:val="single" w:sz="8" w:space="0" w:color="800000"/>
              <w:right w:val="thinThickSmallGap" w:sz="12" w:space="0" w:color="800000"/>
            </w:tcBorders>
            <w:shd w:val="clear" w:color="auto" w:fill="FFFFCC"/>
            <w:vAlign w:val="center"/>
          </w:tcPr>
          <w:p w14:paraId="715D7601"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3,5</w:t>
            </w:r>
          </w:p>
        </w:tc>
      </w:tr>
      <w:tr w:rsidR="004F29B4" w:rsidRPr="004F29B4" w14:paraId="1768736E" w14:textId="77777777" w:rsidTr="004F29B4">
        <w:trPr>
          <w:trHeight w:val="351"/>
          <w:jc w:val="center"/>
        </w:trPr>
        <w:tc>
          <w:tcPr>
            <w:tcW w:w="2666" w:type="dxa"/>
            <w:tcBorders>
              <w:left w:val="thinThickSmallGap" w:sz="12" w:space="0" w:color="800000"/>
              <w:right w:val="single" w:sz="8" w:space="0" w:color="800000"/>
            </w:tcBorders>
            <w:shd w:val="clear" w:color="auto" w:fill="FFFFCC"/>
            <w:vAlign w:val="center"/>
          </w:tcPr>
          <w:p w14:paraId="701B3443" w14:textId="77777777" w:rsidR="004F29B4" w:rsidRPr="004F29B4" w:rsidRDefault="004F29B4" w:rsidP="004F29B4">
            <w:pPr>
              <w:rPr>
                <w:snapToGrid w:val="0"/>
                <w:sz w:val="20"/>
                <w:szCs w:val="20"/>
              </w:rPr>
            </w:pPr>
            <w:r w:rsidRPr="004F29B4">
              <w:rPr>
                <w:snapToGrid w:val="0"/>
                <w:sz w:val="20"/>
                <w:szCs w:val="20"/>
              </w:rPr>
              <w:t>Еврозона</w:t>
            </w:r>
          </w:p>
        </w:tc>
        <w:tc>
          <w:tcPr>
            <w:tcW w:w="1044" w:type="dxa"/>
            <w:tcBorders>
              <w:left w:val="single" w:sz="8" w:space="0" w:color="800000"/>
              <w:right w:val="single" w:sz="8" w:space="0" w:color="800000"/>
            </w:tcBorders>
            <w:shd w:val="clear" w:color="auto" w:fill="FFFFCC"/>
            <w:vAlign w:val="center"/>
          </w:tcPr>
          <w:p w14:paraId="5EB0F150"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5,4</w:t>
            </w:r>
          </w:p>
        </w:tc>
        <w:tc>
          <w:tcPr>
            <w:tcW w:w="1044" w:type="dxa"/>
            <w:tcBorders>
              <w:left w:val="single" w:sz="8" w:space="0" w:color="800000"/>
              <w:right w:val="single" w:sz="8" w:space="0" w:color="800000"/>
            </w:tcBorders>
            <w:shd w:val="clear" w:color="auto" w:fill="FFFFCC"/>
            <w:vAlign w:val="center"/>
          </w:tcPr>
          <w:p w14:paraId="45267762"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5,5</w:t>
            </w:r>
          </w:p>
        </w:tc>
        <w:tc>
          <w:tcPr>
            <w:tcW w:w="1044" w:type="dxa"/>
            <w:tcBorders>
              <w:left w:val="single" w:sz="8" w:space="0" w:color="800000"/>
              <w:right w:val="single" w:sz="8" w:space="0" w:color="800000"/>
            </w:tcBorders>
            <w:shd w:val="clear" w:color="auto" w:fill="FFFFCC"/>
            <w:vAlign w:val="center"/>
          </w:tcPr>
          <w:p w14:paraId="6FBEC4F6"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4,4</w:t>
            </w:r>
          </w:p>
        </w:tc>
        <w:tc>
          <w:tcPr>
            <w:tcW w:w="1044" w:type="dxa"/>
            <w:tcBorders>
              <w:left w:val="single" w:sz="8" w:space="0" w:color="800000"/>
              <w:right w:val="single" w:sz="8" w:space="0" w:color="800000"/>
            </w:tcBorders>
            <w:shd w:val="clear" w:color="auto" w:fill="FFFFCC"/>
            <w:vAlign w:val="center"/>
          </w:tcPr>
          <w:p w14:paraId="049713D2"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2,5</w:t>
            </w:r>
          </w:p>
        </w:tc>
        <w:tc>
          <w:tcPr>
            <w:tcW w:w="1044" w:type="dxa"/>
            <w:tcBorders>
              <w:left w:val="single" w:sz="8" w:space="0" w:color="800000"/>
              <w:right w:val="single" w:sz="8" w:space="0" w:color="800000"/>
            </w:tcBorders>
            <w:shd w:val="clear" w:color="auto" w:fill="FFFFCC"/>
            <w:vAlign w:val="center"/>
          </w:tcPr>
          <w:p w14:paraId="32E01BE8"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1,9</w:t>
            </w:r>
          </w:p>
        </w:tc>
        <w:tc>
          <w:tcPr>
            <w:tcW w:w="1044" w:type="dxa"/>
            <w:tcBorders>
              <w:left w:val="single" w:sz="8" w:space="0" w:color="800000"/>
              <w:right w:val="thinThickSmallGap" w:sz="12" w:space="0" w:color="800000"/>
            </w:tcBorders>
            <w:shd w:val="clear" w:color="auto" w:fill="FFFFCC"/>
            <w:vAlign w:val="center"/>
          </w:tcPr>
          <w:p w14:paraId="5A9B6B19"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3,5</w:t>
            </w:r>
          </w:p>
        </w:tc>
      </w:tr>
      <w:tr w:rsidR="004F29B4" w:rsidRPr="004F29B4" w14:paraId="5B3373FA" w14:textId="77777777" w:rsidTr="004F29B4">
        <w:trPr>
          <w:trHeight w:val="351"/>
          <w:jc w:val="center"/>
        </w:trPr>
        <w:tc>
          <w:tcPr>
            <w:tcW w:w="2666" w:type="dxa"/>
            <w:tcBorders>
              <w:left w:val="thinThickSmallGap" w:sz="12" w:space="0" w:color="800000"/>
              <w:bottom w:val="thinThickSmallGap" w:sz="12" w:space="0" w:color="800000"/>
              <w:right w:val="single" w:sz="8" w:space="0" w:color="800000"/>
            </w:tcBorders>
            <w:shd w:val="clear" w:color="auto" w:fill="FFFFCC"/>
            <w:vAlign w:val="center"/>
          </w:tcPr>
          <w:p w14:paraId="1D20F22B" w14:textId="77777777" w:rsidR="004F29B4" w:rsidRPr="004F29B4" w:rsidRDefault="004F29B4" w:rsidP="004F29B4">
            <w:pPr>
              <w:rPr>
                <w:snapToGrid w:val="0"/>
                <w:sz w:val="20"/>
                <w:szCs w:val="20"/>
              </w:rPr>
            </w:pPr>
            <w:r w:rsidRPr="004F29B4">
              <w:rPr>
                <w:snapToGrid w:val="0"/>
                <w:sz w:val="20"/>
                <w:szCs w:val="20"/>
              </w:rPr>
              <w:t>САЩ</w:t>
            </w:r>
          </w:p>
        </w:tc>
        <w:tc>
          <w:tcPr>
            <w:tcW w:w="1044" w:type="dxa"/>
            <w:tcBorders>
              <w:left w:val="single" w:sz="8" w:space="0" w:color="800000"/>
              <w:bottom w:val="thinThickSmallGap" w:sz="12" w:space="0" w:color="800000"/>
              <w:right w:val="single" w:sz="8" w:space="0" w:color="800000"/>
            </w:tcBorders>
            <w:shd w:val="clear" w:color="auto" w:fill="FFFFCC"/>
            <w:vAlign w:val="center"/>
          </w:tcPr>
          <w:p w14:paraId="13F71FBC"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5,9</w:t>
            </w:r>
          </w:p>
        </w:tc>
        <w:tc>
          <w:tcPr>
            <w:tcW w:w="1044" w:type="dxa"/>
            <w:tcBorders>
              <w:left w:val="single" w:sz="8" w:space="0" w:color="800000"/>
              <w:bottom w:val="thinThickSmallGap" w:sz="12" w:space="0" w:color="800000"/>
              <w:right w:val="single" w:sz="8" w:space="0" w:color="800000"/>
            </w:tcBorders>
            <w:shd w:val="clear" w:color="auto" w:fill="FFFFCC"/>
            <w:vAlign w:val="center"/>
          </w:tcPr>
          <w:p w14:paraId="0A89270C"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3,7</w:t>
            </w:r>
          </w:p>
        </w:tc>
        <w:tc>
          <w:tcPr>
            <w:tcW w:w="1044" w:type="dxa"/>
            <w:tcBorders>
              <w:left w:val="single" w:sz="8" w:space="0" w:color="800000"/>
              <w:bottom w:val="thinThickSmallGap" w:sz="12" w:space="0" w:color="800000"/>
              <w:right w:val="single" w:sz="8" w:space="0" w:color="800000"/>
            </w:tcBorders>
            <w:shd w:val="clear" w:color="auto" w:fill="FFFFCC"/>
            <w:vAlign w:val="center"/>
          </w:tcPr>
          <w:p w14:paraId="4AABB03B"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1,8</w:t>
            </w:r>
          </w:p>
        </w:tc>
        <w:tc>
          <w:tcPr>
            <w:tcW w:w="1044" w:type="dxa"/>
            <w:tcBorders>
              <w:left w:val="single" w:sz="8" w:space="0" w:color="800000"/>
              <w:bottom w:val="thinThickSmallGap" w:sz="12" w:space="0" w:color="800000"/>
              <w:right w:val="single" w:sz="8" w:space="0" w:color="800000"/>
            </w:tcBorders>
            <w:shd w:val="clear" w:color="auto" w:fill="FFFFCC"/>
            <w:vAlign w:val="center"/>
          </w:tcPr>
          <w:p w14:paraId="37949C1A"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1,9</w:t>
            </w:r>
          </w:p>
        </w:tc>
        <w:tc>
          <w:tcPr>
            <w:tcW w:w="1044" w:type="dxa"/>
            <w:tcBorders>
              <w:left w:val="single" w:sz="8" w:space="0" w:color="800000"/>
              <w:bottom w:val="thinThickSmallGap" w:sz="12" w:space="0" w:color="800000"/>
              <w:right w:val="single" w:sz="8" w:space="0" w:color="800000"/>
            </w:tcBorders>
            <w:shd w:val="clear" w:color="auto" w:fill="FFFFCC"/>
            <w:vAlign w:val="center"/>
          </w:tcPr>
          <w:p w14:paraId="5B357506"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0,9</w:t>
            </w:r>
          </w:p>
        </w:tc>
        <w:tc>
          <w:tcPr>
            <w:tcW w:w="1044" w:type="dxa"/>
            <w:tcBorders>
              <w:left w:val="single" w:sz="8" w:space="0" w:color="800000"/>
              <w:bottom w:val="thinThickSmallGap" w:sz="12" w:space="0" w:color="800000"/>
              <w:right w:val="thinThickSmallGap" w:sz="12" w:space="0" w:color="800000"/>
            </w:tcBorders>
            <w:shd w:val="clear" w:color="auto" w:fill="FFFFCC"/>
            <w:vAlign w:val="center"/>
          </w:tcPr>
          <w:p w14:paraId="2CD75061" w14:textId="77777777" w:rsidR="004F29B4" w:rsidRPr="004F29B4" w:rsidRDefault="004F29B4" w:rsidP="004F29B4">
            <w:pPr>
              <w:spacing w:before="100" w:beforeAutospacing="1" w:after="100" w:afterAutospacing="1"/>
              <w:jc w:val="center"/>
              <w:rPr>
                <w:snapToGrid w:val="0"/>
                <w:sz w:val="20"/>
                <w:szCs w:val="20"/>
              </w:rPr>
            </w:pPr>
            <w:r w:rsidRPr="004F29B4">
              <w:rPr>
                <w:snapToGrid w:val="0"/>
                <w:sz w:val="20"/>
                <w:szCs w:val="20"/>
              </w:rPr>
              <w:t>2,1</w:t>
            </w:r>
          </w:p>
        </w:tc>
      </w:tr>
    </w:tbl>
    <w:p w14:paraId="5FF51662" w14:textId="77777777" w:rsidR="004F29B4" w:rsidRPr="004F29B4" w:rsidRDefault="004F29B4" w:rsidP="004F29B4">
      <w:pPr>
        <w:spacing w:after="160" w:line="276" w:lineRule="auto"/>
        <w:ind w:left="2126" w:firstLine="709"/>
        <w:jc w:val="center"/>
        <w:rPr>
          <w:i/>
          <w:color w:val="262626"/>
          <w:sz w:val="20"/>
          <w:szCs w:val="20"/>
          <w:lang w:eastAsia="ja-JP"/>
        </w:rPr>
      </w:pPr>
      <w:r w:rsidRPr="004F29B4">
        <w:rPr>
          <w:i/>
          <w:color w:val="262626"/>
          <w:sz w:val="20"/>
          <w:szCs w:val="20"/>
          <w:lang w:eastAsia="ja-JP"/>
        </w:rPr>
        <w:t>Източник: Евростат, Американско бюро за икономически анализи</w:t>
      </w:r>
    </w:p>
    <w:p w14:paraId="4125DD6D" w14:textId="77777777" w:rsidR="004F29B4" w:rsidRPr="004F29B4" w:rsidRDefault="004F29B4" w:rsidP="00BD39E0">
      <w:pPr>
        <w:keepNext/>
        <w:numPr>
          <w:ilvl w:val="0"/>
          <w:numId w:val="64"/>
        </w:numPr>
        <w:spacing w:after="120" w:line="276" w:lineRule="auto"/>
        <w:contextualSpacing/>
        <w:jc w:val="both"/>
        <w:outlineLvl w:val="0"/>
        <w:rPr>
          <w:b/>
          <w:bCs/>
          <w:lang w:eastAsia="en-US"/>
        </w:rPr>
      </w:pPr>
      <w:bookmarkStart w:id="11" w:name="_Toc146037870"/>
      <w:r w:rsidRPr="004F29B4">
        <w:rPr>
          <w:b/>
          <w:bCs/>
          <w:lang w:eastAsia="en-US"/>
        </w:rPr>
        <w:t>Макроикономическо развитие в България през 2022 г.</w:t>
      </w:r>
      <w:bookmarkEnd w:id="11"/>
    </w:p>
    <w:p w14:paraId="44E35166" w14:textId="6C43B338" w:rsidR="004F29B4" w:rsidRPr="009D4353" w:rsidRDefault="009D4353" w:rsidP="00BD39E0">
      <w:pPr>
        <w:pStyle w:val="Heading3"/>
        <w:numPr>
          <w:ilvl w:val="1"/>
          <w:numId w:val="64"/>
        </w:numPr>
        <w:tabs>
          <w:tab w:val="num" w:pos="720"/>
        </w:tabs>
        <w:ind w:left="720" w:hanging="360"/>
        <w:rPr>
          <w:rFonts w:ascii="Times New Roman" w:hAnsi="Times New Roman"/>
          <w:sz w:val="24"/>
          <w:lang w:val="bg-BG"/>
        </w:rPr>
      </w:pPr>
      <w:r>
        <w:rPr>
          <w:rFonts w:ascii="Times New Roman" w:hAnsi="Times New Roman"/>
          <w:sz w:val="24"/>
          <w:lang w:val="bg-BG"/>
        </w:rPr>
        <w:t xml:space="preserve"> </w:t>
      </w:r>
      <w:bookmarkStart w:id="12" w:name="_Toc146037871"/>
      <w:r w:rsidR="004F29B4" w:rsidRPr="009D4353">
        <w:rPr>
          <w:rFonts w:ascii="Times New Roman" w:hAnsi="Times New Roman"/>
          <w:sz w:val="24"/>
          <w:lang w:val="bg-BG"/>
        </w:rPr>
        <w:t>Брутен вътрешен продукт</w:t>
      </w:r>
      <w:bookmarkEnd w:id="12"/>
    </w:p>
    <w:p w14:paraId="5FB6870D" w14:textId="77777777" w:rsidR="004F29B4" w:rsidRPr="004F29B4" w:rsidRDefault="004F29B4" w:rsidP="004F29B4">
      <w:pPr>
        <w:suppressAutoHyphens/>
        <w:ind w:firstLine="567"/>
        <w:jc w:val="both"/>
        <w:rPr>
          <w:rFonts w:eastAsia="Calibri"/>
          <w:color w:val="262626"/>
        </w:rPr>
      </w:pPr>
      <w:r w:rsidRPr="004F29B4">
        <w:rPr>
          <w:rFonts w:eastAsia="Calibri"/>
          <w:color w:val="262626"/>
        </w:rPr>
        <w:t xml:space="preserve">През 2022 г. брутният вътрешен продукт на България нарасна с 3,4 %, като с положителен принос за растежа бе вътрешното търсене. В номинално изражение БВП бе 165 384 млн. лв., което представлява растеж от 19 %. </w:t>
      </w:r>
    </w:p>
    <w:p w14:paraId="7867E51F" w14:textId="77777777" w:rsidR="004F29B4" w:rsidRPr="004F29B4" w:rsidRDefault="004F29B4" w:rsidP="004F29B4">
      <w:pPr>
        <w:suppressAutoHyphens/>
        <w:ind w:firstLine="567"/>
        <w:jc w:val="both"/>
        <w:rPr>
          <w:rFonts w:eastAsia="Calibri"/>
          <w:color w:val="262626"/>
        </w:rPr>
      </w:pPr>
      <w:r w:rsidRPr="004F29B4">
        <w:rPr>
          <w:rFonts w:eastAsia="Calibri"/>
          <w:color w:val="262626"/>
        </w:rPr>
        <w:t>Частното потребление се повиши с 4,8 %. Растежът му бе подкрепен от нарастването на реалния разполагаем доход на домакинствата, на заетостта и на потребителските кредити. Правителственото потребление отчете растеж от 6,5%. В същото време инвестициите в основен капитал намаляха с 4,3 %, като за този спад допринесе слабата частна инвестиционна активност. Растежът на износа на стоки и услуги се забави до 8,3 % и бе надминат от нарастването на вноса, което достигна 10,5 %.</w:t>
      </w:r>
    </w:p>
    <w:p w14:paraId="44CDC994" w14:textId="77777777" w:rsidR="004F29B4" w:rsidRPr="004F29B4" w:rsidRDefault="004F29B4" w:rsidP="004F29B4">
      <w:pPr>
        <w:suppressAutoHyphens/>
        <w:jc w:val="both"/>
        <w:rPr>
          <w:color w:val="0070C0"/>
          <w:lang w:eastAsia="zh-CN"/>
        </w:rPr>
      </w:pPr>
    </w:p>
    <w:p w14:paraId="25BAFB39" w14:textId="77777777" w:rsidR="004F29B4" w:rsidRPr="004F29B4" w:rsidRDefault="004F29B4" w:rsidP="004F29B4">
      <w:pPr>
        <w:contextualSpacing/>
        <w:jc w:val="center"/>
        <w:rPr>
          <w:b/>
          <w:bCs/>
          <w:i/>
          <w:color w:val="262626"/>
        </w:rPr>
      </w:pPr>
      <w:r w:rsidRPr="004F29B4">
        <w:rPr>
          <w:b/>
          <w:bCs/>
          <w:i/>
          <w:color w:val="262626"/>
        </w:rPr>
        <w:t>Реален растеж и принос на отделните компоненти по елементи на крайното използване</w:t>
      </w:r>
    </w:p>
    <w:p w14:paraId="114485FD" w14:textId="77777777" w:rsidR="004F29B4" w:rsidRPr="004F29B4" w:rsidRDefault="004F29B4" w:rsidP="004F29B4">
      <w:pPr>
        <w:ind w:left="1069"/>
        <w:jc w:val="center"/>
        <w:rPr>
          <w:b/>
          <w:bCs/>
          <w:i/>
          <w:color w:val="262626"/>
        </w:rPr>
      </w:pPr>
    </w:p>
    <w:tbl>
      <w:tblPr>
        <w:tblW w:w="8901" w:type="dxa"/>
        <w:jc w:val="center"/>
        <w:tblLayout w:type="fixed"/>
        <w:tblCellMar>
          <w:left w:w="70" w:type="dxa"/>
          <w:right w:w="70" w:type="dxa"/>
        </w:tblCellMar>
        <w:tblLook w:val="00A0" w:firstRow="1" w:lastRow="0" w:firstColumn="1" w:lastColumn="0" w:noHBand="0" w:noVBand="0"/>
      </w:tblPr>
      <w:tblGrid>
        <w:gridCol w:w="2947"/>
        <w:gridCol w:w="992"/>
        <w:gridCol w:w="993"/>
        <w:gridCol w:w="992"/>
        <w:gridCol w:w="992"/>
        <w:gridCol w:w="992"/>
        <w:gridCol w:w="993"/>
      </w:tblGrid>
      <w:tr w:rsidR="004F29B4" w:rsidRPr="004F29B4" w14:paraId="45775509" w14:textId="77777777" w:rsidTr="004F29B4">
        <w:trPr>
          <w:cantSplit/>
          <w:trHeight w:val="79"/>
          <w:jc w:val="center"/>
        </w:trPr>
        <w:tc>
          <w:tcPr>
            <w:tcW w:w="2947" w:type="dxa"/>
            <w:vMerge w:val="restart"/>
            <w:tcBorders>
              <w:top w:val="thickThinSmallGap" w:sz="12" w:space="0" w:color="990000"/>
              <w:left w:val="thickThinSmallGap" w:sz="12" w:space="0" w:color="990000"/>
              <w:bottom w:val="thinThickSmallGap" w:sz="12" w:space="0" w:color="800000"/>
              <w:right w:val="single" w:sz="8" w:space="0" w:color="FFFFFF"/>
            </w:tcBorders>
            <w:shd w:val="clear" w:color="auto" w:fill="990000"/>
            <w:vAlign w:val="center"/>
          </w:tcPr>
          <w:p w14:paraId="0CD4EAF1" w14:textId="77777777" w:rsidR="004F29B4" w:rsidRPr="004F29B4" w:rsidRDefault="004F29B4" w:rsidP="004F29B4">
            <w:pPr>
              <w:jc w:val="both"/>
              <w:rPr>
                <w:b/>
                <w:color w:val="FFFFFF"/>
                <w:sz w:val="20"/>
              </w:rPr>
            </w:pPr>
            <w:r w:rsidRPr="004F29B4">
              <w:rPr>
                <w:b/>
                <w:color w:val="FFFFFF"/>
                <w:sz w:val="20"/>
              </w:rPr>
              <w:t>ПОКАЗАТЕЛ</w:t>
            </w:r>
          </w:p>
        </w:tc>
        <w:tc>
          <w:tcPr>
            <w:tcW w:w="1985"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14:paraId="5F45E396" w14:textId="77777777" w:rsidR="004F29B4" w:rsidRPr="004F29B4" w:rsidRDefault="004F29B4" w:rsidP="004F29B4">
            <w:pPr>
              <w:jc w:val="center"/>
              <w:rPr>
                <w:b/>
                <w:snapToGrid w:val="0"/>
                <w:color w:val="FFFFFF"/>
                <w:sz w:val="20"/>
              </w:rPr>
            </w:pPr>
            <w:r w:rsidRPr="004F29B4">
              <w:rPr>
                <w:b/>
                <w:snapToGrid w:val="0"/>
                <w:color w:val="FFFFFF"/>
                <w:sz w:val="20"/>
              </w:rPr>
              <w:t>2021 г.</w:t>
            </w:r>
          </w:p>
        </w:tc>
        <w:tc>
          <w:tcPr>
            <w:tcW w:w="198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14:paraId="1738C8A3" w14:textId="77777777" w:rsidR="004F29B4" w:rsidRPr="004F29B4" w:rsidRDefault="004F29B4" w:rsidP="004F29B4">
            <w:pPr>
              <w:jc w:val="center"/>
              <w:rPr>
                <w:b/>
                <w:snapToGrid w:val="0"/>
                <w:color w:val="FFFFFF"/>
                <w:sz w:val="20"/>
              </w:rPr>
            </w:pPr>
            <w:r w:rsidRPr="004F29B4">
              <w:rPr>
                <w:b/>
                <w:snapToGrid w:val="0"/>
                <w:color w:val="FFFFFF"/>
                <w:sz w:val="20"/>
              </w:rPr>
              <w:t>2022 г.</w:t>
            </w:r>
          </w:p>
        </w:tc>
        <w:tc>
          <w:tcPr>
            <w:tcW w:w="992" w:type="dxa"/>
            <w:tcBorders>
              <w:top w:val="thickThinSmallGap" w:sz="12" w:space="0" w:color="990000"/>
              <w:left w:val="single" w:sz="8" w:space="0" w:color="FFFFFF"/>
              <w:bottom w:val="single" w:sz="8" w:space="0" w:color="FFFFFF"/>
              <w:right w:val="single" w:sz="8" w:space="0" w:color="FFFFFF"/>
            </w:tcBorders>
            <w:shd w:val="clear" w:color="auto" w:fill="990000"/>
            <w:vAlign w:val="center"/>
          </w:tcPr>
          <w:p w14:paraId="7875D234" w14:textId="77777777" w:rsidR="004F29B4" w:rsidRPr="004F29B4" w:rsidRDefault="004F29B4" w:rsidP="004F29B4">
            <w:pPr>
              <w:jc w:val="center"/>
              <w:rPr>
                <w:b/>
                <w:snapToGrid w:val="0"/>
                <w:color w:val="FFFFFF"/>
                <w:sz w:val="20"/>
              </w:rPr>
            </w:pPr>
            <w:r w:rsidRPr="004F29B4">
              <w:rPr>
                <w:b/>
                <w:snapToGrid w:val="0"/>
                <w:color w:val="FFFFFF"/>
                <w:sz w:val="20"/>
              </w:rPr>
              <w:t>2021 г.</w:t>
            </w:r>
          </w:p>
        </w:tc>
        <w:tc>
          <w:tcPr>
            <w:tcW w:w="993" w:type="dxa"/>
            <w:tcBorders>
              <w:top w:val="thickThinSmallGap" w:sz="12" w:space="0" w:color="990000"/>
              <w:left w:val="single" w:sz="8" w:space="0" w:color="FFFFFF"/>
              <w:bottom w:val="single" w:sz="8" w:space="0" w:color="FFFFFF"/>
              <w:right w:val="thickThinSmallGap" w:sz="12" w:space="0" w:color="990000"/>
            </w:tcBorders>
            <w:shd w:val="clear" w:color="auto" w:fill="990000"/>
            <w:vAlign w:val="center"/>
          </w:tcPr>
          <w:p w14:paraId="5B0E0F8C" w14:textId="77777777" w:rsidR="004F29B4" w:rsidRPr="004F29B4" w:rsidRDefault="004F29B4" w:rsidP="004F29B4">
            <w:pPr>
              <w:jc w:val="center"/>
              <w:rPr>
                <w:b/>
                <w:snapToGrid w:val="0"/>
                <w:color w:val="FFFFFF"/>
                <w:sz w:val="20"/>
              </w:rPr>
            </w:pPr>
            <w:r w:rsidRPr="004F29B4">
              <w:rPr>
                <w:b/>
                <w:snapToGrid w:val="0"/>
                <w:color w:val="FFFFFF"/>
                <w:sz w:val="20"/>
              </w:rPr>
              <w:t>2022г.</w:t>
            </w:r>
          </w:p>
        </w:tc>
      </w:tr>
      <w:tr w:rsidR="004F29B4" w:rsidRPr="004F29B4" w14:paraId="4D60AC03" w14:textId="77777777" w:rsidTr="004F29B4">
        <w:trPr>
          <w:trHeight w:val="772"/>
          <w:jc w:val="center"/>
        </w:trPr>
        <w:tc>
          <w:tcPr>
            <w:tcW w:w="2947" w:type="dxa"/>
            <w:vMerge/>
            <w:tcBorders>
              <w:top w:val="thinThickSmallGap" w:sz="12" w:space="0" w:color="800000"/>
              <w:left w:val="thickThinSmallGap" w:sz="12" w:space="0" w:color="990000"/>
              <w:bottom w:val="single" w:sz="4" w:space="0" w:color="990000"/>
              <w:right w:val="single" w:sz="8" w:space="0" w:color="FFFFFF"/>
            </w:tcBorders>
            <w:shd w:val="clear" w:color="auto" w:fill="990000"/>
            <w:vAlign w:val="center"/>
          </w:tcPr>
          <w:p w14:paraId="0E0618AF" w14:textId="77777777" w:rsidR="004F29B4" w:rsidRPr="004F29B4" w:rsidRDefault="004F29B4" w:rsidP="004F29B4">
            <w:pPr>
              <w:jc w:val="both"/>
              <w:rPr>
                <w:b/>
                <w:color w:val="FFFFFF"/>
                <w:sz w:val="20"/>
              </w:rPr>
            </w:pPr>
          </w:p>
        </w:tc>
        <w:tc>
          <w:tcPr>
            <w:tcW w:w="992" w:type="dxa"/>
            <w:tcBorders>
              <w:top w:val="single" w:sz="2" w:space="0" w:color="FFFFFF"/>
              <w:left w:val="single" w:sz="8" w:space="0" w:color="FFFFFF"/>
              <w:bottom w:val="single" w:sz="4" w:space="0" w:color="990000"/>
              <w:right w:val="single" w:sz="8" w:space="0" w:color="FFFFFF"/>
            </w:tcBorders>
            <w:shd w:val="clear" w:color="auto" w:fill="990000"/>
            <w:vAlign w:val="center"/>
          </w:tcPr>
          <w:p w14:paraId="1AED9FF5" w14:textId="77777777" w:rsidR="004F29B4" w:rsidRPr="004F29B4" w:rsidRDefault="004F29B4" w:rsidP="004F29B4">
            <w:pPr>
              <w:jc w:val="center"/>
              <w:rPr>
                <w:b/>
                <w:snapToGrid w:val="0"/>
                <w:color w:val="FFFFFF"/>
                <w:sz w:val="20"/>
              </w:rPr>
            </w:pPr>
            <w:r w:rsidRPr="004F29B4">
              <w:rPr>
                <w:b/>
                <w:snapToGrid w:val="0"/>
                <w:color w:val="FFFFFF"/>
                <w:sz w:val="20"/>
              </w:rPr>
              <w:t>Реален растеж ( %)</w:t>
            </w:r>
          </w:p>
        </w:tc>
        <w:tc>
          <w:tcPr>
            <w:tcW w:w="993" w:type="dxa"/>
            <w:tcBorders>
              <w:top w:val="single" w:sz="2" w:space="0" w:color="FFFFFF"/>
              <w:left w:val="single" w:sz="8" w:space="0" w:color="FFFFFF"/>
              <w:bottom w:val="single" w:sz="4" w:space="0" w:color="990000"/>
              <w:right w:val="single" w:sz="8" w:space="0" w:color="FFFFFF"/>
            </w:tcBorders>
            <w:shd w:val="clear" w:color="auto" w:fill="990000"/>
            <w:vAlign w:val="center"/>
          </w:tcPr>
          <w:p w14:paraId="291E3E31" w14:textId="77777777" w:rsidR="004F29B4" w:rsidRPr="004F29B4" w:rsidRDefault="004F29B4" w:rsidP="004F29B4">
            <w:pPr>
              <w:jc w:val="center"/>
              <w:rPr>
                <w:b/>
                <w:snapToGrid w:val="0"/>
                <w:color w:val="FFFFFF"/>
                <w:sz w:val="20"/>
              </w:rPr>
            </w:pPr>
            <w:r w:rsidRPr="004F29B4">
              <w:rPr>
                <w:b/>
                <w:snapToGrid w:val="0"/>
                <w:color w:val="FFFFFF"/>
                <w:sz w:val="20"/>
              </w:rPr>
              <w:t>Принос в растежа (п.п.)</w:t>
            </w:r>
          </w:p>
        </w:tc>
        <w:tc>
          <w:tcPr>
            <w:tcW w:w="992" w:type="dxa"/>
            <w:tcBorders>
              <w:top w:val="single" w:sz="2" w:space="0" w:color="FFFFFF"/>
              <w:left w:val="single" w:sz="8" w:space="0" w:color="FFFFFF"/>
              <w:bottom w:val="single" w:sz="4" w:space="0" w:color="990000"/>
              <w:right w:val="single" w:sz="8" w:space="0" w:color="FFFFFF"/>
            </w:tcBorders>
            <w:shd w:val="clear" w:color="auto" w:fill="990000"/>
            <w:vAlign w:val="center"/>
          </w:tcPr>
          <w:p w14:paraId="08449C85" w14:textId="77777777" w:rsidR="004F29B4" w:rsidRPr="004F29B4" w:rsidRDefault="004F29B4" w:rsidP="004F29B4">
            <w:pPr>
              <w:jc w:val="center"/>
              <w:rPr>
                <w:b/>
                <w:snapToGrid w:val="0"/>
                <w:color w:val="FFFFFF"/>
                <w:sz w:val="20"/>
              </w:rPr>
            </w:pPr>
            <w:r w:rsidRPr="004F29B4">
              <w:rPr>
                <w:b/>
                <w:snapToGrid w:val="0"/>
                <w:color w:val="FFFFFF"/>
                <w:sz w:val="20"/>
              </w:rPr>
              <w:t>Реален растеж ( %)</w:t>
            </w:r>
          </w:p>
        </w:tc>
        <w:tc>
          <w:tcPr>
            <w:tcW w:w="992" w:type="dxa"/>
            <w:tcBorders>
              <w:top w:val="single" w:sz="2" w:space="0" w:color="FFFFFF"/>
              <w:left w:val="single" w:sz="8" w:space="0" w:color="FFFFFF"/>
              <w:bottom w:val="single" w:sz="4" w:space="0" w:color="990000"/>
              <w:right w:val="single" w:sz="8" w:space="0" w:color="FFFFFF"/>
            </w:tcBorders>
            <w:shd w:val="clear" w:color="auto" w:fill="990000"/>
            <w:vAlign w:val="center"/>
          </w:tcPr>
          <w:p w14:paraId="4B354F11" w14:textId="77777777" w:rsidR="004F29B4" w:rsidRPr="004F29B4" w:rsidRDefault="004F29B4" w:rsidP="004F29B4">
            <w:pPr>
              <w:jc w:val="center"/>
              <w:rPr>
                <w:b/>
                <w:snapToGrid w:val="0"/>
                <w:color w:val="FFFFFF"/>
                <w:sz w:val="20"/>
              </w:rPr>
            </w:pPr>
            <w:r w:rsidRPr="004F29B4">
              <w:rPr>
                <w:b/>
                <w:snapToGrid w:val="0"/>
                <w:color w:val="FFFFFF"/>
                <w:sz w:val="20"/>
              </w:rPr>
              <w:t>Принос в растежа (п.п.)</w:t>
            </w:r>
          </w:p>
        </w:tc>
        <w:tc>
          <w:tcPr>
            <w:tcW w:w="1985" w:type="dxa"/>
            <w:gridSpan w:val="2"/>
            <w:tcBorders>
              <w:top w:val="single" w:sz="2" w:space="0" w:color="FFFFFF"/>
              <w:left w:val="single" w:sz="8" w:space="0" w:color="FFFFFF"/>
              <w:bottom w:val="single" w:sz="4" w:space="0" w:color="990000"/>
              <w:right w:val="thickThinSmallGap" w:sz="12" w:space="0" w:color="990000"/>
            </w:tcBorders>
            <w:shd w:val="clear" w:color="auto" w:fill="990000"/>
            <w:vAlign w:val="center"/>
          </w:tcPr>
          <w:p w14:paraId="57271438" w14:textId="77777777" w:rsidR="004F29B4" w:rsidRPr="004F29B4" w:rsidRDefault="004F29B4" w:rsidP="004F29B4">
            <w:pPr>
              <w:jc w:val="center"/>
              <w:rPr>
                <w:b/>
                <w:snapToGrid w:val="0"/>
                <w:color w:val="FFFFFF"/>
                <w:sz w:val="20"/>
              </w:rPr>
            </w:pPr>
            <w:r w:rsidRPr="004F29B4">
              <w:rPr>
                <w:b/>
                <w:snapToGrid w:val="0"/>
                <w:color w:val="FFFFFF"/>
                <w:sz w:val="20"/>
              </w:rPr>
              <w:t>% от БВП</w:t>
            </w:r>
          </w:p>
          <w:p w14:paraId="113F8868" w14:textId="77777777" w:rsidR="004F29B4" w:rsidRPr="004F29B4" w:rsidRDefault="004F29B4" w:rsidP="004F29B4">
            <w:pPr>
              <w:jc w:val="center"/>
              <w:rPr>
                <w:b/>
                <w:snapToGrid w:val="0"/>
                <w:color w:val="FFFFFF"/>
                <w:sz w:val="20"/>
              </w:rPr>
            </w:pPr>
            <w:r w:rsidRPr="004F29B4">
              <w:rPr>
                <w:b/>
                <w:snapToGrid w:val="0"/>
                <w:color w:val="FFFFFF"/>
                <w:sz w:val="20"/>
              </w:rPr>
              <w:t>(текущи цени)</w:t>
            </w:r>
          </w:p>
        </w:tc>
      </w:tr>
      <w:tr w:rsidR="004F29B4" w:rsidRPr="004F29B4" w14:paraId="21F7F8F5" w14:textId="77777777" w:rsidTr="004F29B4">
        <w:trPr>
          <w:trHeight w:val="283"/>
          <w:jc w:val="center"/>
        </w:trPr>
        <w:tc>
          <w:tcPr>
            <w:tcW w:w="2947" w:type="dxa"/>
            <w:tcBorders>
              <w:top w:val="single" w:sz="4" w:space="0" w:color="990000"/>
              <w:left w:val="thickThinSmallGap" w:sz="12" w:space="0" w:color="990000"/>
              <w:bottom w:val="nil"/>
              <w:right w:val="single" w:sz="4" w:space="0" w:color="990000"/>
            </w:tcBorders>
            <w:shd w:val="clear" w:color="auto" w:fill="FFFFCC"/>
            <w:vAlign w:val="center"/>
          </w:tcPr>
          <w:p w14:paraId="10B3CBB4" w14:textId="77777777" w:rsidR="004F29B4" w:rsidRPr="004F29B4" w:rsidRDefault="004F29B4" w:rsidP="004F29B4">
            <w:pPr>
              <w:jc w:val="both"/>
              <w:rPr>
                <w:snapToGrid w:val="0"/>
                <w:color w:val="262626"/>
                <w:sz w:val="20"/>
              </w:rPr>
            </w:pPr>
            <w:r w:rsidRPr="004F29B4">
              <w:rPr>
                <w:snapToGrid w:val="0"/>
                <w:color w:val="262626"/>
                <w:sz w:val="20"/>
              </w:rPr>
              <w:t>Крайно потребление</w:t>
            </w:r>
          </w:p>
        </w:tc>
        <w:tc>
          <w:tcPr>
            <w:tcW w:w="992" w:type="dxa"/>
            <w:tcBorders>
              <w:top w:val="single" w:sz="4" w:space="0" w:color="990000"/>
              <w:left w:val="single" w:sz="4" w:space="0" w:color="990000"/>
              <w:bottom w:val="nil"/>
              <w:right w:val="single" w:sz="4" w:space="0" w:color="990000"/>
            </w:tcBorders>
            <w:shd w:val="clear" w:color="auto" w:fill="FFFFCC"/>
            <w:vAlign w:val="center"/>
          </w:tcPr>
          <w:p w14:paraId="5C9A7F59" w14:textId="77777777" w:rsidR="004F29B4" w:rsidRPr="004F29B4" w:rsidRDefault="004F29B4" w:rsidP="004F29B4">
            <w:pPr>
              <w:spacing w:after="120"/>
              <w:jc w:val="center"/>
              <w:rPr>
                <w:snapToGrid w:val="0"/>
                <w:color w:val="262626"/>
                <w:sz w:val="20"/>
              </w:rPr>
            </w:pPr>
            <w:r w:rsidRPr="004F29B4">
              <w:rPr>
                <w:snapToGrid w:val="0"/>
                <w:color w:val="262626"/>
                <w:sz w:val="20"/>
              </w:rPr>
              <w:t>6,7</w:t>
            </w:r>
          </w:p>
        </w:tc>
        <w:tc>
          <w:tcPr>
            <w:tcW w:w="993" w:type="dxa"/>
            <w:tcBorders>
              <w:top w:val="single" w:sz="4" w:space="0" w:color="990000"/>
              <w:left w:val="single" w:sz="4" w:space="0" w:color="990000"/>
              <w:bottom w:val="nil"/>
              <w:right w:val="single" w:sz="4" w:space="0" w:color="990000"/>
            </w:tcBorders>
            <w:shd w:val="clear" w:color="auto" w:fill="FFFFCC"/>
            <w:vAlign w:val="center"/>
          </w:tcPr>
          <w:p w14:paraId="2E1453B2" w14:textId="77777777" w:rsidR="004F29B4" w:rsidRPr="004F29B4" w:rsidRDefault="004F29B4" w:rsidP="004F29B4">
            <w:pPr>
              <w:spacing w:after="120"/>
              <w:jc w:val="center"/>
              <w:rPr>
                <w:snapToGrid w:val="0"/>
                <w:color w:val="262626"/>
                <w:sz w:val="20"/>
              </w:rPr>
            </w:pPr>
            <w:r w:rsidRPr="004F29B4">
              <w:rPr>
                <w:snapToGrid w:val="0"/>
                <w:color w:val="262626"/>
                <w:sz w:val="20"/>
              </w:rPr>
              <w:t>5,2</w:t>
            </w:r>
          </w:p>
        </w:tc>
        <w:tc>
          <w:tcPr>
            <w:tcW w:w="992" w:type="dxa"/>
            <w:tcBorders>
              <w:top w:val="single" w:sz="4" w:space="0" w:color="990000"/>
              <w:left w:val="single" w:sz="4" w:space="0" w:color="990000"/>
              <w:bottom w:val="nil"/>
              <w:right w:val="single" w:sz="4" w:space="0" w:color="990000"/>
            </w:tcBorders>
            <w:shd w:val="clear" w:color="auto" w:fill="FFFFCC"/>
            <w:vAlign w:val="center"/>
          </w:tcPr>
          <w:p w14:paraId="5CDBAFC0" w14:textId="77777777" w:rsidR="004F29B4" w:rsidRPr="004F29B4" w:rsidRDefault="004F29B4" w:rsidP="004F29B4">
            <w:pPr>
              <w:spacing w:after="120"/>
              <w:jc w:val="center"/>
              <w:rPr>
                <w:snapToGrid w:val="0"/>
                <w:color w:val="262626"/>
                <w:sz w:val="20"/>
              </w:rPr>
            </w:pPr>
            <w:r w:rsidRPr="004F29B4">
              <w:rPr>
                <w:snapToGrid w:val="0"/>
                <w:color w:val="262626"/>
                <w:sz w:val="20"/>
              </w:rPr>
              <w:t>5,2</w:t>
            </w:r>
          </w:p>
        </w:tc>
        <w:tc>
          <w:tcPr>
            <w:tcW w:w="992" w:type="dxa"/>
            <w:tcBorders>
              <w:top w:val="single" w:sz="4" w:space="0" w:color="990000"/>
              <w:left w:val="single" w:sz="4" w:space="0" w:color="990000"/>
              <w:bottom w:val="nil"/>
              <w:right w:val="single" w:sz="4" w:space="0" w:color="990000"/>
            </w:tcBorders>
            <w:shd w:val="clear" w:color="auto" w:fill="FFFFCC"/>
            <w:vAlign w:val="center"/>
          </w:tcPr>
          <w:p w14:paraId="72F23BA7" w14:textId="77777777" w:rsidR="004F29B4" w:rsidRPr="004F29B4" w:rsidRDefault="004F29B4" w:rsidP="004F29B4">
            <w:pPr>
              <w:spacing w:after="120"/>
              <w:jc w:val="center"/>
              <w:rPr>
                <w:snapToGrid w:val="0"/>
                <w:color w:val="262626"/>
                <w:sz w:val="20"/>
              </w:rPr>
            </w:pPr>
            <w:r w:rsidRPr="004F29B4">
              <w:rPr>
                <w:snapToGrid w:val="0"/>
                <w:color w:val="262626"/>
                <w:sz w:val="20"/>
              </w:rPr>
              <w:t>4</w:t>
            </w:r>
          </w:p>
        </w:tc>
        <w:tc>
          <w:tcPr>
            <w:tcW w:w="992" w:type="dxa"/>
            <w:tcBorders>
              <w:top w:val="single" w:sz="4" w:space="0" w:color="990000"/>
              <w:left w:val="single" w:sz="4" w:space="0" w:color="990000"/>
              <w:bottom w:val="nil"/>
              <w:right w:val="single" w:sz="4" w:space="0" w:color="990000"/>
            </w:tcBorders>
            <w:shd w:val="clear" w:color="auto" w:fill="FFFFCC"/>
            <w:vAlign w:val="center"/>
          </w:tcPr>
          <w:p w14:paraId="51E76CE1"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77,2</w:t>
            </w:r>
          </w:p>
        </w:tc>
        <w:tc>
          <w:tcPr>
            <w:tcW w:w="993" w:type="dxa"/>
            <w:tcBorders>
              <w:top w:val="single" w:sz="4" w:space="0" w:color="990000"/>
              <w:left w:val="single" w:sz="4" w:space="0" w:color="990000"/>
              <w:bottom w:val="nil"/>
              <w:right w:val="thickThinSmallGap" w:sz="12" w:space="0" w:color="990000"/>
            </w:tcBorders>
            <w:shd w:val="clear" w:color="auto" w:fill="FFFFCC"/>
            <w:vAlign w:val="center"/>
          </w:tcPr>
          <w:p w14:paraId="3648CD47"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78,5</w:t>
            </w:r>
          </w:p>
        </w:tc>
      </w:tr>
      <w:tr w:rsidR="004F29B4" w:rsidRPr="004F29B4" w14:paraId="5945C42F" w14:textId="77777777" w:rsidTr="004F29B4">
        <w:trPr>
          <w:trHeight w:val="268"/>
          <w:jc w:val="center"/>
        </w:trPr>
        <w:tc>
          <w:tcPr>
            <w:tcW w:w="2947" w:type="dxa"/>
            <w:tcBorders>
              <w:top w:val="nil"/>
              <w:left w:val="thickThinSmallGap" w:sz="12" w:space="0" w:color="990000"/>
              <w:bottom w:val="nil"/>
              <w:right w:val="single" w:sz="4" w:space="0" w:color="990000"/>
            </w:tcBorders>
            <w:shd w:val="clear" w:color="auto" w:fill="FFFFCC"/>
            <w:vAlign w:val="center"/>
          </w:tcPr>
          <w:p w14:paraId="41169284" w14:textId="77777777" w:rsidR="004F29B4" w:rsidRPr="004F29B4" w:rsidRDefault="004F29B4" w:rsidP="004F29B4">
            <w:pPr>
              <w:jc w:val="both"/>
              <w:rPr>
                <w:snapToGrid w:val="0"/>
                <w:color w:val="262626"/>
                <w:sz w:val="20"/>
              </w:rPr>
            </w:pPr>
            <w:r w:rsidRPr="004F29B4">
              <w:rPr>
                <w:snapToGrid w:val="0"/>
                <w:color w:val="262626"/>
                <w:sz w:val="20"/>
              </w:rPr>
              <w:t>Инвестиции в основен капитал</w:t>
            </w:r>
          </w:p>
        </w:tc>
        <w:tc>
          <w:tcPr>
            <w:tcW w:w="992" w:type="dxa"/>
            <w:tcBorders>
              <w:top w:val="nil"/>
              <w:left w:val="single" w:sz="4" w:space="0" w:color="990000"/>
              <w:bottom w:val="nil"/>
              <w:right w:val="single" w:sz="4" w:space="0" w:color="990000"/>
            </w:tcBorders>
            <w:shd w:val="clear" w:color="auto" w:fill="FFFFCC"/>
            <w:vAlign w:val="center"/>
          </w:tcPr>
          <w:p w14:paraId="19FF9EAF" w14:textId="77777777" w:rsidR="004F29B4" w:rsidRPr="004F29B4" w:rsidRDefault="004F29B4" w:rsidP="004F29B4">
            <w:pPr>
              <w:spacing w:after="120"/>
              <w:jc w:val="center"/>
              <w:rPr>
                <w:snapToGrid w:val="0"/>
                <w:color w:val="262626"/>
                <w:sz w:val="20"/>
              </w:rPr>
            </w:pPr>
            <w:r w:rsidRPr="004F29B4">
              <w:rPr>
                <w:snapToGrid w:val="0"/>
                <w:color w:val="262626"/>
                <w:sz w:val="20"/>
              </w:rPr>
              <w:t>-8,3</w:t>
            </w:r>
          </w:p>
        </w:tc>
        <w:tc>
          <w:tcPr>
            <w:tcW w:w="993" w:type="dxa"/>
            <w:tcBorders>
              <w:top w:val="nil"/>
              <w:left w:val="single" w:sz="4" w:space="0" w:color="990000"/>
              <w:bottom w:val="nil"/>
              <w:right w:val="single" w:sz="4" w:space="0" w:color="990000"/>
            </w:tcBorders>
            <w:shd w:val="clear" w:color="auto" w:fill="FFFFCC"/>
            <w:vAlign w:val="center"/>
          </w:tcPr>
          <w:p w14:paraId="7E77530C" w14:textId="77777777" w:rsidR="004F29B4" w:rsidRPr="004F29B4" w:rsidRDefault="004F29B4" w:rsidP="004F29B4">
            <w:pPr>
              <w:spacing w:after="120"/>
              <w:jc w:val="center"/>
              <w:rPr>
                <w:snapToGrid w:val="0"/>
                <w:color w:val="262626"/>
                <w:sz w:val="20"/>
              </w:rPr>
            </w:pPr>
            <w:r w:rsidRPr="004F29B4">
              <w:rPr>
                <w:snapToGrid w:val="0"/>
                <w:color w:val="262626"/>
                <w:sz w:val="20"/>
              </w:rPr>
              <w:t>-1,6</w:t>
            </w:r>
          </w:p>
        </w:tc>
        <w:tc>
          <w:tcPr>
            <w:tcW w:w="992" w:type="dxa"/>
            <w:tcBorders>
              <w:top w:val="nil"/>
              <w:left w:val="single" w:sz="4" w:space="0" w:color="990000"/>
              <w:bottom w:val="nil"/>
              <w:right w:val="single" w:sz="4" w:space="0" w:color="990000"/>
            </w:tcBorders>
            <w:shd w:val="clear" w:color="auto" w:fill="FFFFCC"/>
            <w:vAlign w:val="center"/>
          </w:tcPr>
          <w:p w14:paraId="42B9EB65" w14:textId="77777777" w:rsidR="004F29B4" w:rsidRPr="004F29B4" w:rsidRDefault="004F29B4" w:rsidP="004F29B4">
            <w:pPr>
              <w:spacing w:after="120"/>
              <w:jc w:val="center"/>
              <w:rPr>
                <w:snapToGrid w:val="0"/>
                <w:color w:val="262626"/>
                <w:sz w:val="20"/>
              </w:rPr>
            </w:pPr>
            <w:r w:rsidRPr="004F29B4">
              <w:rPr>
                <w:snapToGrid w:val="0"/>
                <w:color w:val="262626"/>
                <w:sz w:val="20"/>
              </w:rPr>
              <w:t>-4,3</w:t>
            </w:r>
          </w:p>
        </w:tc>
        <w:tc>
          <w:tcPr>
            <w:tcW w:w="992" w:type="dxa"/>
            <w:tcBorders>
              <w:top w:val="nil"/>
              <w:left w:val="single" w:sz="4" w:space="0" w:color="990000"/>
              <w:bottom w:val="nil"/>
              <w:right w:val="single" w:sz="4" w:space="0" w:color="990000"/>
            </w:tcBorders>
            <w:shd w:val="clear" w:color="auto" w:fill="FFFFCC"/>
            <w:vAlign w:val="center"/>
          </w:tcPr>
          <w:p w14:paraId="71885B3A" w14:textId="77777777" w:rsidR="004F29B4" w:rsidRPr="004F29B4" w:rsidRDefault="004F29B4" w:rsidP="004F29B4">
            <w:pPr>
              <w:spacing w:after="120"/>
              <w:jc w:val="center"/>
              <w:rPr>
                <w:snapToGrid w:val="0"/>
                <w:color w:val="262626"/>
                <w:sz w:val="20"/>
              </w:rPr>
            </w:pPr>
            <w:r w:rsidRPr="004F29B4">
              <w:rPr>
                <w:snapToGrid w:val="0"/>
                <w:color w:val="262626"/>
                <w:sz w:val="20"/>
              </w:rPr>
              <w:t>-0,7</w:t>
            </w:r>
          </w:p>
        </w:tc>
        <w:tc>
          <w:tcPr>
            <w:tcW w:w="992" w:type="dxa"/>
            <w:tcBorders>
              <w:top w:val="nil"/>
              <w:left w:val="single" w:sz="4" w:space="0" w:color="990000"/>
              <w:bottom w:val="nil"/>
              <w:right w:val="single" w:sz="4" w:space="0" w:color="990000"/>
            </w:tcBorders>
            <w:shd w:val="clear" w:color="auto" w:fill="FFFFCC"/>
            <w:vAlign w:val="center"/>
          </w:tcPr>
          <w:p w14:paraId="1720C299"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16,3</w:t>
            </w:r>
          </w:p>
        </w:tc>
        <w:tc>
          <w:tcPr>
            <w:tcW w:w="993" w:type="dxa"/>
            <w:tcBorders>
              <w:top w:val="nil"/>
              <w:left w:val="single" w:sz="4" w:space="0" w:color="990000"/>
              <w:bottom w:val="nil"/>
              <w:right w:val="thickThinSmallGap" w:sz="12" w:space="0" w:color="990000"/>
            </w:tcBorders>
            <w:shd w:val="clear" w:color="auto" w:fill="FFFFCC"/>
            <w:vAlign w:val="center"/>
          </w:tcPr>
          <w:p w14:paraId="5ED62B3E"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15,4</w:t>
            </w:r>
          </w:p>
        </w:tc>
      </w:tr>
      <w:tr w:rsidR="004F29B4" w:rsidRPr="004F29B4" w14:paraId="2A13F9C4" w14:textId="77777777" w:rsidTr="004F29B4">
        <w:trPr>
          <w:trHeight w:val="211"/>
          <w:jc w:val="center"/>
        </w:trPr>
        <w:tc>
          <w:tcPr>
            <w:tcW w:w="2947" w:type="dxa"/>
            <w:tcBorders>
              <w:top w:val="nil"/>
              <w:left w:val="thickThinSmallGap" w:sz="12" w:space="0" w:color="990000"/>
              <w:bottom w:val="nil"/>
              <w:right w:val="single" w:sz="4" w:space="0" w:color="990000"/>
            </w:tcBorders>
            <w:shd w:val="clear" w:color="auto" w:fill="FFFFCC"/>
            <w:vAlign w:val="center"/>
          </w:tcPr>
          <w:p w14:paraId="64843708" w14:textId="77777777" w:rsidR="004F29B4" w:rsidRPr="004F29B4" w:rsidRDefault="004F29B4" w:rsidP="004F29B4">
            <w:pPr>
              <w:jc w:val="both"/>
              <w:rPr>
                <w:snapToGrid w:val="0"/>
                <w:color w:val="262626"/>
                <w:sz w:val="20"/>
              </w:rPr>
            </w:pPr>
            <w:r w:rsidRPr="004F29B4">
              <w:rPr>
                <w:snapToGrid w:val="0"/>
                <w:color w:val="262626"/>
                <w:sz w:val="20"/>
              </w:rPr>
              <w:t>Изменение на запасите</w:t>
            </w:r>
          </w:p>
        </w:tc>
        <w:tc>
          <w:tcPr>
            <w:tcW w:w="992" w:type="dxa"/>
            <w:tcBorders>
              <w:top w:val="nil"/>
              <w:left w:val="single" w:sz="4" w:space="0" w:color="990000"/>
              <w:bottom w:val="nil"/>
              <w:right w:val="single" w:sz="4" w:space="0" w:color="990000"/>
            </w:tcBorders>
            <w:shd w:val="clear" w:color="auto" w:fill="FFFFCC"/>
            <w:vAlign w:val="center"/>
          </w:tcPr>
          <w:p w14:paraId="3F4026B1" w14:textId="77777777" w:rsidR="004F29B4" w:rsidRPr="004F29B4" w:rsidRDefault="004F29B4" w:rsidP="004F29B4">
            <w:pPr>
              <w:spacing w:after="120"/>
              <w:jc w:val="center"/>
              <w:rPr>
                <w:snapToGrid w:val="0"/>
                <w:color w:val="262626"/>
                <w:sz w:val="20"/>
              </w:rPr>
            </w:pPr>
          </w:p>
        </w:tc>
        <w:tc>
          <w:tcPr>
            <w:tcW w:w="993" w:type="dxa"/>
            <w:tcBorders>
              <w:top w:val="nil"/>
              <w:left w:val="single" w:sz="4" w:space="0" w:color="990000"/>
              <w:bottom w:val="nil"/>
              <w:right w:val="single" w:sz="4" w:space="0" w:color="990000"/>
            </w:tcBorders>
            <w:shd w:val="clear" w:color="auto" w:fill="FFFFCC"/>
            <w:vAlign w:val="center"/>
          </w:tcPr>
          <w:p w14:paraId="1B1926A6" w14:textId="77777777" w:rsidR="004F29B4" w:rsidRPr="004F29B4" w:rsidRDefault="004F29B4" w:rsidP="004F29B4">
            <w:pPr>
              <w:spacing w:after="120"/>
              <w:jc w:val="center"/>
              <w:rPr>
                <w:snapToGrid w:val="0"/>
                <w:color w:val="262626"/>
                <w:sz w:val="20"/>
              </w:rPr>
            </w:pPr>
            <w:r w:rsidRPr="004F29B4">
              <w:rPr>
                <w:snapToGrid w:val="0"/>
                <w:color w:val="262626"/>
                <w:sz w:val="20"/>
              </w:rPr>
              <w:t>3,8</w:t>
            </w:r>
          </w:p>
        </w:tc>
        <w:tc>
          <w:tcPr>
            <w:tcW w:w="992" w:type="dxa"/>
            <w:tcBorders>
              <w:top w:val="nil"/>
              <w:left w:val="single" w:sz="4" w:space="0" w:color="990000"/>
              <w:bottom w:val="nil"/>
              <w:right w:val="single" w:sz="4" w:space="0" w:color="990000"/>
            </w:tcBorders>
            <w:shd w:val="clear" w:color="auto" w:fill="FFFFCC"/>
            <w:vAlign w:val="center"/>
          </w:tcPr>
          <w:p w14:paraId="2EEC79AF" w14:textId="77777777" w:rsidR="004F29B4" w:rsidRPr="004F29B4" w:rsidRDefault="004F29B4" w:rsidP="004F29B4">
            <w:pPr>
              <w:spacing w:after="120"/>
              <w:jc w:val="center"/>
              <w:rPr>
                <w:snapToGrid w:val="0"/>
                <w:color w:val="262626"/>
                <w:sz w:val="20"/>
              </w:rPr>
            </w:pPr>
          </w:p>
        </w:tc>
        <w:tc>
          <w:tcPr>
            <w:tcW w:w="992" w:type="dxa"/>
            <w:tcBorders>
              <w:top w:val="nil"/>
              <w:left w:val="single" w:sz="4" w:space="0" w:color="990000"/>
              <w:bottom w:val="nil"/>
              <w:right w:val="single" w:sz="4" w:space="0" w:color="990000"/>
            </w:tcBorders>
            <w:shd w:val="clear" w:color="auto" w:fill="FFFFCC"/>
            <w:vAlign w:val="center"/>
          </w:tcPr>
          <w:p w14:paraId="4104FE13" w14:textId="77777777" w:rsidR="004F29B4" w:rsidRPr="004F29B4" w:rsidRDefault="004F29B4" w:rsidP="004F29B4">
            <w:pPr>
              <w:spacing w:after="120"/>
              <w:jc w:val="center"/>
              <w:rPr>
                <w:snapToGrid w:val="0"/>
                <w:color w:val="262626"/>
                <w:sz w:val="20"/>
              </w:rPr>
            </w:pPr>
            <w:r w:rsidRPr="004F29B4">
              <w:rPr>
                <w:snapToGrid w:val="0"/>
                <w:color w:val="262626"/>
                <w:sz w:val="20"/>
              </w:rPr>
              <w:t>1,3</w:t>
            </w:r>
          </w:p>
        </w:tc>
        <w:tc>
          <w:tcPr>
            <w:tcW w:w="992" w:type="dxa"/>
            <w:tcBorders>
              <w:top w:val="nil"/>
              <w:left w:val="single" w:sz="4" w:space="0" w:color="990000"/>
              <w:bottom w:val="nil"/>
              <w:right w:val="single" w:sz="4" w:space="0" w:color="990000"/>
            </w:tcBorders>
            <w:shd w:val="clear" w:color="auto" w:fill="FFFFCC"/>
            <w:vAlign w:val="center"/>
          </w:tcPr>
          <w:p w14:paraId="7793EE06"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4,7</w:t>
            </w:r>
          </w:p>
        </w:tc>
        <w:tc>
          <w:tcPr>
            <w:tcW w:w="993" w:type="dxa"/>
            <w:tcBorders>
              <w:top w:val="nil"/>
              <w:left w:val="single" w:sz="4" w:space="0" w:color="990000"/>
              <w:bottom w:val="nil"/>
              <w:right w:val="thickThinSmallGap" w:sz="12" w:space="0" w:color="990000"/>
            </w:tcBorders>
            <w:shd w:val="clear" w:color="auto" w:fill="FFFFCC"/>
            <w:vAlign w:val="center"/>
          </w:tcPr>
          <w:p w14:paraId="011F5531"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5,4</w:t>
            </w:r>
          </w:p>
        </w:tc>
      </w:tr>
      <w:tr w:rsidR="004F29B4" w:rsidRPr="004F29B4" w14:paraId="041611B9" w14:textId="77777777" w:rsidTr="004F29B4">
        <w:trPr>
          <w:trHeight w:val="211"/>
          <w:jc w:val="center"/>
        </w:trPr>
        <w:tc>
          <w:tcPr>
            <w:tcW w:w="2947" w:type="dxa"/>
            <w:tcBorders>
              <w:top w:val="nil"/>
              <w:left w:val="thickThinSmallGap" w:sz="12" w:space="0" w:color="990000"/>
              <w:bottom w:val="nil"/>
              <w:right w:val="single" w:sz="4" w:space="0" w:color="990000"/>
            </w:tcBorders>
            <w:shd w:val="clear" w:color="auto" w:fill="FFFFCC"/>
            <w:vAlign w:val="center"/>
          </w:tcPr>
          <w:p w14:paraId="5B619A30" w14:textId="77777777" w:rsidR="004F29B4" w:rsidRPr="004F29B4" w:rsidRDefault="004F29B4" w:rsidP="004F29B4">
            <w:pPr>
              <w:jc w:val="both"/>
              <w:rPr>
                <w:snapToGrid w:val="0"/>
                <w:color w:val="262626"/>
                <w:sz w:val="20"/>
              </w:rPr>
            </w:pPr>
            <w:r w:rsidRPr="004F29B4">
              <w:rPr>
                <w:snapToGrid w:val="0"/>
                <w:color w:val="262626"/>
                <w:sz w:val="20"/>
              </w:rPr>
              <w:t>Износ на стоки и услуги</w:t>
            </w:r>
          </w:p>
        </w:tc>
        <w:tc>
          <w:tcPr>
            <w:tcW w:w="992" w:type="dxa"/>
            <w:tcBorders>
              <w:top w:val="nil"/>
              <w:left w:val="single" w:sz="4" w:space="0" w:color="990000"/>
              <w:bottom w:val="nil"/>
              <w:right w:val="single" w:sz="4" w:space="0" w:color="990000"/>
            </w:tcBorders>
            <w:shd w:val="clear" w:color="auto" w:fill="FFFFCC"/>
            <w:vAlign w:val="center"/>
          </w:tcPr>
          <w:p w14:paraId="4A64FB71" w14:textId="77777777" w:rsidR="004F29B4" w:rsidRPr="004F29B4" w:rsidRDefault="004F29B4" w:rsidP="004F29B4">
            <w:pPr>
              <w:spacing w:after="120"/>
              <w:jc w:val="center"/>
              <w:rPr>
                <w:snapToGrid w:val="0"/>
                <w:color w:val="262626"/>
                <w:sz w:val="20"/>
              </w:rPr>
            </w:pPr>
            <w:r w:rsidRPr="004F29B4">
              <w:rPr>
                <w:snapToGrid w:val="0"/>
                <w:color w:val="262626"/>
                <w:sz w:val="20"/>
              </w:rPr>
              <w:t>11</w:t>
            </w:r>
          </w:p>
        </w:tc>
        <w:tc>
          <w:tcPr>
            <w:tcW w:w="993" w:type="dxa"/>
            <w:tcBorders>
              <w:top w:val="nil"/>
              <w:left w:val="single" w:sz="4" w:space="0" w:color="990000"/>
              <w:bottom w:val="nil"/>
              <w:right w:val="single" w:sz="4" w:space="0" w:color="990000"/>
            </w:tcBorders>
            <w:shd w:val="clear" w:color="auto" w:fill="FFFFCC"/>
            <w:vAlign w:val="center"/>
          </w:tcPr>
          <w:p w14:paraId="1F0EF1AC" w14:textId="77777777" w:rsidR="004F29B4" w:rsidRPr="004F29B4" w:rsidRDefault="004F29B4" w:rsidP="004F29B4">
            <w:pPr>
              <w:spacing w:after="120"/>
              <w:jc w:val="center"/>
              <w:rPr>
                <w:snapToGrid w:val="0"/>
                <w:color w:val="262626"/>
                <w:sz w:val="20"/>
              </w:rPr>
            </w:pPr>
            <w:r w:rsidRPr="004F29B4">
              <w:rPr>
                <w:snapToGrid w:val="0"/>
                <w:color w:val="262626"/>
                <w:sz w:val="20"/>
              </w:rPr>
              <w:t>6,2</w:t>
            </w:r>
          </w:p>
        </w:tc>
        <w:tc>
          <w:tcPr>
            <w:tcW w:w="992" w:type="dxa"/>
            <w:tcBorders>
              <w:top w:val="nil"/>
              <w:left w:val="single" w:sz="4" w:space="0" w:color="990000"/>
              <w:bottom w:val="nil"/>
              <w:right w:val="single" w:sz="4" w:space="0" w:color="990000"/>
            </w:tcBorders>
            <w:shd w:val="clear" w:color="auto" w:fill="FFFFCC"/>
            <w:vAlign w:val="center"/>
          </w:tcPr>
          <w:p w14:paraId="1B5A223D" w14:textId="77777777" w:rsidR="004F29B4" w:rsidRPr="004F29B4" w:rsidRDefault="004F29B4" w:rsidP="004F29B4">
            <w:pPr>
              <w:spacing w:after="120"/>
              <w:jc w:val="center"/>
              <w:rPr>
                <w:snapToGrid w:val="0"/>
                <w:color w:val="262626"/>
                <w:sz w:val="20"/>
              </w:rPr>
            </w:pPr>
            <w:r w:rsidRPr="004F29B4">
              <w:rPr>
                <w:snapToGrid w:val="0"/>
                <w:color w:val="262626"/>
                <w:sz w:val="20"/>
              </w:rPr>
              <w:t>8,3</w:t>
            </w:r>
          </w:p>
        </w:tc>
        <w:tc>
          <w:tcPr>
            <w:tcW w:w="992" w:type="dxa"/>
            <w:tcBorders>
              <w:top w:val="nil"/>
              <w:left w:val="single" w:sz="4" w:space="0" w:color="990000"/>
              <w:bottom w:val="nil"/>
              <w:right w:val="single" w:sz="4" w:space="0" w:color="990000"/>
            </w:tcBorders>
            <w:shd w:val="clear" w:color="auto" w:fill="FFFFCC"/>
            <w:vAlign w:val="center"/>
          </w:tcPr>
          <w:p w14:paraId="6BE02DF6" w14:textId="77777777" w:rsidR="004F29B4" w:rsidRPr="004F29B4" w:rsidRDefault="004F29B4" w:rsidP="004F29B4">
            <w:pPr>
              <w:spacing w:after="120"/>
              <w:jc w:val="center"/>
              <w:rPr>
                <w:snapToGrid w:val="0"/>
                <w:color w:val="262626"/>
                <w:sz w:val="20"/>
              </w:rPr>
            </w:pPr>
            <w:r w:rsidRPr="004F29B4">
              <w:rPr>
                <w:snapToGrid w:val="0"/>
                <w:color w:val="262626"/>
                <w:sz w:val="20"/>
              </w:rPr>
              <w:t>5,1</w:t>
            </w:r>
          </w:p>
        </w:tc>
        <w:tc>
          <w:tcPr>
            <w:tcW w:w="992" w:type="dxa"/>
            <w:tcBorders>
              <w:top w:val="nil"/>
              <w:left w:val="single" w:sz="4" w:space="0" w:color="990000"/>
              <w:bottom w:val="nil"/>
              <w:right w:val="single" w:sz="4" w:space="0" w:color="990000"/>
            </w:tcBorders>
            <w:shd w:val="clear" w:color="auto" w:fill="FFFFCC"/>
            <w:vAlign w:val="center"/>
          </w:tcPr>
          <w:p w14:paraId="1250323A"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61,3</w:t>
            </w:r>
          </w:p>
        </w:tc>
        <w:tc>
          <w:tcPr>
            <w:tcW w:w="993" w:type="dxa"/>
            <w:tcBorders>
              <w:top w:val="nil"/>
              <w:left w:val="single" w:sz="4" w:space="0" w:color="990000"/>
              <w:bottom w:val="nil"/>
              <w:right w:val="thickThinSmallGap" w:sz="12" w:space="0" w:color="990000"/>
            </w:tcBorders>
            <w:shd w:val="clear" w:color="auto" w:fill="FFFFCC"/>
            <w:vAlign w:val="center"/>
          </w:tcPr>
          <w:p w14:paraId="29A3984A"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68,5</w:t>
            </w:r>
          </w:p>
        </w:tc>
      </w:tr>
      <w:tr w:rsidR="004F29B4" w:rsidRPr="004F29B4" w14:paraId="48B0E146" w14:textId="77777777" w:rsidTr="004F29B4">
        <w:trPr>
          <w:trHeight w:val="124"/>
          <w:jc w:val="center"/>
        </w:trPr>
        <w:tc>
          <w:tcPr>
            <w:tcW w:w="2947" w:type="dxa"/>
            <w:tcBorders>
              <w:top w:val="nil"/>
              <w:left w:val="thickThinSmallGap" w:sz="12" w:space="0" w:color="990000"/>
              <w:bottom w:val="nil"/>
              <w:right w:val="single" w:sz="4" w:space="0" w:color="990000"/>
            </w:tcBorders>
            <w:shd w:val="clear" w:color="auto" w:fill="FFFFCC"/>
            <w:vAlign w:val="center"/>
          </w:tcPr>
          <w:p w14:paraId="5DB29A95" w14:textId="77777777" w:rsidR="004F29B4" w:rsidRPr="004F29B4" w:rsidRDefault="004F29B4" w:rsidP="004F29B4">
            <w:pPr>
              <w:jc w:val="both"/>
              <w:rPr>
                <w:snapToGrid w:val="0"/>
                <w:color w:val="262626"/>
                <w:sz w:val="20"/>
              </w:rPr>
            </w:pPr>
            <w:r w:rsidRPr="004F29B4">
              <w:rPr>
                <w:snapToGrid w:val="0"/>
                <w:color w:val="262626"/>
                <w:sz w:val="20"/>
              </w:rPr>
              <w:t xml:space="preserve">Внос на стоки и услуги </w:t>
            </w:r>
          </w:p>
        </w:tc>
        <w:tc>
          <w:tcPr>
            <w:tcW w:w="992" w:type="dxa"/>
            <w:tcBorders>
              <w:top w:val="nil"/>
              <w:left w:val="single" w:sz="4" w:space="0" w:color="990000"/>
              <w:bottom w:val="nil"/>
              <w:right w:val="single" w:sz="4" w:space="0" w:color="990000"/>
            </w:tcBorders>
            <w:shd w:val="clear" w:color="auto" w:fill="FFFFCC"/>
            <w:vAlign w:val="center"/>
          </w:tcPr>
          <w:p w14:paraId="27E11EB2" w14:textId="77777777" w:rsidR="004F29B4" w:rsidRPr="004F29B4" w:rsidRDefault="004F29B4" w:rsidP="004F29B4">
            <w:pPr>
              <w:spacing w:after="120"/>
              <w:jc w:val="center"/>
              <w:rPr>
                <w:snapToGrid w:val="0"/>
                <w:color w:val="262626"/>
                <w:sz w:val="20"/>
              </w:rPr>
            </w:pPr>
            <w:r w:rsidRPr="004F29B4">
              <w:rPr>
                <w:snapToGrid w:val="0"/>
                <w:color w:val="262626"/>
                <w:sz w:val="20"/>
              </w:rPr>
              <w:t>10,9</w:t>
            </w:r>
          </w:p>
        </w:tc>
        <w:tc>
          <w:tcPr>
            <w:tcW w:w="993" w:type="dxa"/>
            <w:tcBorders>
              <w:top w:val="nil"/>
              <w:left w:val="single" w:sz="4" w:space="0" w:color="990000"/>
              <w:bottom w:val="nil"/>
              <w:right w:val="single" w:sz="4" w:space="0" w:color="990000"/>
            </w:tcBorders>
            <w:shd w:val="clear" w:color="auto" w:fill="FFFFCC"/>
            <w:vAlign w:val="center"/>
          </w:tcPr>
          <w:p w14:paraId="026360F8" w14:textId="77777777" w:rsidR="004F29B4" w:rsidRPr="004F29B4" w:rsidRDefault="004F29B4" w:rsidP="004F29B4">
            <w:pPr>
              <w:spacing w:after="120"/>
              <w:jc w:val="center"/>
              <w:rPr>
                <w:snapToGrid w:val="0"/>
                <w:color w:val="262626"/>
                <w:sz w:val="20"/>
              </w:rPr>
            </w:pPr>
            <w:r w:rsidRPr="004F29B4">
              <w:rPr>
                <w:snapToGrid w:val="0"/>
                <w:color w:val="262626"/>
                <w:sz w:val="20"/>
              </w:rPr>
              <w:t>-5,9</w:t>
            </w:r>
          </w:p>
        </w:tc>
        <w:tc>
          <w:tcPr>
            <w:tcW w:w="992" w:type="dxa"/>
            <w:tcBorders>
              <w:top w:val="nil"/>
              <w:left w:val="single" w:sz="4" w:space="0" w:color="990000"/>
              <w:bottom w:val="nil"/>
              <w:right w:val="single" w:sz="4" w:space="0" w:color="990000"/>
            </w:tcBorders>
            <w:shd w:val="clear" w:color="auto" w:fill="FFFFCC"/>
            <w:vAlign w:val="center"/>
          </w:tcPr>
          <w:p w14:paraId="398BB674" w14:textId="77777777" w:rsidR="004F29B4" w:rsidRPr="004F29B4" w:rsidRDefault="004F29B4" w:rsidP="004F29B4">
            <w:pPr>
              <w:spacing w:after="120"/>
              <w:jc w:val="center"/>
              <w:rPr>
                <w:snapToGrid w:val="0"/>
                <w:color w:val="262626"/>
                <w:sz w:val="20"/>
              </w:rPr>
            </w:pPr>
            <w:r w:rsidRPr="004F29B4">
              <w:rPr>
                <w:snapToGrid w:val="0"/>
                <w:color w:val="262626"/>
                <w:sz w:val="20"/>
              </w:rPr>
              <w:t>10,5</w:t>
            </w:r>
          </w:p>
        </w:tc>
        <w:tc>
          <w:tcPr>
            <w:tcW w:w="992" w:type="dxa"/>
            <w:tcBorders>
              <w:top w:val="nil"/>
              <w:left w:val="single" w:sz="4" w:space="0" w:color="990000"/>
              <w:bottom w:val="nil"/>
              <w:right w:val="single" w:sz="4" w:space="0" w:color="990000"/>
            </w:tcBorders>
            <w:shd w:val="clear" w:color="auto" w:fill="FFFFCC"/>
            <w:vAlign w:val="center"/>
          </w:tcPr>
          <w:p w14:paraId="3FE34800" w14:textId="77777777" w:rsidR="004F29B4" w:rsidRPr="004F29B4" w:rsidRDefault="004F29B4" w:rsidP="004F29B4">
            <w:pPr>
              <w:spacing w:after="120"/>
              <w:jc w:val="center"/>
              <w:rPr>
                <w:snapToGrid w:val="0"/>
                <w:color w:val="262626"/>
                <w:sz w:val="20"/>
              </w:rPr>
            </w:pPr>
            <w:r w:rsidRPr="004F29B4">
              <w:rPr>
                <w:snapToGrid w:val="0"/>
                <w:color w:val="262626"/>
                <w:sz w:val="20"/>
              </w:rPr>
              <w:t>-6,3</w:t>
            </w:r>
          </w:p>
        </w:tc>
        <w:tc>
          <w:tcPr>
            <w:tcW w:w="992" w:type="dxa"/>
            <w:tcBorders>
              <w:top w:val="nil"/>
              <w:left w:val="single" w:sz="4" w:space="0" w:color="990000"/>
              <w:bottom w:val="nil"/>
              <w:right w:val="single" w:sz="4" w:space="0" w:color="990000"/>
            </w:tcBorders>
            <w:shd w:val="clear" w:color="auto" w:fill="FFFFCC"/>
            <w:vAlign w:val="center"/>
          </w:tcPr>
          <w:p w14:paraId="0D4DF9E6"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59,6</w:t>
            </w:r>
          </w:p>
        </w:tc>
        <w:tc>
          <w:tcPr>
            <w:tcW w:w="993" w:type="dxa"/>
            <w:tcBorders>
              <w:top w:val="nil"/>
              <w:left w:val="single" w:sz="4" w:space="0" w:color="990000"/>
              <w:bottom w:val="nil"/>
              <w:right w:val="thickThinSmallGap" w:sz="12" w:space="0" w:color="990000"/>
            </w:tcBorders>
            <w:shd w:val="clear" w:color="auto" w:fill="FFFFCC"/>
            <w:vAlign w:val="center"/>
          </w:tcPr>
          <w:p w14:paraId="0378B47D" w14:textId="77777777" w:rsidR="004F29B4" w:rsidRPr="004F29B4" w:rsidRDefault="004F29B4" w:rsidP="004F29B4">
            <w:pPr>
              <w:spacing w:after="160" w:line="276" w:lineRule="auto"/>
              <w:jc w:val="center"/>
              <w:rPr>
                <w:snapToGrid w:val="0"/>
                <w:color w:val="262626"/>
                <w:sz w:val="20"/>
              </w:rPr>
            </w:pPr>
            <w:r w:rsidRPr="004F29B4">
              <w:rPr>
                <w:snapToGrid w:val="0"/>
                <w:color w:val="262626"/>
                <w:sz w:val="20"/>
              </w:rPr>
              <w:t>67,7</w:t>
            </w:r>
          </w:p>
        </w:tc>
      </w:tr>
      <w:tr w:rsidR="004F29B4" w:rsidRPr="004F29B4" w14:paraId="6AC6465E" w14:textId="77777777" w:rsidTr="004F29B4">
        <w:trPr>
          <w:trHeight w:val="144"/>
          <w:jc w:val="center"/>
        </w:trPr>
        <w:tc>
          <w:tcPr>
            <w:tcW w:w="2947" w:type="dxa"/>
            <w:tcBorders>
              <w:top w:val="nil"/>
              <w:left w:val="thickThinSmallGap" w:sz="12" w:space="0" w:color="990000"/>
              <w:bottom w:val="thickThinSmallGap" w:sz="12" w:space="0" w:color="990000"/>
              <w:right w:val="single" w:sz="4" w:space="0" w:color="990000"/>
            </w:tcBorders>
            <w:shd w:val="clear" w:color="auto" w:fill="FFFFCC"/>
            <w:vAlign w:val="center"/>
          </w:tcPr>
          <w:p w14:paraId="44BF074E" w14:textId="77777777" w:rsidR="004F29B4" w:rsidRPr="004F29B4" w:rsidRDefault="004F29B4" w:rsidP="004F29B4">
            <w:pPr>
              <w:jc w:val="both"/>
              <w:rPr>
                <w:snapToGrid w:val="0"/>
                <w:color w:val="262626"/>
                <w:sz w:val="20"/>
              </w:rPr>
            </w:pPr>
            <w:r w:rsidRPr="004F29B4">
              <w:rPr>
                <w:snapToGrid w:val="0"/>
                <w:color w:val="262626"/>
                <w:sz w:val="20"/>
              </w:rPr>
              <w:t>БВП</w:t>
            </w:r>
          </w:p>
        </w:tc>
        <w:tc>
          <w:tcPr>
            <w:tcW w:w="992" w:type="dxa"/>
            <w:tcBorders>
              <w:top w:val="nil"/>
              <w:left w:val="single" w:sz="4" w:space="0" w:color="990000"/>
              <w:bottom w:val="thickThinSmallGap" w:sz="12" w:space="0" w:color="990000"/>
              <w:right w:val="single" w:sz="4" w:space="0" w:color="990000"/>
            </w:tcBorders>
            <w:shd w:val="clear" w:color="auto" w:fill="FFFFCC"/>
            <w:vAlign w:val="center"/>
          </w:tcPr>
          <w:p w14:paraId="6F88231C" w14:textId="77777777" w:rsidR="004F29B4" w:rsidRPr="004F29B4" w:rsidRDefault="004F29B4" w:rsidP="004F29B4">
            <w:pPr>
              <w:spacing w:after="120"/>
              <w:jc w:val="center"/>
              <w:rPr>
                <w:snapToGrid w:val="0"/>
                <w:color w:val="262626"/>
                <w:sz w:val="20"/>
              </w:rPr>
            </w:pPr>
            <w:r w:rsidRPr="004F29B4">
              <w:rPr>
                <w:snapToGrid w:val="0"/>
                <w:color w:val="262626"/>
                <w:sz w:val="20"/>
              </w:rPr>
              <w:t>7,6</w:t>
            </w:r>
          </w:p>
        </w:tc>
        <w:tc>
          <w:tcPr>
            <w:tcW w:w="993" w:type="dxa"/>
            <w:tcBorders>
              <w:top w:val="nil"/>
              <w:left w:val="single" w:sz="4" w:space="0" w:color="990000"/>
              <w:bottom w:val="thickThinSmallGap" w:sz="12" w:space="0" w:color="990000"/>
              <w:right w:val="single" w:sz="4" w:space="0" w:color="990000"/>
            </w:tcBorders>
            <w:shd w:val="clear" w:color="auto" w:fill="FFFFCC"/>
            <w:vAlign w:val="center"/>
          </w:tcPr>
          <w:p w14:paraId="54B7D8F7" w14:textId="77777777" w:rsidR="004F29B4" w:rsidRPr="004F29B4" w:rsidRDefault="004F29B4" w:rsidP="004F29B4">
            <w:pPr>
              <w:spacing w:after="120"/>
              <w:jc w:val="center"/>
              <w:rPr>
                <w:snapToGrid w:val="0"/>
                <w:color w:val="262626"/>
                <w:sz w:val="20"/>
              </w:rPr>
            </w:pPr>
            <w:r w:rsidRPr="004F29B4">
              <w:rPr>
                <w:snapToGrid w:val="0"/>
                <w:color w:val="262626"/>
                <w:sz w:val="20"/>
              </w:rPr>
              <w:t>7,6</w:t>
            </w:r>
          </w:p>
        </w:tc>
        <w:tc>
          <w:tcPr>
            <w:tcW w:w="992" w:type="dxa"/>
            <w:tcBorders>
              <w:top w:val="nil"/>
              <w:left w:val="single" w:sz="4" w:space="0" w:color="990000"/>
              <w:bottom w:val="thickThinSmallGap" w:sz="12" w:space="0" w:color="990000"/>
              <w:right w:val="single" w:sz="4" w:space="0" w:color="990000"/>
            </w:tcBorders>
            <w:shd w:val="clear" w:color="auto" w:fill="FFFFCC"/>
            <w:vAlign w:val="center"/>
          </w:tcPr>
          <w:p w14:paraId="2C0B55DF" w14:textId="77777777" w:rsidR="004F29B4" w:rsidRPr="004F29B4" w:rsidRDefault="004F29B4" w:rsidP="004F29B4">
            <w:pPr>
              <w:spacing w:after="120"/>
              <w:jc w:val="center"/>
              <w:rPr>
                <w:snapToGrid w:val="0"/>
                <w:color w:val="262626"/>
                <w:sz w:val="20"/>
              </w:rPr>
            </w:pPr>
            <w:r w:rsidRPr="004F29B4">
              <w:rPr>
                <w:snapToGrid w:val="0"/>
                <w:color w:val="262626"/>
                <w:sz w:val="20"/>
              </w:rPr>
              <w:t>3,4</w:t>
            </w:r>
          </w:p>
        </w:tc>
        <w:tc>
          <w:tcPr>
            <w:tcW w:w="992" w:type="dxa"/>
            <w:tcBorders>
              <w:top w:val="nil"/>
              <w:left w:val="single" w:sz="4" w:space="0" w:color="990000"/>
              <w:bottom w:val="thickThinSmallGap" w:sz="12" w:space="0" w:color="990000"/>
              <w:right w:val="single" w:sz="4" w:space="0" w:color="990000"/>
            </w:tcBorders>
            <w:shd w:val="clear" w:color="auto" w:fill="FFFFCC"/>
            <w:vAlign w:val="center"/>
          </w:tcPr>
          <w:p w14:paraId="49EA1331" w14:textId="77777777" w:rsidR="004F29B4" w:rsidRPr="004F29B4" w:rsidRDefault="004F29B4" w:rsidP="004F29B4">
            <w:pPr>
              <w:spacing w:after="120"/>
              <w:jc w:val="center"/>
              <w:rPr>
                <w:snapToGrid w:val="0"/>
                <w:color w:val="262626"/>
                <w:sz w:val="20"/>
              </w:rPr>
            </w:pPr>
            <w:r w:rsidRPr="004F29B4">
              <w:rPr>
                <w:snapToGrid w:val="0"/>
                <w:color w:val="262626"/>
                <w:sz w:val="20"/>
              </w:rPr>
              <w:t>3,4</w:t>
            </w:r>
          </w:p>
        </w:tc>
        <w:tc>
          <w:tcPr>
            <w:tcW w:w="992" w:type="dxa"/>
            <w:tcBorders>
              <w:top w:val="nil"/>
              <w:left w:val="single" w:sz="4" w:space="0" w:color="990000"/>
              <w:bottom w:val="thickThinSmallGap" w:sz="12" w:space="0" w:color="990000"/>
              <w:right w:val="single" w:sz="4" w:space="0" w:color="990000"/>
            </w:tcBorders>
            <w:shd w:val="clear" w:color="auto" w:fill="FFFFCC"/>
            <w:vAlign w:val="center"/>
          </w:tcPr>
          <w:p w14:paraId="33EF2E12" w14:textId="77777777" w:rsidR="004F29B4" w:rsidRPr="004F29B4" w:rsidRDefault="004F29B4" w:rsidP="004F29B4">
            <w:pPr>
              <w:spacing w:after="120"/>
              <w:jc w:val="center"/>
              <w:rPr>
                <w:snapToGrid w:val="0"/>
                <w:color w:val="262626"/>
                <w:sz w:val="20"/>
              </w:rPr>
            </w:pPr>
            <w:r w:rsidRPr="004F29B4">
              <w:rPr>
                <w:snapToGrid w:val="0"/>
                <w:color w:val="262626"/>
                <w:sz w:val="20"/>
              </w:rPr>
              <w:t>100</w:t>
            </w:r>
          </w:p>
        </w:tc>
        <w:tc>
          <w:tcPr>
            <w:tcW w:w="993" w:type="dxa"/>
            <w:tcBorders>
              <w:top w:val="nil"/>
              <w:left w:val="single" w:sz="4" w:space="0" w:color="990000"/>
              <w:bottom w:val="thickThinSmallGap" w:sz="12" w:space="0" w:color="990000"/>
              <w:right w:val="thickThinSmallGap" w:sz="12" w:space="0" w:color="990000"/>
            </w:tcBorders>
            <w:shd w:val="clear" w:color="auto" w:fill="FFFFCC"/>
            <w:vAlign w:val="center"/>
          </w:tcPr>
          <w:p w14:paraId="79C73842" w14:textId="77777777" w:rsidR="004F29B4" w:rsidRPr="004F29B4" w:rsidRDefault="004F29B4" w:rsidP="004F29B4">
            <w:pPr>
              <w:spacing w:after="120"/>
              <w:jc w:val="center"/>
              <w:rPr>
                <w:snapToGrid w:val="0"/>
                <w:color w:val="262626"/>
                <w:sz w:val="20"/>
              </w:rPr>
            </w:pPr>
            <w:r w:rsidRPr="004F29B4">
              <w:rPr>
                <w:snapToGrid w:val="0"/>
                <w:color w:val="262626"/>
                <w:sz w:val="20"/>
              </w:rPr>
              <w:t>100</w:t>
            </w:r>
          </w:p>
        </w:tc>
      </w:tr>
    </w:tbl>
    <w:p w14:paraId="538670DE" w14:textId="77777777" w:rsidR="004F29B4" w:rsidRPr="004F29B4" w:rsidRDefault="004F29B4" w:rsidP="004F29B4">
      <w:pPr>
        <w:ind w:left="1429"/>
        <w:contextualSpacing/>
        <w:jc w:val="right"/>
        <w:rPr>
          <w:bCs/>
          <w:i/>
          <w:color w:val="262626"/>
          <w:sz w:val="20"/>
        </w:rPr>
      </w:pPr>
      <w:r w:rsidRPr="004F29B4">
        <w:rPr>
          <w:bCs/>
          <w:i/>
          <w:color w:val="262626"/>
          <w:sz w:val="20"/>
        </w:rPr>
        <w:t>Източник: НСИ,МФ</w:t>
      </w:r>
    </w:p>
    <w:p w14:paraId="67A4E411" w14:textId="77777777" w:rsidR="004F29B4" w:rsidRPr="004F29B4" w:rsidRDefault="004F29B4" w:rsidP="004F29B4">
      <w:pPr>
        <w:jc w:val="both"/>
        <w:rPr>
          <w:color w:val="0070C0"/>
        </w:rPr>
      </w:pPr>
    </w:p>
    <w:p w14:paraId="3BCE3DD6" w14:textId="77777777" w:rsidR="004F29B4" w:rsidRPr="004F29B4" w:rsidRDefault="004F29B4" w:rsidP="004F29B4">
      <w:pPr>
        <w:spacing w:after="160"/>
        <w:ind w:firstLine="567"/>
        <w:jc w:val="both"/>
        <w:rPr>
          <w:rFonts w:eastAsia="Calibri"/>
          <w:color w:val="262626"/>
        </w:rPr>
      </w:pPr>
      <w:r w:rsidRPr="004F29B4">
        <w:rPr>
          <w:rFonts w:eastAsia="Calibri"/>
          <w:color w:val="262626"/>
        </w:rPr>
        <w:t>От страна на предлагането брутната добавена стойност се повиши с 3,4 %. Растежът бе движен от сектор индустрия без строителство (14,4 %) следван от услугите (1,1 %). При строителството бе отчетен спад на добавената стойност от 4,5 %.</w:t>
      </w:r>
    </w:p>
    <w:p w14:paraId="72271687" w14:textId="5C1BCE52" w:rsidR="004F29B4" w:rsidRPr="009D4353" w:rsidRDefault="009D4353" w:rsidP="00BD39E0">
      <w:pPr>
        <w:pStyle w:val="Heading3"/>
        <w:numPr>
          <w:ilvl w:val="1"/>
          <w:numId w:val="64"/>
        </w:numPr>
        <w:tabs>
          <w:tab w:val="num" w:pos="720"/>
        </w:tabs>
        <w:ind w:left="720" w:hanging="360"/>
        <w:rPr>
          <w:rFonts w:ascii="Times New Roman" w:hAnsi="Times New Roman"/>
          <w:sz w:val="24"/>
          <w:lang w:val="bg-BG"/>
        </w:rPr>
      </w:pPr>
      <w:r>
        <w:rPr>
          <w:rFonts w:ascii="Times New Roman" w:hAnsi="Times New Roman"/>
          <w:sz w:val="24"/>
          <w:lang w:val="bg-BG"/>
        </w:rPr>
        <w:t xml:space="preserve"> </w:t>
      </w:r>
      <w:bookmarkStart w:id="13" w:name="_Toc146037872"/>
      <w:r w:rsidR="004F29B4" w:rsidRPr="009D4353">
        <w:rPr>
          <w:rFonts w:ascii="Times New Roman" w:hAnsi="Times New Roman"/>
          <w:sz w:val="24"/>
          <w:lang w:val="bg-BG"/>
        </w:rPr>
        <w:t>Пазар на труда</w:t>
      </w:r>
      <w:bookmarkEnd w:id="13"/>
    </w:p>
    <w:p w14:paraId="60982670" w14:textId="77777777" w:rsidR="004F29B4" w:rsidRPr="004F29B4" w:rsidRDefault="004F29B4" w:rsidP="004F29B4">
      <w:pPr>
        <w:ind w:firstLine="567"/>
        <w:jc w:val="both"/>
        <w:rPr>
          <w:rFonts w:eastAsia="Calibri"/>
          <w:color w:val="262626"/>
          <w:lang w:eastAsia="ja-JP"/>
        </w:rPr>
      </w:pPr>
      <w:r w:rsidRPr="004F29B4">
        <w:rPr>
          <w:rFonts w:eastAsia="Calibri"/>
          <w:color w:val="262626"/>
          <w:lang w:eastAsia="ja-JP"/>
        </w:rPr>
        <w:t>През 2022 г. се наблюдаваше бързо възстановяване на заетостта в българската икономика. В повечето икономически сектори търсенето на труд се повиши и българските предприемачи отново започнаха да идентифицират недостатъчното предлагане на труд с необходимата квалификация като един от основните проблеми за развитието на бизнеса у нас. Средногодишният брой на заетите в българската икономика достигна 3 502 хиляди души и се повиши с 1,3 % спрямо предходната година. Този ръст се дължеше на ръста на заетите в сферата на услугите и в строителството. Всички икономически дейности от услугите регистрираха ръст на заетостта, като при някои от тях той надхвърли 5 % („Операции с недвижими имоти“, „Създаване и разпространение на информация и творчески продукти; далекосъобщения“). В строителството заетостта отбеляза ръст от 1,2 %. Влиянието на притока на украински бежанци върху броя на заетите в България бе незначително. Според месечните данни на Агенция по заетостта броят на украинците, работещи на трудов договор в страната е бил между 5 и 9 хиляди души през отделните месеци, като най-голяма част от тях са били заети в туристически дейности (най-вече свързани с летния морски туризъм).</w:t>
      </w:r>
    </w:p>
    <w:p w14:paraId="48077805" w14:textId="77777777" w:rsidR="004F29B4" w:rsidRPr="004F29B4" w:rsidRDefault="004F29B4" w:rsidP="004F29B4">
      <w:pPr>
        <w:ind w:firstLine="567"/>
        <w:jc w:val="both"/>
        <w:rPr>
          <w:rFonts w:eastAsia="Calibri"/>
          <w:color w:val="262626"/>
          <w:lang w:eastAsia="ja-JP"/>
        </w:rPr>
      </w:pPr>
      <w:r w:rsidRPr="004F29B4">
        <w:rPr>
          <w:rFonts w:eastAsia="Calibri"/>
          <w:color w:val="262626"/>
          <w:lang w:eastAsia="ja-JP"/>
        </w:rPr>
        <w:t>Коефициентът на икономическа активност на населението между 15 и 64 г. се повиши до 73,6 % през 2022 г., а коефициентът на заетост бе 70,4 %. Коефициентът на безработица намаля до 4,3 %. Броят на регистрираните безработни също имаше по-ниски стойности спрямо 2021 г. и в края на юни достигна исторически минимум за последните 30 години.</w:t>
      </w:r>
    </w:p>
    <w:p w14:paraId="61942FC8" w14:textId="77777777" w:rsidR="004F29B4" w:rsidRPr="004F29B4" w:rsidRDefault="004F29B4" w:rsidP="00720FD2">
      <w:pPr>
        <w:keepNext/>
        <w:ind w:firstLine="567"/>
        <w:jc w:val="both"/>
        <w:rPr>
          <w:rFonts w:eastAsia="Calibri"/>
          <w:color w:val="262626"/>
          <w:lang w:eastAsia="ja-JP"/>
        </w:rPr>
      </w:pPr>
      <w:bookmarkStart w:id="14" w:name="_Toc136273282"/>
      <w:bookmarkStart w:id="15" w:name="_Toc136273477"/>
      <w:r w:rsidRPr="004F29B4">
        <w:rPr>
          <w:rFonts w:eastAsia="Calibri"/>
          <w:color w:val="262626"/>
          <w:lang w:eastAsia="ja-JP"/>
        </w:rPr>
        <w:t>В условията на ускорено нарастване на потребителските цени в страната и високо търсене на труд компенсацията на един нает се повиши номинално с 18,4 % през 2022 г. Растежът на показателя в сектор индустрия без строителство възлезе на 31,8</w:t>
      </w:r>
      <w:r w:rsidRPr="004D5FFC">
        <w:rPr>
          <w:rFonts w:eastAsia="Calibri"/>
          <w:color w:val="262626"/>
          <w:lang w:val="ru-RU" w:eastAsia="ja-JP"/>
        </w:rPr>
        <w:t xml:space="preserve"> </w:t>
      </w:r>
      <w:r w:rsidRPr="004F29B4">
        <w:rPr>
          <w:rFonts w:eastAsia="Calibri"/>
          <w:color w:val="262626"/>
          <w:lang w:eastAsia="ja-JP"/>
        </w:rPr>
        <w:t>% и надхвърли повече от два пъти отчетения темп в услугите (14,8</w:t>
      </w:r>
      <w:r w:rsidRPr="004D5FFC">
        <w:rPr>
          <w:rFonts w:eastAsia="Calibri"/>
          <w:color w:val="262626"/>
          <w:lang w:val="ru-RU" w:eastAsia="ja-JP"/>
        </w:rPr>
        <w:t xml:space="preserve"> </w:t>
      </w:r>
      <w:r w:rsidRPr="004F29B4">
        <w:rPr>
          <w:rFonts w:eastAsia="Calibri"/>
          <w:color w:val="262626"/>
          <w:lang w:eastAsia="ja-JP"/>
        </w:rPr>
        <w:t>%) и повече от три пъти този в строителството (9,9</w:t>
      </w:r>
      <w:r w:rsidRPr="004D5FFC">
        <w:rPr>
          <w:rFonts w:eastAsia="Calibri"/>
          <w:color w:val="262626"/>
          <w:lang w:val="ru-RU" w:eastAsia="ja-JP"/>
        </w:rPr>
        <w:t xml:space="preserve"> </w:t>
      </w:r>
      <w:r w:rsidRPr="004F29B4">
        <w:rPr>
          <w:rFonts w:eastAsia="Calibri"/>
          <w:color w:val="262626"/>
          <w:lang w:eastAsia="ja-JP"/>
        </w:rPr>
        <w:t>%).  Развитието през годината се обуславяше от частния сектор на икономиката, в който номиналното нарастване на показателя напълно компенсира нарастването на цените в страната. По-детайлните данни  показват, че средната работна заплата в частния сектор се е повишила с 13,9</w:t>
      </w:r>
      <w:r w:rsidRPr="004D5FFC">
        <w:rPr>
          <w:rFonts w:eastAsia="Calibri"/>
          <w:color w:val="262626"/>
          <w:lang w:val="ru-RU" w:eastAsia="ja-JP"/>
        </w:rPr>
        <w:t xml:space="preserve"> </w:t>
      </w:r>
      <w:r w:rsidRPr="004F29B4">
        <w:rPr>
          <w:rFonts w:eastAsia="Calibri"/>
          <w:color w:val="262626"/>
          <w:lang w:eastAsia="ja-JP"/>
        </w:rPr>
        <w:t>% спрямо 9,5</w:t>
      </w:r>
      <w:r w:rsidRPr="004D5FFC">
        <w:rPr>
          <w:rFonts w:eastAsia="Calibri"/>
          <w:color w:val="262626"/>
          <w:lang w:val="ru-RU" w:eastAsia="ja-JP"/>
        </w:rPr>
        <w:t xml:space="preserve"> </w:t>
      </w:r>
      <w:r w:rsidRPr="004F29B4">
        <w:rPr>
          <w:rFonts w:eastAsia="Calibri"/>
          <w:color w:val="262626"/>
          <w:lang w:eastAsia="ja-JP"/>
        </w:rPr>
        <w:t>% в публичния сектор. По този начин, разгледано общо за икономиката, динамиката на средната работна заплата се характеризираше отчете темп от 12,8 %. Реалната заплата, изчислена с ХИПЦ, остана без промяна (-0,2</w:t>
      </w:r>
      <w:r w:rsidRPr="004D5FFC">
        <w:rPr>
          <w:rFonts w:eastAsia="Calibri"/>
          <w:color w:val="262626"/>
          <w:lang w:val="ru-RU" w:eastAsia="ja-JP"/>
        </w:rPr>
        <w:t xml:space="preserve"> </w:t>
      </w:r>
      <w:r w:rsidRPr="004F29B4">
        <w:rPr>
          <w:rFonts w:eastAsia="Calibri"/>
          <w:color w:val="262626"/>
          <w:lang w:eastAsia="ja-JP"/>
        </w:rPr>
        <w:t>%) в сравнение с предходната година.</w:t>
      </w:r>
      <w:bookmarkEnd w:id="14"/>
      <w:bookmarkEnd w:id="15"/>
      <w:r w:rsidRPr="004F29B4">
        <w:rPr>
          <w:rFonts w:eastAsia="Calibri"/>
          <w:color w:val="262626"/>
          <w:lang w:eastAsia="ja-JP"/>
        </w:rPr>
        <w:t xml:space="preserve">  </w:t>
      </w:r>
    </w:p>
    <w:p w14:paraId="0CF9EEF1" w14:textId="77777777" w:rsidR="004F29B4" w:rsidRPr="004F29B4" w:rsidRDefault="004F29B4" w:rsidP="00720FD2">
      <w:pPr>
        <w:keepNext/>
        <w:ind w:firstLine="567"/>
        <w:jc w:val="both"/>
        <w:rPr>
          <w:rFonts w:eastAsia="Calibri"/>
          <w:color w:val="262626"/>
          <w:lang w:eastAsia="ja-JP"/>
        </w:rPr>
      </w:pPr>
      <w:bookmarkStart w:id="16" w:name="_Toc136273283"/>
      <w:bookmarkStart w:id="17" w:name="_Toc136273478"/>
      <w:r w:rsidRPr="004F29B4">
        <w:rPr>
          <w:rFonts w:eastAsia="Calibri"/>
          <w:color w:val="262626"/>
          <w:lang w:eastAsia="ja-JP"/>
        </w:rPr>
        <w:t>През 2022 г. реалният растеж на производителността на труда  се забави до 2,1</w:t>
      </w:r>
      <w:r w:rsidRPr="004D5FFC">
        <w:rPr>
          <w:rFonts w:eastAsia="Calibri"/>
          <w:color w:val="262626"/>
          <w:lang w:val="ru-RU" w:eastAsia="ja-JP"/>
        </w:rPr>
        <w:t xml:space="preserve"> </w:t>
      </w:r>
      <w:r w:rsidRPr="004F29B4">
        <w:rPr>
          <w:rFonts w:eastAsia="Calibri"/>
          <w:color w:val="262626"/>
          <w:lang w:eastAsia="ja-JP"/>
        </w:rPr>
        <w:t>%, но както и при динамиката на доходите сектор индустрия без строителство имаше водещ принос (15</w:t>
      </w:r>
      <w:r w:rsidRPr="004D5FFC">
        <w:rPr>
          <w:rFonts w:eastAsia="Calibri"/>
          <w:color w:val="262626"/>
          <w:lang w:val="ru-RU" w:eastAsia="ja-JP"/>
        </w:rPr>
        <w:t xml:space="preserve"> </w:t>
      </w:r>
      <w:r w:rsidRPr="004F29B4">
        <w:rPr>
          <w:rFonts w:eastAsia="Calibri"/>
          <w:color w:val="262626"/>
          <w:lang w:eastAsia="ja-JP"/>
        </w:rPr>
        <w:t>%). В услугите динамиката на показателя премина на отрицателна територия, обусловена от високия растеж на заетостта в сектора. Наблюдаваната динамика на доходите и производителността на труда намериха резултат в ускорено нарастване на номиналните разходи за труд на единица продукция до 16%, но в реално изражение този темп бе едва 0,8%.</w:t>
      </w:r>
      <w:bookmarkEnd w:id="16"/>
      <w:bookmarkEnd w:id="17"/>
    </w:p>
    <w:p w14:paraId="7FE19ECF" w14:textId="63BEBB2F" w:rsidR="004F29B4" w:rsidRPr="009D4353" w:rsidRDefault="009D4353" w:rsidP="00BD39E0">
      <w:pPr>
        <w:pStyle w:val="Heading3"/>
        <w:numPr>
          <w:ilvl w:val="1"/>
          <w:numId w:val="64"/>
        </w:numPr>
        <w:tabs>
          <w:tab w:val="num" w:pos="720"/>
        </w:tabs>
        <w:ind w:left="720" w:hanging="360"/>
        <w:rPr>
          <w:rFonts w:ascii="Times New Roman" w:hAnsi="Times New Roman"/>
          <w:sz w:val="24"/>
          <w:lang w:val="bg-BG"/>
        </w:rPr>
      </w:pPr>
      <w:r>
        <w:rPr>
          <w:rFonts w:ascii="Times New Roman" w:hAnsi="Times New Roman"/>
          <w:sz w:val="24"/>
          <w:lang w:val="bg-BG"/>
        </w:rPr>
        <w:t xml:space="preserve"> </w:t>
      </w:r>
      <w:bookmarkStart w:id="18" w:name="_Toc146037873"/>
      <w:r w:rsidR="004F29B4" w:rsidRPr="009D4353">
        <w:rPr>
          <w:rFonts w:ascii="Times New Roman" w:hAnsi="Times New Roman"/>
          <w:sz w:val="24"/>
          <w:lang w:val="bg-BG"/>
        </w:rPr>
        <w:t>Инфлация</w:t>
      </w:r>
      <w:bookmarkEnd w:id="18"/>
    </w:p>
    <w:p w14:paraId="0D9668B5" w14:textId="77777777" w:rsidR="004F29B4" w:rsidRPr="004F29B4" w:rsidRDefault="004F29B4" w:rsidP="004F29B4">
      <w:pPr>
        <w:suppressAutoHyphens/>
        <w:ind w:firstLine="709"/>
        <w:jc w:val="both"/>
        <w:rPr>
          <w:rFonts w:eastAsia="Calibri"/>
          <w:color w:val="262626"/>
          <w:lang w:eastAsia="ja-JP"/>
        </w:rPr>
      </w:pPr>
      <w:r w:rsidRPr="004F29B4">
        <w:rPr>
          <w:rFonts w:eastAsia="Calibri"/>
          <w:color w:val="262626"/>
          <w:lang w:eastAsia="ja-JP"/>
        </w:rPr>
        <w:t>Годишният темп на инфлация в страната следваше тенденция на ускорение до септември 2022 г., когато беше отчетена най-високата стойност на инфлация от 15,6</w:t>
      </w:r>
      <w:r w:rsidRPr="004D5FFC">
        <w:rPr>
          <w:rFonts w:eastAsia="Calibri"/>
          <w:color w:val="262626"/>
          <w:lang w:val="ru-RU" w:eastAsia="ja-JP"/>
        </w:rPr>
        <w:t xml:space="preserve"> </w:t>
      </w:r>
      <w:r w:rsidRPr="004F29B4">
        <w:rPr>
          <w:rFonts w:eastAsia="Calibri"/>
          <w:color w:val="262626"/>
          <w:lang w:eastAsia="ja-JP"/>
        </w:rPr>
        <w:t xml:space="preserve">% на годишна база според ХИПЦ. Като водещ фактор за това може да се посочи същественото поскъпване на суровините на международните пазари и най-вече на енергоносителите, и техните преки и косвени ефекти. В допълнение към факторите от страна на предлагането, с проинфлационно влияние бе и силното вътрешно търсене. </w:t>
      </w:r>
    </w:p>
    <w:p w14:paraId="5E3BA4D2" w14:textId="77777777" w:rsidR="004F29B4" w:rsidRPr="004F29B4" w:rsidRDefault="004F29B4" w:rsidP="004F29B4">
      <w:pPr>
        <w:suppressAutoHyphens/>
        <w:ind w:firstLine="709"/>
        <w:jc w:val="both"/>
        <w:rPr>
          <w:rFonts w:eastAsia="Calibri"/>
          <w:color w:val="262626"/>
          <w:lang w:eastAsia="ja-JP"/>
        </w:rPr>
      </w:pPr>
      <w:r w:rsidRPr="004F29B4">
        <w:rPr>
          <w:rFonts w:eastAsia="Calibri"/>
          <w:color w:val="262626"/>
          <w:lang w:eastAsia="ja-JP"/>
        </w:rPr>
        <w:t>От последното тримесечие на 2022 г. бе наблюдавано забавяне на инфлационните процеси в страната, като инфлацията в края на годината се понижи до 14,3</w:t>
      </w:r>
      <w:r w:rsidRPr="004D5FFC">
        <w:rPr>
          <w:rFonts w:eastAsia="Calibri"/>
          <w:color w:val="262626"/>
          <w:lang w:val="ru-RU" w:eastAsia="ja-JP"/>
        </w:rPr>
        <w:t xml:space="preserve"> </w:t>
      </w:r>
      <w:r w:rsidRPr="004F29B4">
        <w:rPr>
          <w:rFonts w:eastAsia="Calibri"/>
          <w:color w:val="262626"/>
          <w:lang w:eastAsia="ja-JP"/>
        </w:rPr>
        <w:t>%, а средногодишната ѝ стойност бе 13,0</w:t>
      </w:r>
      <w:r w:rsidRPr="004D5FFC">
        <w:rPr>
          <w:rFonts w:eastAsia="Calibri"/>
          <w:color w:val="262626"/>
          <w:lang w:val="ru-RU" w:eastAsia="ja-JP"/>
        </w:rPr>
        <w:t xml:space="preserve"> </w:t>
      </w:r>
      <w:r w:rsidRPr="004F29B4">
        <w:rPr>
          <w:rFonts w:eastAsia="Calibri"/>
          <w:color w:val="262626"/>
          <w:lang w:eastAsia="ja-JP"/>
        </w:rPr>
        <w:t>%.</w:t>
      </w:r>
    </w:p>
    <w:p w14:paraId="312EE78E" w14:textId="77777777" w:rsidR="004F29B4" w:rsidRPr="004F29B4" w:rsidRDefault="004F29B4" w:rsidP="004F29B4">
      <w:pPr>
        <w:keepLines/>
        <w:autoSpaceDE w:val="0"/>
        <w:autoSpaceDN w:val="0"/>
        <w:adjustRightInd w:val="0"/>
        <w:ind w:left="2124" w:firstLine="708"/>
        <w:jc w:val="both"/>
        <w:rPr>
          <w:b/>
          <w:bCs/>
          <w:i/>
          <w:iCs/>
          <w:color w:val="000000"/>
          <w:sz w:val="23"/>
          <w:szCs w:val="23"/>
        </w:rPr>
      </w:pPr>
    </w:p>
    <w:p w14:paraId="6F75EF33" w14:textId="77777777" w:rsidR="004F29B4" w:rsidRPr="004F29B4" w:rsidRDefault="004F29B4" w:rsidP="004F29B4">
      <w:pPr>
        <w:keepLines/>
        <w:autoSpaceDE w:val="0"/>
        <w:autoSpaceDN w:val="0"/>
        <w:adjustRightInd w:val="0"/>
        <w:ind w:left="2124" w:firstLine="708"/>
        <w:jc w:val="both"/>
        <w:rPr>
          <w:b/>
          <w:bCs/>
          <w:i/>
          <w:iCs/>
          <w:color w:val="000000"/>
          <w:sz w:val="23"/>
          <w:szCs w:val="23"/>
        </w:rPr>
      </w:pPr>
    </w:p>
    <w:p w14:paraId="1A6675B6" w14:textId="77777777" w:rsidR="004F29B4" w:rsidRPr="004F29B4" w:rsidRDefault="004F29B4" w:rsidP="004F29B4">
      <w:pPr>
        <w:keepLines/>
        <w:autoSpaceDE w:val="0"/>
        <w:autoSpaceDN w:val="0"/>
        <w:adjustRightInd w:val="0"/>
        <w:ind w:left="2124" w:firstLine="708"/>
        <w:jc w:val="both"/>
        <w:rPr>
          <w:b/>
          <w:bCs/>
          <w:i/>
          <w:iCs/>
          <w:color w:val="000000"/>
          <w:sz w:val="23"/>
          <w:szCs w:val="23"/>
        </w:rPr>
      </w:pPr>
      <w:r w:rsidRPr="004F29B4">
        <w:rPr>
          <w:b/>
          <w:bCs/>
          <w:i/>
          <w:iCs/>
          <w:color w:val="000000"/>
          <w:sz w:val="23"/>
          <w:szCs w:val="23"/>
        </w:rPr>
        <w:t>ХИПЦ по основни компоненти</w:t>
      </w:r>
    </w:p>
    <w:p w14:paraId="67BE7618" w14:textId="77777777" w:rsidR="004F29B4" w:rsidRPr="004F29B4" w:rsidRDefault="004F29B4" w:rsidP="004F29B4">
      <w:pPr>
        <w:keepLines/>
        <w:autoSpaceDE w:val="0"/>
        <w:autoSpaceDN w:val="0"/>
        <w:adjustRightInd w:val="0"/>
        <w:spacing w:after="160"/>
        <w:ind w:left="1416" w:firstLine="708"/>
        <w:jc w:val="both"/>
        <w:rPr>
          <w:color w:val="000000"/>
          <w:sz w:val="23"/>
          <w:szCs w:val="23"/>
        </w:rPr>
      </w:pPr>
      <w:r w:rsidRPr="004F29B4">
        <w:rPr>
          <w:i/>
          <w:iCs/>
          <w:color w:val="000000"/>
          <w:sz w:val="23"/>
          <w:szCs w:val="23"/>
        </w:rPr>
        <w:t>(изменение в % по месеци на годишна база)</w:t>
      </w:r>
    </w:p>
    <w:tbl>
      <w:tblPr>
        <w:tblW w:w="9565" w:type="dxa"/>
        <w:jc w:val="center"/>
        <w:tblLayout w:type="fixed"/>
        <w:tblCellMar>
          <w:left w:w="70" w:type="dxa"/>
          <w:right w:w="70" w:type="dxa"/>
        </w:tblCellMar>
        <w:tblLook w:val="00A0" w:firstRow="1" w:lastRow="0" w:firstColumn="1" w:lastColumn="0" w:noHBand="0" w:noVBand="0"/>
      </w:tblPr>
      <w:tblGrid>
        <w:gridCol w:w="2336"/>
        <w:gridCol w:w="602"/>
        <w:gridCol w:w="602"/>
        <w:gridCol w:w="603"/>
        <w:gridCol w:w="602"/>
        <w:gridCol w:w="603"/>
        <w:gridCol w:w="602"/>
        <w:gridCol w:w="602"/>
        <w:gridCol w:w="603"/>
        <w:gridCol w:w="602"/>
        <w:gridCol w:w="603"/>
        <w:gridCol w:w="602"/>
        <w:gridCol w:w="603"/>
      </w:tblGrid>
      <w:tr w:rsidR="004F29B4" w:rsidRPr="004F29B4" w14:paraId="01CC34C8" w14:textId="77777777" w:rsidTr="004F29B4">
        <w:trPr>
          <w:cantSplit/>
          <w:trHeight w:val="79"/>
          <w:jc w:val="center"/>
        </w:trPr>
        <w:tc>
          <w:tcPr>
            <w:tcW w:w="9565" w:type="dxa"/>
            <w:gridSpan w:val="13"/>
            <w:tcBorders>
              <w:top w:val="thickThinSmallGap" w:sz="12" w:space="0" w:color="990000"/>
              <w:left w:val="thickThinSmallGap" w:sz="12" w:space="0" w:color="990000"/>
              <w:bottom w:val="single" w:sz="4" w:space="0" w:color="FFFFFF"/>
              <w:right w:val="thickThinSmallGap" w:sz="12" w:space="0" w:color="990000"/>
            </w:tcBorders>
            <w:shd w:val="clear" w:color="auto" w:fill="990000"/>
            <w:vAlign w:val="center"/>
          </w:tcPr>
          <w:p w14:paraId="10C572A7" w14:textId="77777777" w:rsidR="004F29B4" w:rsidRPr="004F29B4" w:rsidRDefault="004F29B4" w:rsidP="004F29B4">
            <w:pPr>
              <w:keepLines/>
              <w:jc w:val="center"/>
              <w:rPr>
                <w:b/>
                <w:snapToGrid w:val="0"/>
                <w:color w:val="FFFFFF"/>
                <w:sz w:val="20"/>
              </w:rPr>
            </w:pPr>
            <w:r w:rsidRPr="004F29B4">
              <w:rPr>
                <w:b/>
                <w:snapToGrid w:val="0"/>
                <w:color w:val="FFFFFF"/>
                <w:sz w:val="20"/>
              </w:rPr>
              <w:t>Месеци на 2022 г.</w:t>
            </w:r>
          </w:p>
        </w:tc>
      </w:tr>
      <w:tr w:rsidR="004F29B4" w:rsidRPr="004F29B4" w14:paraId="7909317E" w14:textId="77777777" w:rsidTr="004F29B4">
        <w:trPr>
          <w:trHeight w:val="499"/>
          <w:jc w:val="center"/>
        </w:trPr>
        <w:tc>
          <w:tcPr>
            <w:tcW w:w="2336" w:type="dxa"/>
            <w:tcBorders>
              <w:top w:val="single" w:sz="4" w:space="0" w:color="FFFFFF"/>
              <w:left w:val="thickThinSmallGap" w:sz="12" w:space="0" w:color="990000"/>
              <w:bottom w:val="single" w:sz="4" w:space="0" w:color="C00000"/>
              <w:right w:val="single" w:sz="8" w:space="0" w:color="FFFFFF"/>
            </w:tcBorders>
            <w:shd w:val="clear" w:color="auto" w:fill="990000"/>
          </w:tcPr>
          <w:p w14:paraId="12119468" w14:textId="77777777" w:rsidR="004F29B4" w:rsidRPr="004F29B4" w:rsidRDefault="004F29B4" w:rsidP="004F29B4">
            <w:pPr>
              <w:keepLines/>
              <w:jc w:val="both"/>
              <w:rPr>
                <w:b/>
                <w:color w:val="FFFFFF"/>
                <w:sz w:val="20"/>
              </w:rPr>
            </w:pPr>
          </w:p>
        </w:tc>
        <w:tc>
          <w:tcPr>
            <w:tcW w:w="602" w:type="dxa"/>
            <w:tcBorders>
              <w:top w:val="single" w:sz="4" w:space="0" w:color="FFFFFF"/>
              <w:left w:val="thickThinSmallGap" w:sz="12" w:space="0" w:color="990000"/>
              <w:bottom w:val="single" w:sz="4" w:space="0" w:color="C00000"/>
              <w:right w:val="single" w:sz="8" w:space="0" w:color="FFFFFF"/>
            </w:tcBorders>
            <w:shd w:val="clear" w:color="auto" w:fill="990000"/>
            <w:vAlign w:val="center"/>
          </w:tcPr>
          <w:p w14:paraId="477712A7" w14:textId="77777777" w:rsidR="004F29B4" w:rsidRPr="004F29B4" w:rsidRDefault="004F29B4" w:rsidP="004F29B4">
            <w:pPr>
              <w:keepLines/>
              <w:jc w:val="center"/>
              <w:rPr>
                <w:b/>
                <w:color w:val="FFFFFF"/>
                <w:sz w:val="20"/>
              </w:rPr>
            </w:pPr>
            <w:r w:rsidRPr="004F29B4">
              <w:rPr>
                <w:b/>
                <w:color w:val="FFFFFF"/>
                <w:sz w:val="20"/>
              </w:rPr>
              <w:t>I</w:t>
            </w:r>
          </w:p>
        </w:tc>
        <w:tc>
          <w:tcPr>
            <w:tcW w:w="602" w:type="dxa"/>
            <w:tcBorders>
              <w:top w:val="single" w:sz="4" w:space="0" w:color="FFFFFF"/>
              <w:left w:val="thickThinSmallGap" w:sz="12" w:space="0" w:color="990000"/>
              <w:bottom w:val="single" w:sz="4" w:space="0" w:color="C00000"/>
              <w:right w:val="single" w:sz="8" w:space="0" w:color="FFFFFF"/>
            </w:tcBorders>
            <w:shd w:val="clear" w:color="auto" w:fill="990000"/>
            <w:vAlign w:val="center"/>
          </w:tcPr>
          <w:p w14:paraId="3E137C57" w14:textId="77777777" w:rsidR="004F29B4" w:rsidRPr="004F29B4" w:rsidRDefault="004F29B4" w:rsidP="004F29B4">
            <w:pPr>
              <w:keepLines/>
              <w:jc w:val="center"/>
              <w:rPr>
                <w:b/>
                <w:color w:val="FFFFFF"/>
                <w:sz w:val="20"/>
              </w:rPr>
            </w:pPr>
            <w:r w:rsidRPr="004F29B4">
              <w:rPr>
                <w:b/>
                <w:color w:val="FFFFFF"/>
                <w:sz w:val="20"/>
              </w:rPr>
              <w:t>II</w:t>
            </w:r>
          </w:p>
        </w:tc>
        <w:tc>
          <w:tcPr>
            <w:tcW w:w="603" w:type="dxa"/>
            <w:tcBorders>
              <w:top w:val="single" w:sz="4" w:space="0" w:color="FFFFFF"/>
              <w:left w:val="single" w:sz="8" w:space="0" w:color="FFFFFF"/>
              <w:bottom w:val="single" w:sz="4" w:space="0" w:color="C00000"/>
              <w:right w:val="single" w:sz="8" w:space="0" w:color="FFFFFF"/>
            </w:tcBorders>
            <w:shd w:val="clear" w:color="auto" w:fill="990000"/>
            <w:vAlign w:val="center"/>
          </w:tcPr>
          <w:p w14:paraId="0C95F01F" w14:textId="77777777" w:rsidR="004F29B4" w:rsidRPr="004F29B4" w:rsidRDefault="004F29B4" w:rsidP="004F29B4">
            <w:pPr>
              <w:keepLines/>
              <w:jc w:val="center"/>
              <w:rPr>
                <w:b/>
                <w:snapToGrid w:val="0"/>
                <w:color w:val="FFFFFF"/>
                <w:sz w:val="20"/>
              </w:rPr>
            </w:pPr>
            <w:r w:rsidRPr="004F29B4">
              <w:rPr>
                <w:b/>
                <w:snapToGrid w:val="0"/>
                <w:color w:val="FFFFFF"/>
                <w:sz w:val="20"/>
              </w:rPr>
              <w:t>III</w:t>
            </w:r>
          </w:p>
        </w:tc>
        <w:tc>
          <w:tcPr>
            <w:tcW w:w="602" w:type="dxa"/>
            <w:tcBorders>
              <w:top w:val="single" w:sz="2" w:space="0" w:color="FFFFFF"/>
              <w:left w:val="single" w:sz="8" w:space="0" w:color="FFFFFF"/>
              <w:bottom w:val="single" w:sz="4" w:space="0" w:color="C00000"/>
              <w:right w:val="single" w:sz="8" w:space="0" w:color="FFFFFF"/>
            </w:tcBorders>
            <w:shd w:val="clear" w:color="auto" w:fill="990000"/>
            <w:vAlign w:val="center"/>
          </w:tcPr>
          <w:p w14:paraId="6F2998EB" w14:textId="77777777" w:rsidR="004F29B4" w:rsidRPr="004F29B4" w:rsidRDefault="004F29B4" w:rsidP="004F29B4">
            <w:pPr>
              <w:keepLines/>
              <w:jc w:val="center"/>
              <w:rPr>
                <w:b/>
                <w:snapToGrid w:val="0"/>
                <w:color w:val="FFFFFF"/>
                <w:sz w:val="20"/>
              </w:rPr>
            </w:pPr>
            <w:r w:rsidRPr="004F29B4">
              <w:rPr>
                <w:b/>
                <w:snapToGrid w:val="0"/>
                <w:color w:val="FFFFFF"/>
                <w:sz w:val="20"/>
              </w:rPr>
              <w:t>IV</w:t>
            </w:r>
          </w:p>
        </w:tc>
        <w:tc>
          <w:tcPr>
            <w:tcW w:w="603" w:type="dxa"/>
            <w:tcBorders>
              <w:top w:val="single" w:sz="2" w:space="0" w:color="FFFFFF"/>
              <w:left w:val="single" w:sz="8" w:space="0" w:color="FFFFFF"/>
              <w:bottom w:val="single" w:sz="4" w:space="0" w:color="C00000"/>
              <w:right w:val="single" w:sz="8" w:space="0" w:color="FFFFFF"/>
            </w:tcBorders>
            <w:shd w:val="clear" w:color="auto" w:fill="990000"/>
            <w:vAlign w:val="center"/>
          </w:tcPr>
          <w:p w14:paraId="29DC7066" w14:textId="77777777" w:rsidR="004F29B4" w:rsidRPr="004F29B4" w:rsidRDefault="004F29B4" w:rsidP="004F29B4">
            <w:pPr>
              <w:keepLines/>
              <w:jc w:val="center"/>
              <w:rPr>
                <w:b/>
                <w:snapToGrid w:val="0"/>
                <w:color w:val="FFFFFF"/>
                <w:sz w:val="20"/>
              </w:rPr>
            </w:pPr>
            <w:r w:rsidRPr="004F29B4">
              <w:rPr>
                <w:b/>
                <w:snapToGrid w:val="0"/>
                <w:color w:val="FFFFFF"/>
                <w:sz w:val="20"/>
              </w:rPr>
              <w:t>V</w:t>
            </w:r>
          </w:p>
        </w:tc>
        <w:tc>
          <w:tcPr>
            <w:tcW w:w="602" w:type="dxa"/>
            <w:tcBorders>
              <w:top w:val="single" w:sz="2" w:space="0" w:color="FFFFFF"/>
              <w:left w:val="single" w:sz="8" w:space="0" w:color="FFFFFF"/>
              <w:bottom w:val="single" w:sz="4" w:space="0" w:color="C00000"/>
              <w:right w:val="single" w:sz="8" w:space="0" w:color="FFFFFF"/>
            </w:tcBorders>
            <w:shd w:val="clear" w:color="auto" w:fill="990000"/>
            <w:vAlign w:val="center"/>
          </w:tcPr>
          <w:p w14:paraId="08D0CACE" w14:textId="77777777" w:rsidR="004F29B4" w:rsidRPr="004F29B4" w:rsidRDefault="004F29B4" w:rsidP="004F29B4">
            <w:pPr>
              <w:keepLines/>
              <w:jc w:val="center"/>
              <w:rPr>
                <w:b/>
                <w:snapToGrid w:val="0"/>
                <w:color w:val="FFFFFF"/>
                <w:sz w:val="20"/>
              </w:rPr>
            </w:pPr>
            <w:r w:rsidRPr="004F29B4">
              <w:rPr>
                <w:b/>
                <w:snapToGrid w:val="0"/>
                <w:color w:val="FFFFFF"/>
                <w:sz w:val="20"/>
              </w:rPr>
              <w:t>VI</w:t>
            </w:r>
          </w:p>
        </w:tc>
        <w:tc>
          <w:tcPr>
            <w:tcW w:w="602" w:type="dxa"/>
            <w:tcBorders>
              <w:top w:val="single" w:sz="2" w:space="0" w:color="FFFFFF"/>
              <w:left w:val="single" w:sz="8" w:space="0" w:color="FFFFFF"/>
              <w:bottom w:val="single" w:sz="4" w:space="0" w:color="C00000"/>
              <w:right w:val="thickThinSmallGap" w:sz="12" w:space="0" w:color="990000"/>
            </w:tcBorders>
            <w:shd w:val="clear" w:color="auto" w:fill="990000"/>
            <w:vAlign w:val="center"/>
          </w:tcPr>
          <w:p w14:paraId="4D00FAD4" w14:textId="77777777" w:rsidR="004F29B4" w:rsidRPr="004F29B4" w:rsidRDefault="004F29B4" w:rsidP="004F29B4">
            <w:pPr>
              <w:keepLines/>
              <w:jc w:val="center"/>
              <w:rPr>
                <w:b/>
                <w:snapToGrid w:val="0"/>
                <w:color w:val="FFFFFF"/>
                <w:sz w:val="20"/>
              </w:rPr>
            </w:pPr>
            <w:r w:rsidRPr="004F29B4">
              <w:rPr>
                <w:b/>
                <w:snapToGrid w:val="0"/>
                <w:color w:val="FFFFFF"/>
                <w:sz w:val="20"/>
              </w:rPr>
              <w:t>VII</w:t>
            </w:r>
          </w:p>
        </w:tc>
        <w:tc>
          <w:tcPr>
            <w:tcW w:w="603" w:type="dxa"/>
            <w:tcBorders>
              <w:top w:val="single" w:sz="2" w:space="0" w:color="FFFFFF"/>
              <w:left w:val="single" w:sz="8" w:space="0" w:color="FFFFFF"/>
              <w:bottom w:val="single" w:sz="4" w:space="0" w:color="C00000"/>
              <w:right w:val="thickThinSmallGap" w:sz="12" w:space="0" w:color="990000"/>
            </w:tcBorders>
            <w:shd w:val="clear" w:color="auto" w:fill="990000"/>
            <w:vAlign w:val="center"/>
          </w:tcPr>
          <w:p w14:paraId="39A3877C" w14:textId="77777777" w:rsidR="004F29B4" w:rsidRPr="004F29B4" w:rsidRDefault="004F29B4" w:rsidP="004F29B4">
            <w:pPr>
              <w:keepLines/>
              <w:jc w:val="center"/>
              <w:rPr>
                <w:b/>
                <w:snapToGrid w:val="0"/>
                <w:color w:val="FFFFFF"/>
                <w:sz w:val="20"/>
              </w:rPr>
            </w:pPr>
            <w:r w:rsidRPr="004F29B4">
              <w:rPr>
                <w:b/>
                <w:snapToGrid w:val="0"/>
                <w:color w:val="FFFFFF"/>
                <w:sz w:val="20"/>
              </w:rPr>
              <w:t>VIII</w:t>
            </w:r>
          </w:p>
        </w:tc>
        <w:tc>
          <w:tcPr>
            <w:tcW w:w="602" w:type="dxa"/>
            <w:tcBorders>
              <w:top w:val="single" w:sz="2" w:space="0" w:color="FFFFFF"/>
              <w:left w:val="single" w:sz="8" w:space="0" w:color="FFFFFF"/>
              <w:bottom w:val="single" w:sz="4" w:space="0" w:color="C00000"/>
              <w:right w:val="thickThinSmallGap" w:sz="12" w:space="0" w:color="990000"/>
            </w:tcBorders>
            <w:shd w:val="clear" w:color="auto" w:fill="990000"/>
            <w:vAlign w:val="center"/>
          </w:tcPr>
          <w:p w14:paraId="51916C2C" w14:textId="77777777" w:rsidR="004F29B4" w:rsidRPr="004F29B4" w:rsidRDefault="004F29B4" w:rsidP="004F29B4">
            <w:pPr>
              <w:keepLines/>
              <w:jc w:val="center"/>
              <w:rPr>
                <w:b/>
                <w:snapToGrid w:val="0"/>
                <w:color w:val="FFFFFF"/>
                <w:sz w:val="20"/>
              </w:rPr>
            </w:pPr>
            <w:r w:rsidRPr="004F29B4">
              <w:rPr>
                <w:b/>
                <w:snapToGrid w:val="0"/>
                <w:color w:val="FFFFFF"/>
                <w:sz w:val="20"/>
              </w:rPr>
              <w:t>IX</w:t>
            </w:r>
          </w:p>
        </w:tc>
        <w:tc>
          <w:tcPr>
            <w:tcW w:w="603" w:type="dxa"/>
            <w:tcBorders>
              <w:top w:val="single" w:sz="2" w:space="0" w:color="FFFFFF"/>
              <w:left w:val="single" w:sz="8" w:space="0" w:color="FFFFFF"/>
              <w:bottom w:val="single" w:sz="4" w:space="0" w:color="C00000"/>
              <w:right w:val="thickThinSmallGap" w:sz="12" w:space="0" w:color="990000"/>
            </w:tcBorders>
            <w:shd w:val="clear" w:color="auto" w:fill="990000"/>
            <w:vAlign w:val="center"/>
          </w:tcPr>
          <w:p w14:paraId="52EFC2CD" w14:textId="77777777" w:rsidR="004F29B4" w:rsidRPr="004F29B4" w:rsidRDefault="004F29B4" w:rsidP="004F29B4">
            <w:pPr>
              <w:keepLines/>
              <w:jc w:val="center"/>
              <w:rPr>
                <w:b/>
                <w:snapToGrid w:val="0"/>
                <w:color w:val="FFFFFF"/>
                <w:sz w:val="20"/>
              </w:rPr>
            </w:pPr>
            <w:r w:rsidRPr="004F29B4">
              <w:rPr>
                <w:b/>
                <w:snapToGrid w:val="0"/>
                <w:color w:val="FFFFFF"/>
                <w:sz w:val="20"/>
              </w:rPr>
              <w:t>X</w:t>
            </w:r>
          </w:p>
        </w:tc>
        <w:tc>
          <w:tcPr>
            <w:tcW w:w="602" w:type="dxa"/>
            <w:tcBorders>
              <w:top w:val="single" w:sz="2" w:space="0" w:color="FFFFFF"/>
              <w:left w:val="single" w:sz="8" w:space="0" w:color="FFFFFF"/>
              <w:bottom w:val="single" w:sz="4" w:space="0" w:color="C00000"/>
              <w:right w:val="thickThinSmallGap" w:sz="12" w:space="0" w:color="990000"/>
            </w:tcBorders>
            <w:shd w:val="clear" w:color="auto" w:fill="990000"/>
            <w:vAlign w:val="center"/>
          </w:tcPr>
          <w:p w14:paraId="5311251D" w14:textId="77777777" w:rsidR="004F29B4" w:rsidRPr="004F29B4" w:rsidRDefault="004F29B4" w:rsidP="004F29B4">
            <w:pPr>
              <w:keepLines/>
              <w:jc w:val="center"/>
              <w:rPr>
                <w:b/>
                <w:snapToGrid w:val="0"/>
                <w:color w:val="FFFFFF"/>
                <w:sz w:val="20"/>
              </w:rPr>
            </w:pPr>
            <w:r w:rsidRPr="004F29B4">
              <w:rPr>
                <w:b/>
                <w:snapToGrid w:val="0"/>
                <w:color w:val="FFFFFF"/>
                <w:sz w:val="20"/>
              </w:rPr>
              <w:t>XI</w:t>
            </w:r>
          </w:p>
        </w:tc>
        <w:tc>
          <w:tcPr>
            <w:tcW w:w="603" w:type="dxa"/>
            <w:tcBorders>
              <w:top w:val="single" w:sz="2" w:space="0" w:color="FFFFFF"/>
              <w:left w:val="single" w:sz="8" w:space="0" w:color="FFFFFF"/>
              <w:bottom w:val="single" w:sz="4" w:space="0" w:color="C00000"/>
              <w:right w:val="thickThinSmallGap" w:sz="12" w:space="0" w:color="990000"/>
            </w:tcBorders>
            <w:shd w:val="clear" w:color="auto" w:fill="990000"/>
            <w:vAlign w:val="center"/>
          </w:tcPr>
          <w:p w14:paraId="53C99FED" w14:textId="77777777" w:rsidR="004F29B4" w:rsidRPr="004F29B4" w:rsidRDefault="004F29B4" w:rsidP="004F29B4">
            <w:pPr>
              <w:keepLines/>
              <w:jc w:val="center"/>
              <w:rPr>
                <w:b/>
                <w:snapToGrid w:val="0"/>
                <w:color w:val="FFFFFF"/>
                <w:sz w:val="20"/>
              </w:rPr>
            </w:pPr>
            <w:r w:rsidRPr="004F29B4">
              <w:rPr>
                <w:b/>
                <w:snapToGrid w:val="0"/>
                <w:color w:val="FFFFFF"/>
                <w:sz w:val="20"/>
              </w:rPr>
              <w:t>XII</w:t>
            </w:r>
          </w:p>
        </w:tc>
      </w:tr>
      <w:tr w:rsidR="004F29B4" w:rsidRPr="004F29B4" w14:paraId="2BD8ACEF" w14:textId="77777777" w:rsidTr="004F29B4">
        <w:trPr>
          <w:trHeight w:val="247"/>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tcPr>
          <w:p w14:paraId="70BCAC47" w14:textId="77777777" w:rsidR="004F29B4" w:rsidRPr="004F29B4" w:rsidRDefault="004F29B4" w:rsidP="004F29B4">
            <w:pPr>
              <w:keepLines/>
              <w:jc w:val="both"/>
              <w:rPr>
                <w:b/>
                <w:snapToGrid w:val="0"/>
                <w:color w:val="262626"/>
                <w:sz w:val="20"/>
              </w:rPr>
            </w:pPr>
            <w:r w:rsidRPr="004F29B4">
              <w:rPr>
                <w:b/>
                <w:color w:val="262626"/>
                <w:sz w:val="20"/>
              </w:rPr>
              <w:t>Общ ХИПЦ</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12A033A"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7,7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3CA7D0C"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8,4</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5A2BF8F2"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10,5</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63FA2F9B"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12,1</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10014965"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13,4</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C695361"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14,8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FB05FBF"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14,9</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7C55DC01"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15,0</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4E6065B"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15,6</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078E8B6E"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14,8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287C18C"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14,3</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2D18CF62" w14:textId="77777777" w:rsidR="004F29B4" w:rsidRPr="004F29B4" w:rsidRDefault="004F29B4" w:rsidP="004F29B4">
            <w:pPr>
              <w:jc w:val="right"/>
              <w:rPr>
                <w:b/>
                <w:color w:val="262626"/>
                <w:sz w:val="20"/>
                <w:szCs w:val="20"/>
                <w:lang w:eastAsia="ja-JP"/>
              </w:rPr>
            </w:pPr>
            <w:r w:rsidRPr="004F29B4">
              <w:rPr>
                <w:b/>
                <w:color w:val="262626"/>
                <w:sz w:val="20"/>
                <w:szCs w:val="20"/>
                <w:lang w:eastAsia="ja-JP"/>
              </w:rPr>
              <w:t>14,3</w:t>
            </w:r>
          </w:p>
        </w:tc>
      </w:tr>
      <w:tr w:rsidR="004F29B4" w:rsidRPr="004F29B4" w14:paraId="392558D7" w14:textId="77777777" w:rsidTr="004F29B4">
        <w:trPr>
          <w:trHeight w:val="268"/>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326F1E7F" w14:textId="77777777" w:rsidR="004F29B4" w:rsidRPr="004F29B4" w:rsidRDefault="004F29B4" w:rsidP="004F29B4">
            <w:pPr>
              <w:keepLines/>
              <w:rPr>
                <w:snapToGrid w:val="0"/>
                <w:color w:val="262626"/>
                <w:sz w:val="20"/>
              </w:rPr>
            </w:pPr>
            <w:r w:rsidRPr="004F29B4">
              <w:rPr>
                <w:color w:val="262626"/>
                <w:sz w:val="20"/>
              </w:rPr>
              <w:t>Храни и безалк. напитки</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6BF1C786" w14:textId="77777777" w:rsidR="004F29B4" w:rsidRPr="004F29B4" w:rsidRDefault="004F29B4" w:rsidP="004F29B4">
            <w:pPr>
              <w:jc w:val="right"/>
              <w:rPr>
                <w:color w:val="262626"/>
                <w:sz w:val="20"/>
                <w:szCs w:val="20"/>
                <w:lang w:eastAsia="ja-JP"/>
              </w:rPr>
            </w:pPr>
            <w:r w:rsidRPr="004F29B4">
              <w:rPr>
                <w:color w:val="262626"/>
                <w:sz w:val="20"/>
                <w:szCs w:val="20"/>
                <w:lang w:eastAsia="ja-JP"/>
              </w:rPr>
              <w:t>10,5</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35805445" w14:textId="77777777" w:rsidR="004F29B4" w:rsidRPr="004F29B4" w:rsidRDefault="004F29B4" w:rsidP="004F29B4">
            <w:pPr>
              <w:jc w:val="right"/>
              <w:rPr>
                <w:color w:val="262626"/>
                <w:sz w:val="20"/>
                <w:szCs w:val="20"/>
                <w:lang w:eastAsia="ja-JP"/>
              </w:rPr>
            </w:pPr>
            <w:r w:rsidRPr="004F29B4">
              <w:rPr>
                <w:color w:val="262626"/>
                <w:sz w:val="20"/>
                <w:szCs w:val="20"/>
                <w:lang w:eastAsia="ja-JP"/>
              </w:rPr>
              <w:t>13,1</w:t>
            </w:r>
          </w:p>
        </w:tc>
        <w:tc>
          <w:tcPr>
            <w:tcW w:w="603"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172DA6D2" w14:textId="77777777" w:rsidR="004F29B4" w:rsidRPr="004F29B4" w:rsidRDefault="004F29B4" w:rsidP="004F29B4">
            <w:pPr>
              <w:jc w:val="right"/>
              <w:rPr>
                <w:color w:val="262626"/>
                <w:sz w:val="20"/>
                <w:szCs w:val="20"/>
                <w:lang w:eastAsia="ja-JP"/>
              </w:rPr>
            </w:pPr>
            <w:r w:rsidRPr="004F29B4">
              <w:rPr>
                <w:color w:val="262626"/>
                <w:sz w:val="20"/>
                <w:szCs w:val="20"/>
                <w:lang w:eastAsia="ja-JP"/>
              </w:rPr>
              <w:t>16,5</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4D659244" w14:textId="77777777" w:rsidR="004F29B4" w:rsidRPr="004F29B4" w:rsidRDefault="004F29B4" w:rsidP="004F29B4">
            <w:pPr>
              <w:jc w:val="right"/>
              <w:rPr>
                <w:color w:val="262626"/>
                <w:sz w:val="20"/>
                <w:szCs w:val="20"/>
                <w:lang w:eastAsia="ja-JP"/>
              </w:rPr>
            </w:pPr>
            <w:r w:rsidRPr="004F29B4">
              <w:rPr>
                <w:color w:val="262626"/>
                <w:sz w:val="20"/>
                <w:szCs w:val="20"/>
                <w:lang w:eastAsia="ja-JP"/>
              </w:rPr>
              <w:t>20,2</w:t>
            </w:r>
          </w:p>
        </w:tc>
        <w:tc>
          <w:tcPr>
            <w:tcW w:w="603"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4CA91B96" w14:textId="77777777" w:rsidR="004F29B4" w:rsidRPr="004F29B4" w:rsidRDefault="004F29B4" w:rsidP="004F29B4">
            <w:pPr>
              <w:jc w:val="right"/>
              <w:rPr>
                <w:color w:val="262626"/>
                <w:sz w:val="20"/>
                <w:szCs w:val="20"/>
                <w:lang w:eastAsia="ja-JP"/>
              </w:rPr>
            </w:pPr>
            <w:r w:rsidRPr="004F29B4">
              <w:rPr>
                <w:color w:val="262626"/>
                <w:sz w:val="20"/>
                <w:szCs w:val="20"/>
                <w:lang w:eastAsia="ja-JP"/>
              </w:rPr>
              <w:t>22,1</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0E941E04" w14:textId="77777777" w:rsidR="004F29B4" w:rsidRPr="004F29B4" w:rsidRDefault="004F29B4" w:rsidP="004F29B4">
            <w:pPr>
              <w:jc w:val="right"/>
              <w:rPr>
                <w:color w:val="262626"/>
                <w:sz w:val="20"/>
                <w:szCs w:val="20"/>
                <w:lang w:eastAsia="ja-JP"/>
              </w:rPr>
            </w:pPr>
            <w:r w:rsidRPr="004F29B4">
              <w:rPr>
                <w:color w:val="262626"/>
                <w:sz w:val="20"/>
                <w:szCs w:val="20"/>
                <w:lang w:eastAsia="ja-JP"/>
              </w:rPr>
              <w:t>23,5</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63502EBB" w14:textId="77777777" w:rsidR="004F29B4" w:rsidRPr="004F29B4" w:rsidRDefault="004F29B4" w:rsidP="004F29B4">
            <w:pPr>
              <w:jc w:val="right"/>
              <w:rPr>
                <w:color w:val="262626"/>
                <w:sz w:val="20"/>
                <w:szCs w:val="20"/>
                <w:lang w:eastAsia="ja-JP"/>
              </w:rPr>
            </w:pPr>
            <w:r w:rsidRPr="004F29B4">
              <w:rPr>
                <w:color w:val="262626"/>
                <w:sz w:val="20"/>
                <w:szCs w:val="20"/>
                <w:lang w:eastAsia="ja-JP"/>
              </w:rPr>
              <w:t>23,9</w:t>
            </w:r>
          </w:p>
        </w:tc>
        <w:tc>
          <w:tcPr>
            <w:tcW w:w="603"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161DAD61" w14:textId="77777777" w:rsidR="004F29B4" w:rsidRPr="004F29B4" w:rsidRDefault="004F29B4" w:rsidP="004F29B4">
            <w:pPr>
              <w:jc w:val="right"/>
              <w:rPr>
                <w:color w:val="262626"/>
                <w:sz w:val="20"/>
                <w:szCs w:val="20"/>
                <w:lang w:eastAsia="ja-JP"/>
              </w:rPr>
            </w:pPr>
            <w:r w:rsidRPr="004F29B4">
              <w:rPr>
                <w:color w:val="262626"/>
                <w:sz w:val="20"/>
                <w:szCs w:val="20"/>
                <w:lang w:eastAsia="ja-JP"/>
              </w:rPr>
              <w:t>24,1</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0B9115DE" w14:textId="77777777" w:rsidR="004F29B4" w:rsidRPr="004F29B4" w:rsidRDefault="004F29B4" w:rsidP="004F29B4">
            <w:pPr>
              <w:jc w:val="right"/>
              <w:rPr>
                <w:color w:val="262626"/>
                <w:sz w:val="20"/>
                <w:szCs w:val="20"/>
                <w:lang w:eastAsia="ja-JP"/>
              </w:rPr>
            </w:pPr>
            <w:r w:rsidRPr="004F29B4">
              <w:rPr>
                <w:color w:val="262626"/>
                <w:sz w:val="20"/>
                <w:szCs w:val="20"/>
                <w:lang w:eastAsia="ja-JP"/>
              </w:rPr>
              <w:t>25,2</w:t>
            </w:r>
          </w:p>
        </w:tc>
        <w:tc>
          <w:tcPr>
            <w:tcW w:w="603"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58009EE4" w14:textId="77777777" w:rsidR="004F29B4" w:rsidRPr="004F29B4" w:rsidRDefault="004F29B4" w:rsidP="004F29B4">
            <w:pPr>
              <w:jc w:val="right"/>
              <w:rPr>
                <w:color w:val="262626"/>
                <w:sz w:val="20"/>
                <w:szCs w:val="20"/>
                <w:lang w:eastAsia="ja-JP"/>
              </w:rPr>
            </w:pPr>
            <w:r w:rsidRPr="004F29B4">
              <w:rPr>
                <w:color w:val="262626"/>
                <w:sz w:val="20"/>
                <w:szCs w:val="20"/>
                <w:lang w:eastAsia="ja-JP"/>
              </w:rPr>
              <w:t>26,4</w:t>
            </w:r>
          </w:p>
        </w:tc>
        <w:tc>
          <w:tcPr>
            <w:tcW w:w="602"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2ADC8857" w14:textId="77777777" w:rsidR="004F29B4" w:rsidRPr="004F29B4" w:rsidRDefault="004F29B4" w:rsidP="004F29B4">
            <w:pPr>
              <w:jc w:val="right"/>
              <w:rPr>
                <w:color w:val="262626"/>
                <w:sz w:val="20"/>
                <w:szCs w:val="20"/>
                <w:lang w:eastAsia="ja-JP"/>
              </w:rPr>
            </w:pPr>
            <w:r w:rsidRPr="004F29B4">
              <w:rPr>
                <w:color w:val="262626"/>
                <w:sz w:val="20"/>
                <w:szCs w:val="20"/>
                <w:lang w:eastAsia="ja-JP"/>
              </w:rPr>
              <w:t>26,7</w:t>
            </w:r>
          </w:p>
        </w:tc>
        <w:tc>
          <w:tcPr>
            <w:tcW w:w="603" w:type="dxa"/>
            <w:tcBorders>
              <w:top w:val="single" w:sz="4" w:space="0" w:color="C00000"/>
              <w:left w:val="single" w:sz="4" w:space="0" w:color="C00000"/>
              <w:bottom w:val="single" w:sz="4" w:space="0" w:color="C00000"/>
              <w:right w:val="single" w:sz="4" w:space="0" w:color="C00000"/>
            </w:tcBorders>
            <w:shd w:val="clear" w:color="auto" w:fill="FFFFCC"/>
            <w:vAlign w:val="center"/>
          </w:tcPr>
          <w:p w14:paraId="69674094" w14:textId="77777777" w:rsidR="004F29B4" w:rsidRPr="004F29B4" w:rsidRDefault="004F29B4" w:rsidP="004F29B4">
            <w:pPr>
              <w:jc w:val="right"/>
              <w:rPr>
                <w:color w:val="262626"/>
                <w:sz w:val="20"/>
                <w:szCs w:val="20"/>
                <w:lang w:eastAsia="ja-JP"/>
              </w:rPr>
            </w:pPr>
            <w:r w:rsidRPr="004F29B4">
              <w:rPr>
                <w:color w:val="262626"/>
                <w:sz w:val="20"/>
                <w:szCs w:val="20"/>
                <w:lang w:eastAsia="ja-JP"/>
              </w:rPr>
              <w:t>26,0</w:t>
            </w:r>
          </w:p>
        </w:tc>
      </w:tr>
      <w:tr w:rsidR="004F29B4" w:rsidRPr="004F29B4" w14:paraId="5EAAEF56" w14:textId="77777777" w:rsidTr="004F29B4">
        <w:trPr>
          <w:trHeight w:val="211"/>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tcPr>
          <w:p w14:paraId="68CDF93C" w14:textId="77777777" w:rsidR="004F29B4" w:rsidRPr="004F29B4" w:rsidRDefault="004F29B4" w:rsidP="004F29B4">
            <w:pPr>
              <w:keepLines/>
              <w:jc w:val="both"/>
              <w:rPr>
                <w:snapToGrid w:val="0"/>
                <w:color w:val="262626"/>
                <w:sz w:val="20"/>
              </w:rPr>
            </w:pPr>
            <w:r w:rsidRPr="004F29B4">
              <w:rPr>
                <w:color w:val="262626"/>
                <w:sz w:val="20"/>
              </w:rPr>
              <w:t>Алкохол и цигари</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40DF576D" w14:textId="77777777" w:rsidR="004F29B4" w:rsidRPr="004F29B4" w:rsidRDefault="004F29B4" w:rsidP="004F29B4">
            <w:pPr>
              <w:jc w:val="right"/>
              <w:rPr>
                <w:color w:val="262626"/>
                <w:sz w:val="20"/>
                <w:szCs w:val="20"/>
                <w:lang w:eastAsia="ja-JP"/>
              </w:rPr>
            </w:pPr>
            <w:r w:rsidRPr="004F29B4">
              <w:rPr>
                <w:color w:val="262626"/>
                <w:sz w:val="20"/>
                <w:szCs w:val="20"/>
                <w:lang w:eastAsia="ja-JP"/>
              </w:rPr>
              <w:t>1,5</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5329C843" w14:textId="77777777" w:rsidR="004F29B4" w:rsidRPr="004F29B4" w:rsidRDefault="004F29B4" w:rsidP="004F29B4">
            <w:pPr>
              <w:jc w:val="right"/>
              <w:rPr>
                <w:color w:val="262626"/>
                <w:sz w:val="20"/>
                <w:szCs w:val="20"/>
                <w:lang w:eastAsia="ja-JP"/>
              </w:rPr>
            </w:pPr>
            <w:r w:rsidRPr="004F29B4">
              <w:rPr>
                <w:color w:val="262626"/>
                <w:sz w:val="20"/>
                <w:szCs w:val="20"/>
                <w:lang w:eastAsia="ja-JP"/>
              </w:rPr>
              <w:t>1,9</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04F4A01D" w14:textId="77777777" w:rsidR="004F29B4" w:rsidRPr="004F29B4" w:rsidRDefault="004F29B4" w:rsidP="004F29B4">
            <w:pPr>
              <w:jc w:val="right"/>
              <w:rPr>
                <w:color w:val="262626"/>
                <w:sz w:val="20"/>
                <w:szCs w:val="20"/>
                <w:lang w:eastAsia="ja-JP"/>
              </w:rPr>
            </w:pPr>
            <w:r w:rsidRPr="004F29B4">
              <w:rPr>
                <w:color w:val="262626"/>
                <w:sz w:val="20"/>
                <w:szCs w:val="20"/>
                <w:lang w:eastAsia="ja-JP"/>
              </w:rPr>
              <w:t>2,2</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37AF2FFC" w14:textId="77777777" w:rsidR="004F29B4" w:rsidRPr="004F29B4" w:rsidRDefault="004F29B4" w:rsidP="004F29B4">
            <w:pPr>
              <w:jc w:val="right"/>
              <w:rPr>
                <w:color w:val="262626"/>
                <w:sz w:val="20"/>
                <w:szCs w:val="20"/>
                <w:lang w:eastAsia="ja-JP"/>
              </w:rPr>
            </w:pPr>
            <w:r w:rsidRPr="004F29B4">
              <w:rPr>
                <w:color w:val="262626"/>
                <w:sz w:val="20"/>
                <w:szCs w:val="20"/>
                <w:lang w:eastAsia="ja-JP"/>
              </w:rPr>
              <w:t>2,5</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56D099E8" w14:textId="77777777" w:rsidR="004F29B4" w:rsidRPr="004F29B4" w:rsidRDefault="004F29B4" w:rsidP="004F29B4">
            <w:pPr>
              <w:jc w:val="right"/>
              <w:rPr>
                <w:color w:val="262626"/>
                <w:sz w:val="20"/>
                <w:szCs w:val="20"/>
                <w:lang w:eastAsia="ja-JP"/>
              </w:rPr>
            </w:pPr>
            <w:r w:rsidRPr="004F29B4">
              <w:rPr>
                <w:color w:val="262626"/>
                <w:sz w:val="20"/>
                <w:szCs w:val="20"/>
                <w:lang w:eastAsia="ja-JP"/>
              </w:rPr>
              <w:t>2,7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BAD3E70" w14:textId="77777777" w:rsidR="004F29B4" w:rsidRPr="004F29B4" w:rsidRDefault="004F29B4" w:rsidP="004F29B4">
            <w:pPr>
              <w:jc w:val="right"/>
              <w:rPr>
                <w:color w:val="262626"/>
                <w:sz w:val="20"/>
                <w:szCs w:val="20"/>
                <w:lang w:eastAsia="ja-JP"/>
              </w:rPr>
            </w:pPr>
            <w:r w:rsidRPr="004F29B4">
              <w:rPr>
                <w:color w:val="262626"/>
                <w:sz w:val="20"/>
                <w:szCs w:val="20"/>
                <w:lang w:eastAsia="ja-JP"/>
              </w:rPr>
              <w:t>3,1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60410A67" w14:textId="77777777" w:rsidR="004F29B4" w:rsidRPr="004F29B4" w:rsidRDefault="004F29B4" w:rsidP="004F29B4">
            <w:pPr>
              <w:jc w:val="right"/>
              <w:rPr>
                <w:color w:val="262626"/>
                <w:sz w:val="20"/>
                <w:szCs w:val="20"/>
                <w:lang w:eastAsia="ja-JP"/>
              </w:rPr>
            </w:pPr>
            <w:r w:rsidRPr="004F29B4">
              <w:rPr>
                <w:color w:val="262626"/>
                <w:sz w:val="20"/>
                <w:szCs w:val="20"/>
                <w:lang w:eastAsia="ja-JP"/>
              </w:rPr>
              <w:t>3,6</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3A3908B4" w14:textId="77777777" w:rsidR="004F29B4" w:rsidRPr="004F29B4" w:rsidRDefault="004F29B4" w:rsidP="004F29B4">
            <w:pPr>
              <w:jc w:val="right"/>
              <w:rPr>
                <w:color w:val="262626"/>
                <w:sz w:val="20"/>
                <w:szCs w:val="20"/>
                <w:lang w:eastAsia="ja-JP"/>
              </w:rPr>
            </w:pPr>
            <w:r w:rsidRPr="004F29B4">
              <w:rPr>
                <w:color w:val="262626"/>
                <w:sz w:val="20"/>
                <w:szCs w:val="20"/>
                <w:lang w:eastAsia="ja-JP"/>
              </w:rPr>
              <w:t>4,0</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390FC1D3" w14:textId="77777777" w:rsidR="004F29B4" w:rsidRPr="004F29B4" w:rsidRDefault="004F29B4" w:rsidP="004F29B4">
            <w:pPr>
              <w:jc w:val="right"/>
              <w:rPr>
                <w:color w:val="262626"/>
                <w:sz w:val="20"/>
                <w:szCs w:val="20"/>
                <w:lang w:eastAsia="ja-JP"/>
              </w:rPr>
            </w:pPr>
            <w:r w:rsidRPr="004F29B4">
              <w:rPr>
                <w:color w:val="262626"/>
                <w:sz w:val="20"/>
                <w:szCs w:val="20"/>
                <w:lang w:eastAsia="ja-JP"/>
              </w:rPr>
              <w:t>4,0</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2C8B8CBA" w14:textId="77777777" w:rsidR="004F29B4" w:rsidRPr="004F29B4" w:rsidRDefault="004F29B4" w:rsidP="004F29B4">
            <w:pPr>
              <w:jc w:val="right"/>
              <w:rPr>
                <w:color w:val="262626"/>
                <w:sz w:val="20"/>
                <w:szCs w:val="20"/>
                <w:lang w:eastAsia="ja-JP"/>
              </w:rPr>
            </w:pPr>
            <w:r w:rsidRPr="004F29B4">
              <w:rPr>
                <w:color w:val="262626"/>
                <w:sz w:val="20"/>
                <w:szCs w:val="20"/>
                <w:lang w:eastAsia="ja-JP"/>
              </w:rPr>
              <w:t>4,1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0A28395" w14:textId="77777777" w:rsidR="004F29B4" w:rsidRPr="004F29B4" w:rsidRDefault="004F29B4" w:rsidP="004F29B4">
            <w:pPr>
              <w:jc w:val="right"/>
              <w:rPr>
                <w:color w:val="262626"/>
                <w:sz w:val="20"/>
                <w:szCs w:val="20"/>
                <w:lang w:eastAsia="ja-JP"/>
              </w:rPr>
            </w:pPr>
            <w:r w:rsidRPr="004F29B4">
              <w:rPr>
                <w:color w:val="262626"/>
                <w:sz w:val="20"/>
                <w:szCs w:val="20"/>
                <w:lang w:eastAsia="ja-JP"/>
              </w:rPr>
              <w:t>4,7</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759E8D98" w14:textId="77777777" w:rsidR="004F29B4" w:rsidRPr="004F29B4" w:rsidRDefault="004F29B4" w:rsidP="004F29B4">
            <w:pPr>
              <w:jc w:val="right"/>
              <w:rPr>
                <w:color w:val="262626"/>
                <w:sz w:val="20"/>
                <w:szCs w:val="20"/>
                <w:lang w:eastAsia="ja-JP"/>
              </w:rPr>
            </w:pPr>
            <w:r w:rsidRPr="004F29B4">
              <w:rPr>
                <w:color w:val="262626"/>
                <w:sz w:val="20"/>
                <w:szCs w:val="20"/>
                <w:lang w:eastAsia="ja-JP"/>
              </w:rPr>
              <w:t>4,6</w:t>
            </w:r>
          </w:p>
        </w:tc>
      </w:tr>
      <w:tr w:rsidR="004F29B4" w:rsidRPr="004F29B4" w14:paraId="722DEFEA" w14:textId="77777777" w:rsidTr="004F29B4">
        <w:trPr>
          <w:trHeight w:val="211"/>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tcPr>
          <w:p w14:paraId="5EACAA01" w14:textId="77777777" w:rsidR="004F29B4" w:rsidRPr="004F29B4" w:rsidRDefault="004F29B4" w:rsidP="004F29B4">
            <w:pPr>
              <w:keepLines/>
              <w:jc w:val="both"/>
              <w:rPr>
                <w:snapToGrid w:val="0"/>
                <w:color w:val="262626"/>
                <w:sz w:val="20"/>
              </w:rPr>
            </w:pPr>
            <w:r w:rsidRPr="004F29B4">
              <w:rPr>
                <w:color w:val="262626"/>
                <w:sz w:val="20"/>
              </w:rPr>
              <w:t>Нехр. стоки (без енергия)</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2102DA8E" w14:textId="77777777" w:rsidR="004F29B4" w:rsidRPr="004F29B4" w:rsidRDefault="004F29B4" w:rsidP="004F29B4">
            <w:pPr>
              <w:jc w:val="right"/>
              <w:rPr>
                <w:color w:val="262626"/>
                <w:sz w:val="20"/>
                <w:szCs w:val="20"/>
                <w:lang w:eastAsia="ja-JP"/>
              </w:rPr>
            </w:pPr>
            <w:r w:rsidRPr="004F29B4">
              <w:rPr>
                <w:color w:val="262626"/>
                <w:sz w:val="20"/>
                <w:szCs w:val="20"/>
                <w:lang w:eastAsia="ja-JP"/>
              </w:rPr>
              <w:t>3,8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5874C89" w14:textId="77777777" w:rsidR="004F29B4" w:rsidRPr="004F29B4" w:rsidRDefault="004F29B4" w:rsidP="004F29B4">
            <w:pPr>
              <w:jc w:val="right"/>
              <w:rPr>
                <w:color w:val="262626"/>
                <w:sz w:val="20"/>
                <w:szCs w:val="20"/>
                <w:lang w:eastAsia="ja-JP"/>
              </w:rPr>
            </w:pPr>
            <w:r w:rsidRPr="004F29B4">
              <w:rPr>
                <w:color w:val="262626"/>
                <w:sz w:val="20"/>
                <w:szCs w:val="20"/>
                <w:lang w:eastAsia="ja-JP"/>
              </w:rPr>
              <w:t>4,3</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328FDA2B" w14:textId="77777777" w:rsidR="004F29B4" w:rsidRPr="004F29B4" w:rsidRDefault="004F29B4" w:rsidP="004F29B4">
            <w:pPr>
              <w:jc w:val="right"/>
              <w:rPr>
                <w:color w:val="262626"/>
                <w:sz w:val="20"/>
                <w:szCs w:val="20"/>
                <w:lang w:eastAsia="ja-JP"/>
              </w:rPr>
            </w:pPr>
            <w:r w:rsidRPr="004F29B4">
              <w:rPr>
                <w:color w:val="262626"/>
                <w:sz w:val="20"/>
                <w:szCs w:val="20"/>
                <w:lang w:eastAsia="ja-JP"/>
              </w:rPr>
              <w:t>5,1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53B17884" w14:textId="77777777" w:rsidR="004F29B4" w:rsidRPr="004F29B4" w:rsidRDefault="004F29B4" w:rsidP="004F29B4">
            <w:pPr>
              <w:jc w:val="right"/>
              <w:rPr>
                <w:color w:val="262626"/>
                <w:sz w:val="20"/>
                <w:szCs w:val="20"/>
                <w:lang w:eastAsia="ja-JP"/>
              </w:rPr>
            </w:pPr>
            <w:r w:rsidRPr="004F29B4">
              <w:rPr>
                <w:color w:val="262626"/>
                <w:sz w:val="20"/>
                <w:szCs w:val="20"/>
                <w:lang w:eastAsia="ja-JP"/>
              </w:rPr>
              <w:t>5,7</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5A693213" w14:textId="77777777" w:rsidR="004F29B4" w:rsidRPr="004F29B4" w:rsidRDefault="004F29B4" w:rsidP="004F29B4">
            <w:pPr>
              <w:jc w:val="right"/>
              <w:rPr>
                <w:color w:val="262626"/>
                <w:sz w:val="20"/>
                <w:szCs w:val="20"/>
                <w:lang w:eastAsia="ja-JP"/>
              </w:rPr>
            </w:pPr>
            <w:r w:rsidRPr="004F29B4">
              <w:rPr>
                <w:color w:val="262626"/>
                <w:sz w:val="20"/>
                <w:szCs w:val="20"/>
                <w:lang w:eastAsia="ja-JP"/>
              </w:rPr>
              <w:t>6,1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0B2DFBE" w14:textId="77777777" w:rsidR="004F29B4" w:rsidRPr="004F29B4" w:rsidRDefault="004F29B4" w:rsidP="004F29B4">
            <w:pPr>
              <w:jc w:val="right"/>
              <w:rPr>
                <w:color w:val="262626"/>
                <w:sz w:val="20"/>
                <w:szCs w:val="20"/>
                <w:lang w:eastAsia="ja-JP"/>
              </w:rPr>
            </w:pPr>
            <w:r w:rsidRPr="004F29B4">
              <w:rPr>
                <w:color w:val="262626"/>
                <w:sz w:val="20"/>
                <w:szCs w:val="20"/>
                <w:lang w:eastAsia="ja-JP"/>
              </w:rPr>
              <w:t>6,7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393E3186" w14:textId="77777777" w:rsidR="004F29B4" w:rsidRPr="004F29B4" w:rsidRDefault="004F29B4" w:rsidP="004F29B4">
            <w:pPr>
              <w:jc w:val="right"/>
              <w:rPr>
                <w:color w:val="262626"/>
                <w:sz w:val="20"/>
                <w:szCs w:val="20"/>
                <w:lang w:eastAsia="ja-JP"/>
              </w:rPr>
            </w:pPr>
            <w:r w:rsidRPr="004F29B4">
              <w:rPr>
                <w:color w:val="262626"/>
                <w:sz w:val="20"/>
                <w:szCs w:val="20"/>
                <w:lang w:eastAsia="ja-JP"/>
              </w:rPr>
              <w:t>7,1</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21FEAFAF" w14:textId="77777777" w:rsidR="004F29B4" w:rsidRPr="004F29B4" w:rsidRDefault="004F29B4" w:rsidP="004F29B4">
            <w:pPr>
              <w:jc w:val="right"/>
              <w:rPr>
                <w:color w:val="262626"/>
                <w:sz w:val="20"/>
                <w:szCs w:val="20"/>
                <w:lang w:eastAsia="ja-JP"/>
              </w:rPr>
            </w:pPr>
            <w:r w:rsidRPr="004F29B4">
              <w:rPr>
                <w:color w:val="262626"/>
                <w:sz w:val="20"/>
                <w:szCs w:val="20"/>
                <w:lang w:eastAsia="ja-JP"/>
              </w:rPr>
              <w:t>8,1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42A6836C" w14:textId="77777777" w:rsidR="004F29B4" w:rsidRPr="004F29B4" w:rsidRDefault="004F29B4" w:rsidP="004F29B4">
            <w:pPr>
              <w:jc w:val="right"/>
              <w:rPr>
                <w:color w:val="262626"/>
                <w:sz w:val="20"/>
                <w:szCs w:val="20"/>
                <w:lang w:eastAsia="ja-JP"/>
              </w:rPr>
            </w:pPr>
            <w:r w:rsidRPr="004F29B4">
              <w:rPr>
                <w:color w:val="262626"/>
                <w:sz w:val="20"/>
                <w:szCs w:val="20"/>
                <w:lang w:eastAsia="ja-JP"/>
              </w:rPr>
              <w:t>8,9</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090C9E94" w14:textId="77777777" w:rsidR="004F29B4" w:rsidRPr="004F29B4" w:rsidRDefault="004F29B4" w:rsidP="004F29B4">
            <w:pPr>
              <w:jc w:val="right"/>
              <w:rPr>
                <w:color w:val="262626"/>
                <w:sz w:val="20"/>
                <w:szCs w:val="20"/>
                <w:lang w:eastAsia="ja-JP"/>
              </w:rPr>
            </w:pPr>
            <w:r w:rsidRPr="004F29B4">
              <w:rPr>
                <w:color w:val="262626"/>
                <w:sz w:val="20"/>
                <w:szCs w:val="20"/>
                <w:lang w:eastAsia="ja-JP"/>
              </w:rPr>
              <w:t>9,3</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442C4D29" w14:textId="77777777" w:rsidR="004F29B4" w:rsidRPr="004F29B4" w:rsidRDefault="004F29B4" w:rsidP="004F29B4">
            <w:pPr>
              <w:jc w:val="right"/>
              <w:rPr>
                <w:color w:val="262626"/>
                <w:sz w:val="20"/>
                <w:szCs w:val="20"/>
                <w:lang w:eastAsia="ja-JP"/>
              </w:rPr>
            </w:pPr>
            <w:r w:rsidRPr="004F29B4">
              <w:rPr>
                <w:color w:val="262626"/>
                <w:sz w:val="20"/>
                <w:szCs w:val="20"/>
                <w:lang w:eastAsia="ja-JP"/>
              </w:rPr>
              <w:t>9,5</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7298FCFA" w14:textId="77777777" w:rsidR="004F29B4" w:rsidRPr="004F29B4" w:rsidRDefault="004F29B4" w:rsidP="004F29B4">
            <w:pPr>
              <w:jc w:val="right"/>
              <w:rPr>
                <w:color w:val="262626"/>
                <w:sz w:val="20"/>
                <w:szCs w:val="20"/>
                <w:lang w:eastAsia="ja-JP"/>
              </w:rPr>
            </w:pPr>
            <w:r w:rsidRPr="004F29B4">
              <w:rPr>
                <w:color w:val="262626"/>
                <w:sz w:val="20"/>
                <w:szCs w:val="20"/>
                <w:lang w:eastAsia="ja-JP"/>
              </w:rPr>
              <w:t>10,2</w:t>
            </w:r>
          </w:p>
        </w:tc>
      </w:tr>
      <w:tr w:rsidR="004F29B4" w:rsidRPr="004F29B4" w14:paraId="2C54D357" w14:textId="77777777" w:rsidTr="004F29B4">
        <w:trPr>
          <w:trHeight w:val="124"/>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tcPr>
          <w:p w14:paraId="6759CFD4" w14:textId="77777777" w:rsidR="004F29B4" w:rsidRPr="004F29B4" w:rsidRDefault="004F29B4" w:rsidP="004F29B4">
            <w:pPr>
              <w:keepLines/>
              <w:jc w:val="both"/>
              <w:rPr>
                <w:snapToGrid w:val="0"/>
                <w:color w:val="262626"/>
                <w:sz w:val="20"/>
              </w:rPr>
            </w:pPr>
            <w:r w:rsidRPr="004F29B4">
              <w:rPr>
                <w:color w:val="262626"/>
                <w:sz w:val="20"/>
              </w:rPr>
              <w:t>Енергийни стоки</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7B86E08A" w14:textId="77777777" w:rsidR="004F29B4" w:rsidRPr="004F29B4" w:rsidRDefault="004F29B4" w:rsidP="004F29B4">
            <w:pPr>
              <w:jc w:val="right"/>
              <w:rPr>
                <w:color w:val="262626"/>
                <w:sz w:val="20"/>
                <w:szCs w:val="20"/>
                <w:lang w:eastAsia="ja-JP"/>
              </w:rPr>
            </w:pPr>
            <w:r w:rsidRPr="004F29B4">
              <w:rPr>
                <w:color w:val="262626"/>
                <w:sz w:val="20"/>
                <w:szCs w:val="20"/>
                <w:lang w:eastAsia="ja-JP"/>
              </w:rPr>
              <w:t>24,7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060F6E3" w14:textId="77777777" w:rsidR="004F29B4" w:rsidRPr="004F29B4" w:rsidRDefault="004F29B4" w:rsidP="004F29B4">
            <w:pPr>
              <w:jc w:val="right"/>
              <w:rPr>
                <w:color w:val="262626"/>
                <w:sz w:val="20"/>
                <w:szCs w:val="20"/>
                <w:lang w:eastAsia="ja-JP"/>
              </w:rPr>
            </w:pPr>
            <w:r w:rsidRPr="004F29B4">
              <w:rPr>
                <w:color w:val="262626"/>
                <w:sz w:val="20"/>
                <w:szCs w:val="20"/>
                <w:lang w:eastAsia="ja-JP"/>
              </w:rPr>
              <w:t>23,0</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22EC138C" w14:textId="77777777" w:rsidR="004F29B4" w:rsidRPr="004F29B4" w:rsidRDefault="004F29B4" w:rsidP="004F29B4">
            <w:pPr>
              <w:jc w:val="right"/>
              <w:rPr>
                <w:color w:val="262626"/>
                <w:sz w:val="20"/>
                <w:szCs w:val="20"/>
                <w:lang w:eastAsia="ja-JP"/>
              </w:rPr>
            </w:pPr>
            <w:r w:rsidRPr="004F29B4">
              <w:rPr>
                <w:color w:val="262626"/>
                <w:sz w:val="20"/>
                <w:szCs w:val="20"/>
                <w:lang w:eastAsia="ja-JP"/>
              </w:rPr>
              <w:t>27,8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55B6945D" w14:textId="77777777" w:rsidR="004F29B4" w:rsidRPr="004F29B4" w:rsidRDefault="004F29B4" w:rsidP="004F29B4">
            <w:pPr>
              <w:jc w:val="right"/>
              <w:rPr>
                <w:color w:val="262626"/>
                <w:sz w:val="20"/>
                <w:szCs w:val="20"/>
                <w:lang w:eastAsia="ja-JP"/>
              </w:rPr>
            </w:pPr>
            <w:r w:rsidRPr="004F29B4">
              <w:rPr>
                <w:color w:val="262626"/>
                <w:sz w:val="20"/>
                <w:szCs w:val="20"/>
                <w:lang w:eastAsia="ja-JP"/>
              </w:rPr>
              <w:t>30,0</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586685FB" w14:textId="77777777" w:rsidR="004F29B4" w:rsidRPr="004F29B4" w:rsidRDefault="004F29B4" w:rsidP="004F29B4">
            <w:pPr>
              <w:jc w:val="right"/>
              <w:rPr>
                <w:color w:val="262626"/>
                <w:sz w:val="20"/>
                <w:szCs w:val="20"/>
                <w:lang w:eastAsia="ja-JP"/>
              </w:rPr>
            </w:pPr>
            <w:r w:rsidRPr="004F29B4">
              <w:rPr>
                <w:color w:val="262626"/>
                <w:sz w:val="20"/>
                <w:szCs w:val="20"/>
                <w:lang w:eastAsia="ja-JP"/>
              </w:rPr>
              <w:t>34,1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702ED1FC" w14:textId="77777777" w:rsidR="004F29B4" w:rsidRPr="004F29B4" w:rsidRDefault="004F29B4" w:rsidP="004F29B4">
            <w:pPr>
              <w:jc w:val="right"/>
              <w:rPr>
                <w:color w:val="262626"/>
                <w:sz w:val="20"/>
                <w:szCs w:val="20"/>
                <w:lang w:eastAsia="ja-JP"/>
              </w:rPr>
            </w:pPr>
            <w:r w:rsidRPr="004F29B4">
              <w:rPr>
                <w:color w:val="262626"/>
                <w:sz w:val="20"/>
                <w:szCs w:val="20"/>
                <w:lang w:eastAsia="ja-JP"/>
              </w:rPr>
              <w:t>37,5</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4F3AAEA7" w14:textId="77777777" w:rsidR="004F29B4" w:rsidRPr="004F29B4" w:rsidRDefault="004F29B4" w:rsidP="004F29B4">
            <w:pPr>
              <w:jc w:val="right"/>
              <w:rPr>
                <w:color w:val="262626"/>
                <w:sz w:val="20"/>
                <w:szCs w:val="20"/>
                <w:lang w:eastAsia="ja-JP"/>
              </w:rPr>
            </w:pPr>
            <w:r w:rsidRPr="004F29B4">
              <w:rPr>
                <w:color w:val="262626"/>
                <w:sz w:val="20"/>
                <w:szCs w:val="20"/>
                <w:lang w:eastAsia="ja-JP"/>
              </w:rPr>
              <w:t>34,1</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194B0B1F" w14:textId="77777777" w:rsidR="004F29B4" w:rsidRPr="004F29B4" w:rsidRDefault="004F29B4" w:rsidP="004F29B4">
            <w:pPr>
              <w:jc w:val="right"/>
              <w:rPr>
                <w:color w:val="262626"/>
                <w:sz w:val="20"/>
                <w:szCs w:val="20"/>
                <w:lang w:eastAsia="ja-JP"/>
              </w:rPr>
            </w:pPr>
            <w:r w:rsidRPr="004F29B4">
              <w:rPr>
                <w:color w:val="262626"/>
                <w:sz w:val="20"/>
                <w:szCs w:val="20"/>
                <w:lang w:eastAsia="ja-JP"/>
              </w:rPr>
              <w:t>32,0</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6EF65E8E" w14:textId="77777777" w:rsidR="004F29B4" w:rsidRPr="004F29B4" w:rsidRDefault="004F29B4" w:rsidP="004F29B4">
            <w:pPr>
              <w:jc w:val="right"/>
              <w:rPr>
                <w:color w:val="262626"/>
                <w:sz w:val="20"/>
                <w:szCs w:val="20"/>
                <w:lang w:eastAsia="ja-JP"/>
              </w:rPr>
            </w:pPr>
            <w:r w:rsidRPr="004F29B4">
              <w:rPr>
                <w:color w:val="262626"/>
                <w:sz w:val="20"/>
                <w:szCs w:val="20"/>
                <w:lang w:eastAsia="ja-JP"/>
              </w:rPr>
              <w:t>32,1</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7C96538F" w14:textId="77777777" w:rsidR="004F29B4" w:rsidRPr="004F29B4" w:rsidRDefault="004F29B4" w:rsidP="004F29B4">
            <w:pPr>
              <w:jc w:val="right"/>
              <w:rPr>
                <w:color w:val="262626"/>
                <w:sz w:val="20"/>
                <w:szCs w:val="20"/>
                <w:lang w:eastAsia="ja-JP"/>
              </w:rPr>
            </w:pPr>
            <w:r w:rsidRPr="004F29B4">
              <w:rPr>
                <w:color w:val="262626"/>
                <w:sz w:val="20"/>
                <w:szCs w:val="20"/>
                <w:lang w:eastAsia="ja-JP"/>
              </w:rPr>
              <w:t>22,1</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2E109D65" w14:textId="77777777" w:rsidR="004F29B4" w:rsidRPr="004F29B4" w:rsidRDefault="004F29B4" w:rsidP="004F29B4">
            <w:pPr>
              <w:jc w:val="right"/>
              <w:rPr>
                <w:color w:val="262626"/>
                <w:sz w:val="20"/>
                <w:szCs w:val="20"/>
                <w:lang w:eastAsia="ja-JP"/>
              </w:rPr>
            </w:pPr>
            <w:r w:rsidRPr="004F29B4">
              <w:rPr>
                <w:color w:val="262626"/>
                <w:sz w:val="20"/>
                <w:szCs w:val="20"/>
                <w:lang w:eastAsia="ja-JP"/>
              </w:rPr>
              <w:t>15,2</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4E72FCB0" w14:textId="77777777" w:rsidR="004F29B4" w:rsidRPr="004F29B4" w:rsidRDefault="004F29B4" w:rsidP="004F29B4">
            <w:pPr>
              <w:jc w:val="right"/>
              <w:rPr>
                <w:color w:val="262626"/>
                <w:sz w:val="20"/>
                <w:szCs w:val="20"/>
                <w:lang w:eastAsia="ja-JP"/>
              </w:rPr>
            </w:pPr>
            <w:r w:rsidRPr="004F29B4">
              <w:rPr>
                <w:color w:val="262626"/>
                <w:sz w:val="20"/>
                <w:szCs w:val="20"/>
                <w:lang w:eastAsia="ja-JP"/>
              </w:rPr>
              <w:t>12,7</w:t>
            </w:r>
          </w:p>
        </w:tc>
      </w:tr>
      <w:tr w:rsidR="004F29B4" w:rsidRPr="004F29B4" w14:paraId="17DA4162" w14:textId="77777777" w:rsidTr="004F29B4">
        <w:trPr>
          <w:trHeight w:val="193"/>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tcPr>
          <w:p w14:paraId="4D3C7D8E" w14:textId="77777777" w:rsidR="004F29B4" w:rsidRPr="004F29B4" w:rsidRDefault="004F29B4" w:rsidP="004F29B4">
            <w:pPr>
              <w:keepLines/>
              <w:jc w:val="both"/>
              <w:rPr>
                <w:snapToGrid w:val="0"/>
                <w:color w:val="262626"/>
                <w:sz w:val="20"/>
              </w:rPr>
            </w:pPr>
            <w:r w:rsidRPr="004F29B4">
              <w:rPr>
                <w:color w:val="262626"/>
                <w:sz w:val="20"/>
              </w:rPr>
              <w:t>Услуги</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24A99F55" w14:textId="77777777" w:rsidR="004F29B4" w:rsidRPr="004F29B4" w:rsidRDefault="004F29B4" w:rsidP="004F29B4">
            <w:pPr>
              <w:jc w:val="right"/>
              <w:rPr>
                <w:color w:val="262626"/>
                <w:sz w:val="20"/>
                <w:szCs w:val="20"/>
                <w:lang w:eastAsia="ja-JP"/>
              </w:rPr>
            </w:pPr>
            <w:r w:rsidRPr="004F29B4">
              <w:rPr>
                <w:color w:val="262626"/>
                <w:sz w:val="20"/>
                <w:szCs w:val="20"/>
                <w:lang w:eastAsia="ja-JP"/>
              </w:rPr>
              <w:t>3,5</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A524531" w14:textId="77777777" w:rsidR="004F29B4" w:rsidRPr="004F29B4" w:rsidRDefault="004F29B4" w:rsidP="004F29B4">
            <w:pPr>
              <w:jc w:val="right"/>
              <w:rPr>
                <w:color w:val="262626"/>
                <w:sz w:val="20"/>
                <w:szCs w:val="20"/>
                <w:lang w:eastAsia="ja-JP"/>
              </w:rPr>
            </w:pPr>
            <w:r w:rsidRPr="004F29B4">
              <w:rPr>
                <w:color w:val="262626"/>
                <w:sz w:val="20"/>
                <w:szCs w:val="20"/>
                <w:lang w:eastAsia="ja-JP"/>
              </w:rPr>
              <w:t>3,9</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61351CF3" w14:textId="77777777" w:rsidR="004F29B4" w:rsidRPr="004F29B4" w:rsidRDefault="004F29B4" w:rsidP="004F29B4">
            <w:pPr>
              <w:jc w:val="right"/>
              <w:rPr>
                <w:color w:val="262626"/>
                <w:sz w:val="20"/>
                <w:szCs w:val="20"/>
                <w:lang w:eastAsia="ja-JP"/>
              </w:rPr>
            </w:pPr>
            <w:r w:rsidRPr="004F29B4">
              <w:rPr>
                <w:color w:val="262626"/>
                <w:sz w:val="20"/>
                <w:szCs w:val="20"/>
                <w:lang w:eastAsia="ja-JP"/>
              </w:rPr>
              <w:t>5,6</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4DA4804D" w14:textId="77777777" w:rsidR="004F29B4" w:rsidRPr="004F29B4" w:rsidRDefault="004F29B4" w:rsidP="004F29B4">
            <w:pPr>
              <w:jc w:val="right"/>
              <w:rPr>
                <w:color w:val="262626"/>
                <w:sz w:val="20"/>
                <w:szCs w:val="20"/>
                <w:lang w:eastAsia="ja-JP"/>
              </w:rPr>
            </w:pPr>
            <w:r w:rsidRPr="004F29B4">
              <w:rPr>
                <w:color w:val="262626"/>
                <w:sz w:val="20"/>
                <w:szCs w:val="20"/>
                <w:lang w:eastAsia="ja-JP"/>
              </w:rPr>
              <w:t>6,5</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3ADAE4A3" w14:textId="77777777" w:rsidR="004F29B4" w:rsidRPr="004F29B4" w:rsidRDefault="004F29B4" w:rsidP="004F29B4">
            <w:pPr>
              <w:jc w:val="right"/>
              <w:rPr>
                <w:color w:val="262626"/>
                <w:sz w:val="20"/>
                <w:szCs w:val="20"/>
                <w:lang w:eastAsia="ja-JP"/>
              </w:rPr>
            </w:pPr>
            <w:r w:rsidRPr="004F29B4">
              <w:rPr>
                <w:color w:val="262626"/>
                <w:sz w:val="20"/>
                <w:szCs w:val="20"/>
                <w:lang w:eastAsia="ja-JP"/>
              </w:rPr>
              <w:t>7,4</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7A8212CF" w14:textId="77777777" w:rsidR="004F29B4" w:rsidRPr="004F29B4" w:rsidRDefault="004F29B4" w:rsidP="004F29B4">
            <w:pPr>
              <w:jc w:val="right"/>
              <w:rPr>
                <w:color w:val="262626"/>
                <w:sz w:val="20"/>
                <w:szCs w:val="20"/>
                <w:lang w:eastAsia="ja-JP"/>
              </w:rPr>
            </w:pPr>
            <w:r w:rsidRPr="004F29B4">
              <w:rPr>
                <w:color w:val="262626"/>
                <w:sz w:val="20"/>
                <w:szCs w:val="20"/>
                <w:lang w:eastAsia="ja-JP"/>
              </w:rPr>
              <w:t>8,8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6B1887FB" w14:textId="77777777" w:rsidR="004F29B4" w:rsidRPr="004F29B4" w:rsidRDefault="004F29B4" w:rsidP="004F29B4">
            <w:pPr>
              <w:jc w:val="right"/>
              <w:rPr>
                <w:color w:val="262626"/>
                <w:sz w:val="20"/>
                <w:szCs w:val="20"/>
                <w:lang w:eastAsia="ja-JP"/>
              </w:rPr>
            </w:pPr>
            <w:r w:rsidRPr="004F29B4">
              <w:rPr>
                <w:color w:val="262626"/>
                <w:sz w:val="20"/>
                <w:szCs w:val="20"/>
                <w:lang w:eastAsia="ja-JP"/>
              </w:rPr>
              <w:t>9,7</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2725A0E5" w14:textId="77777777" w:rsidR="004F29B4" w:rsidRPr="004F29B4" w:rsidRDefault="004F29B4" w:rsidP="004F29B4">
            <w:pPr>
              <w:jc w:val="right"/>
              <w:rPr>
                <w:color w:val="262626"/>
                <w:sz w:val="20"/>
                <w:szCs w:val="20"/>
                <w:lang w:eastAsia="ja-JP"/>
              </w:rPr>
            </w:pPr>
            <w:r w:rsidRPr="004F29B4">
              <w:rPr>
                <w:color w:val="262626"/>
                <w:sz w:val="20"/>
                <w:szCs w:val="20"/>
                <w:lang w:eastAsia="ja-JP"/>
              </w:rPr>
              <w:t>9,7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699A3CA4" w14:textId="77777777" w:rsidR="004F29B4" w:rsidRPr="004F29B4" w:rsidRDefault="004F29B4" w:rsidP="004F29B4">
            <w:pPr>
              <w:jc w:val="right"/>
              <w:rPr>
                <w:color w:val="262626"/>
                <w:sz w:val="20"/>
                <w:szCs w:val="20"/>
                <w:lang w:eastAsia="ja-JP"/>
              </w:rPr>
            </w:pPr>
            <w:r w:rsidRPr="004F29B4">
              <w:rPr>
                <w:color w:val="262626"/>
                <w:sz w:val="20"/>
                <w:szCs w:val="20"/>
                <w:lang w:eastAsia="ja-JP"/>
              </w:rPr>
              <w:t>10,0</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5D155C68" w14:textId="77777777" w:rsidR="004F29B4" w:rsidRPr="004F29B4" w:rsidRDefault="004F29B4" w:rsidP="004F29B4">
            <w:pPr>
              <w:jc w:val="right"/>
              <w:rPr>
                <w:color w:val="262626"/>
                <w:sz w:val="20"/>
                <w:szCs w:val="20"/>
                <w:lang w:eastAsia="ja-JP"/>
              </w:rPr>
            </w:pPr>
            <w:r w:rsidRPr="004F29B4">
              <w:rPr>
                <w:color w:val="262626"/>
                <w:sz w:val="20"/>
                <w:szCs w:val="20"/>
                <w:lang w:eastAsia="ja-JP"/>
              </w:rPr>
              <w:t>10,2</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1786F327" w14:textId="77777777" w:rsidR="004F29B4" w:rsidRPr="004F29B4" w:rsidRDefault="004F29B4" w:rsidP="004F29B4">
            <w:pPr>
              <w:jc w:val="right"/>
              <w:rPr>
                <w:color w:val="262626"/>
                <w:sz w:val="20"/>
                <w:szCs w:val="20"/>
                <w:lang w:eastAsia="ja-JP"/>
              </w:rPr>
            </w:pPr>
            <w:r w:rsidRPr="004F29B4">
              <w:rPr>
                <w:color w:val="262626"/>
                <w:sz w:val="20"/>
                <w:szCs w:val="20"/>
                <w:lang w:eastAsia="ja-JP"/>
              </w:rPr>
              <w:t>11,2</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2F2ACBD4" w14:textId="77777777" w:rsidR="004F29B4" w:rsidRPr="004F29B4" w:rsidRDefault="004F29B4" w:rsidP="004F29B4">
            <w:pPr>
              <w:jc w:val="right"/>
              <w:rPr>
                <w:color w:val="262626"/>
                <w:sz w:val="20"/>
                <w:szCs w:val="20"/>
                <w:lang w:eastAsia="ja-JP"/>
              </w:rPr>
            </w:pPr>
            <w:r w:rsidRPr="004F29B4">
              <w:rPr>
                <w:color w:val="262626"/>
                <w:sz w:val="20"/>
                <w:szCs w:val="20"/>
                <w:lang w:eastAsia="ja-JP"/>
              </w:rPr>
              <w:t>12,6</w:t>
            </w:r>
          </w:p>
        </w:tc>
      </w:tr>
      <w:tr w:rsidR="004F29B4" w:rsidRPr="004F29B4" w14:paraId="170D7F61" w14:textId="77777777" w:rsidTr="004F29B4">
        <w:trPr>
          <w:trHeight w:val="193"/>
          <w:jc w:val="center"/>
        </w:trPr>
        <w:tc>
          <w:tcPr>
            <w:tcW w:w="2336" w:type="dxa"/>
            <w:tcBorders>
              <w:top w:val="single" w:sz="4" w:space="0" w:color="C00000"/>
              <w:left w:val="single" w:sz="4" w:space="0" w:color="C00000"/>
              <w:bottom w:val="single" w:sz="4" w:space="0" w:color="C00000"/>
              <w:right w:val="single" w:sz="4" w:space="0" w:color="C00000"/>
            </w:tcBorders>
            <w:shd w:val="clear" w:color="auto" w:fill="FFFFCC"/>
          </w:tcPr>
          <w:p w14:paraId="2B0B1D60" w14:textId="77777777" w:rsidR="004F29B4" w:rsidRPr="004F29B4" w:rsidRDefault="004F29B4" w:rsidP="004F29B4">
            <w:pPr>
              <w:keepLines/>
              <w:jc w:val="both"/>
              <w:rPr>
                <w:i/>
                <w:snapToGrid w:val="0"/>
                <w:color w:val="262626"/>
                <w:sz w:val="20"/>
              </w:rPr>
            </w:pPr>
            <w:r w:rsidRPr="004F29B4">
              <w:rPr>
                <w:i/>
                <w:color w:val="262626"/>
                <w:sz w:val="20"/>
              </w:rPr>
              <w:t>Базисна инфлация</w:t>
            </w:r>
            <w:r w:rsidRPr="004F29B4">
              <w:rPr>
                <w:i/>
                <w:color w:val="262626"/>
                <w:sz w:val="20"/>
                <w:vertAlign w:val="superscript"/>
              </w:rPr>
              <w:footnoteReference w:id="1"/>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6472BE5F" w14:textId="77777777" w:rsidR="004F29B4" w:rsidRPr="004F29B4" w:rsidRDefault="004F29B4" w:rsidP="004F29B4">
            <w:pPr>
              <w:jc w:val="right"/>
              <w:rPr>
                <w:color w:val="262626"/>
                <w:sz w:val="20"/>
                <w:szCs w:val="20"/>
                <w:lang w:eastAsia="ja-JP"/>
              </w:rPr>
            </w:pPr>
            <w:r w:rsidRPr="004F29B4">
              <w:rPr>
                <w:color w:val="262626"/>
                <w:sz w:val="20"/>
                <w:szCs w:val="20"/>
                <w:lang w:eastAsia="ja-JP"/>
              </w:rPr>
              <w:t>3,6</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20FE1BD4" w14:textId="77777777" w:rsidR="004F29B4" w:rsidRPr="004F29B4" w:rsidRDefault="004F29B4" w:rsidP="004F29B4">
            <w:pPr>
              <w:jc w:val="right"/>
              <w:rPr>
                <w:color w:val="262626"/>
                <w:sz w:val="20"/>
                <w:szCs w:val="20"/>
                <w:lang w:eastAsia="ja-JP"/>
              </w:rPr>
            </w:pPr>
            <w:r w:rsidRPr="004F29B4">
              <w:rPr>
                <w:color w:val="262626"/>
                <w:sz w:val="20"/>
                <w:szCs w:val="20"/>
                <w:lang w:eastAsia="ja-JP"/>
              </w:rPr>
              <w:t>4,1</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4F7E5B46" w14:textId="77777777" w:rsidR="004F29B4" w:rsidRPr="004F29B4" w:rsidRDefault="004F29B4" w:rsidP="004F29B4">
            <w:pPr>
              <w:jc w:val="right"/>
              <w:rPr>
                <w:color w:val="262626"/>
                <w:sz w:val="20"/>
                <w:szCs w:val="20"/>
                <w:lang w:eastAsia="ja-JP"/>
              </w:rPr>
            </w:pPr>
            <w:r w:rsidRPr="004F29B4">
              <w:rPr>
                <w:color w:val="262626"/>
                <w:sz w:val="20"/>
                <w:szCs w:val="20"/>
                <w:lang w:eastAsia="ja-JP"/>
              </w:rPr>
              <w:t>5,3</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3D805C4E" w14:textId="77777777" w:rsidR="004F29B4" w:rsidRPr="004F29B4" w:rsidRDefault="004F29B4" w:rsidP="004F29B4">
            <w:pPr>
              <w:jc w:val="right"/>
              <w:rPr>
                <w:color w:val="262626"/>
                <w:sz w:val="20"/>
                <w:szCs w:val="20"/>
                <w:lang w:eastAsia="ja-JP"/>
              </w:rPr>
            </w:pPr>
            <w:r w:rsidRPr="004F29B4">
              <w:rPr>
                <w:color w:val="262626"/>
                <w:sz w:val="20"/>
                <w:szCs w:val="20"/>
                <w:lang w:eastAsia="ja-JP"/>
              </w:rPr>
              <w:t>6,0</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0061E7F1" w14:textId="77777777" w:rsidR="004F29B4" w:rsidRPr="004F29B4" w:rsidRDefault="004F29B4" w:rsidP="004F29B4">
            <w:pPr>
              <w:jc w:val="right"/>
              <w:rPr>
                <w:color w:val="262626"/>
                <w:sz w:val="20"/>
                <w:szCs w:val="20"/>
                <w:lang w:eastAsia="ja-JP"/>
              </w:rPr>
            </w:pPr>
            <w:r w:rsidRPr="004F29B4">
              <w:rPr>
                <w:color w:val="262626"/>
                <w:sz w:val="20"/>
                <w:szCs w:val="20"/>
                <w:lang w:eastAsia="ja-JP"/>
              </w:rPr>
              <w:t>6,7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470BC697" w14:textId="77777777" w:rsidR="004F29B4" w:rsidRPr="004F29B4" w:rsidRDefault="004F29B4" w:rsidP="004F29B4">
            <w:pPr>
              <w:jc w:val="right"/>
              <w:rPr>
                <w:color w:val="262626"/>
                <w:sz w:val="20"/>
                <w:szCs w:val="20"/>
                <w:lang w:eastAsia="ja-JP"/>
              </w:rPr>
            </w:pPr>
            <w:r w:rsidRPr="004F29B4">
              <w:rPr>
                <w:color w:val="262626"/>
                <w:sz w:val="20"/>
                <w:szCs w:val="20"/>
                <w:lang w:eastAsia="ja-JP"/>
              </w:rPr>
              <w:t>7,7</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29CE77FC" w14:textId="77777777" w:rsidR="004F29B4" w:rsidRPr="004F29B4" w:rsidRDefault="004F29B4" w:rsidP="004F29B4">
            <w:pPr>
              <w:jc w:val="right"/>
              <w:rPr>
                <w:color w:val="262626"/>
                <w:sz w:val="20"/>
                <w:szCs w:val="20"/>
                <w:lang w:eastAsia="ja-JP"/>
              </w:rPr>
            </w:pPr>
            <w:r w:rsidRPr="004F29B4">
              <w:rPr>
                <w:color w:val="262626"/>
                <w:sz w:val="20"/>
                <w:szCs w:val="20"/>
                <w:lang w:eastAsia="ja-JP"/>
              </w:rPr>
              <w:t>8,3</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70DDBA56" w14:textId="77777777" w:rsidR="004F29B4" w:rsidRPr="004F29B4" w:rsidRDefault="004F29B4" w:rsidP="004F29B4">
            <w:pPr>
              <w:jc w:val="right"/>
              <w:rPr>
                <w:color w:val="262626"/>
                <w:sz w:val="20"/>
                <w:szCs w:val="20"/>
                <w:lang w:eastAsia="ja-JP"/>
              </w:rPr>
            </w:pPr>
            <w:r w:rsidRPr="004F29B4">
              <w:rPr>
                <w:color w:val="262626"/>
                <w:sz w:val="20"/>
                <w:szCs w:val="20"/>
                <w:lang w:eastAsia="ja-JP"/>
              </w:rPr>
              <w:t>8,8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05427380" w14:textId="77777777" w:rsidR="004F29B4" w:rsidRPr="004F29B4" w:rsidRDefault="004F29B4" w:rsidP="004F29B4">
            <w:pPr>
              <w:jc w:val="right"/>
              <w:rPr>
                <w:color w:val="262626"/>
                <w:sz w:val="20"/>
                <w:szCs w:val="20"/>
                <w:lang w:eastAsia="ja-JP"/>
              </w:rPr>
            </w:pPr>
            <w:r w:rsidRPr="004F29B4">
              <w:rPr>
                <w:color w:val="262626"/>
                <w:sz w:val="20"/>
                <w:szCs w:val="20"/>
                <w:lang w:eastAsia="ja-JP"/>
              </w:rPr>
              <w:t>9,4</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6155AB86" w14:textId="77777777" w:rsidR="004F29B4" w:rsidRPr="004F29B4" w:rsidRDefault="004F29B4" w:rsidP="004F29B4">
            <w:pPr>
              <w:jc w:val="right"/>
              <w:rPr>
                <w:color w:val="262626"/>
                <w:sz w:val="20"/>
                <w:szCs w:val="20"/>
                <w:lang w:eastAsia="ja-JP"/>
              </w:rPr>
            </w:pPr>
            <w:r w:rsidRPr="004F29B4">
              <w:rPr>
                <w:color w:val="262626"/>
                <w:sz w:val="20"/>
                <w:szCs w:val="20"/>
                <w:lang w:eastAsia="ja-JP"/>
              </w:rPr>
              <w:t>9,8</w:t>
            </w:r>
          </w:p>
        </w:tc>
        <w:tc>
          <w:tcPr>
            <w:tcW w:w="602" w:type="dxa"/>
            <w:tcBorders>
              <w:top w:val="single" w:sz="4" w:space="0" w:color="C00000"/>
              <w:left w:val="single" w:sz="4" w:space="0" w:color="C00000"/>
              <w:bottom w:val="single" w:sz="4" w:space="0" w:color="C00000"/>
              <w:right w:val="single" w:sz="4" w:space="0" w:color="C00000"/>
            </w:tcBorders>
            <w:shd w:val="clear" w:color="auto" w:fill="FFFFCC"/>
          </w:tcPr>
          <w:p w14:paraId="2EA20C19" w14:textId="77777777" w:rsidR="004F29B4" w:rsidRPr="004F29B4" w:rsidRDefault="004F29B4" w:rsidP="004F29B4">
            <w:pPr>
              <w:jc w:val="right"/>
              <w:rPr>
                <w:color w:val="262626"/>
                <w:sz w:val="20"/>
                <w:szCs w:val="20"/>
                <w:lang w:eastAsia="ja-JP"/>
              </w:rPr>
            </w:pPr>
            <w:r w:rsidRPr="004F29B4">
              <w:rPr>
                <w:color w:val="262626"/>
                <w:sz w:val="20"/>
                <w:szCs w:val="20"/>
                <w:lang w:eastAsia="ja-JP"/>
              </w:rPr>
              <w:t>10,3</w:t>
            </w:r>
          </w:p>
        </w:tc>
        <w:tc>
          <w:tcPr>
            <w:tcW w:w="603" w:type="dxa"/>
            <w:tcBorders>
              <w:top w:val="single" w:sz="4" w:space="0" w:color="C00000"/>
              <w:left w:val="single" w:sz="4" w:space="0" w:color="C00000"/>
              <w:bottom w:val="single" w:sz="4" w:space="0" w:color="C00000"/>
              <w:right w:val="single" w:sz="4" w:space="0" w:color="C00000"/>
            </w:tcBorders>
            <w:shd w:val="clear" w:color="auto" w:fill="FFFFCC"/>
          </w:tcPr>
          <w:p w14:paraId="19B6DB73" w14:textId="77777777" w:rsidR="004F29B4" w:rsidRPr="004F29B4" w:rsidRDefault="004F29B4" w:rsidP="004F29B4">
            <w:pPr>
              <w:jc w:val="right"/>
              <w:rPr>
                <w:color w:val="262626"/>
                <w:sz w:val="20"/>
                <w:szCs w:val="20"/>
                <w:lang w:eastAsia="ja-JP"/>
              </w:rPr>
            </w:pPr>
            <w:r w:rsidRPr="004F29B4">
              <w:rPr>
                <w:color w:val="262626"/>
                <w:sz w:val="20"/>
                <w:szCs w:val="20"/>
                <w:lang w:eastAsia="ja-JP"/>
              </w:rPr>
              <w:t>11,1</w:t>
            </w:r>
          </w:p>
        </w:tc>
      </w:tr>
    </w:tbl>
    <w:p w14:paraId="7BDC7358" w14:textId="77777777" w:rsidR="004F29B4" w:rsidRPr="004F29B4" w:rsidRDefault="004F29B4" w:rsidP="004F29B4">
      <w:pPr>
        <w:jc w:val="both"/>
        <w:rPr>
          <w:color w:val="0070C0"/>
          <w:sz w:val="14"/>
        </w:rPr>
      </w:pPr>
    </w:p>
    <w:p w14:paraId="5341DF45" w14:textId="77777777" w:rsidR="004F29B4" w:rsidRPr="004F29B4" w:rsidRDefault="004F29B4" w:rsidP="004F29B4">
      <w:pPr>
        <w:spacing w:after="160"/>
        <w:jc w:val="both"/>
        <w:rPr>
          <w:i/>
          <w:color w:val="262626"/>
          <w:sz w:val="20"/>
        </w:rPr>
      </w:pPr>
      <w:r w:rsidRPr="004F29B4">
        <w:rPr>
          <w:i/>
          <w:color w:val="262626"/>
          <w:sz w:val="20"/>
        </w:rPr>
        <w:t>Източник: Евростат</w:t>
      </w:r>
    </w:p>
    <w:p w14:paraId="211F2DEA" w14:textId="77777777" w:rsidR="004F29B4" w:rsidRPr="004F29B4" w:rsidRDefault="004F29B4" w:rsidP="004F29B4">
      <w:pPr>
        <w:suppressAutoHyphens/>
        <w:ind w:firstLine="709"/>
        <w:jc w:val="both"/>
        <w:rPr>
          <w:rFonts w:eastAsia="Calibri"/>
          <w:color w:val="262626"/>
          <w:lang w:eastAsia="ja-JP"/>
        </w:rPr>
      </w:pPr>
    </w:p>
    <w:p w14:paraId="4431274D" w14:textId="77777777" w:rsidR="004F29B4" w:rsidRPr="004F29B4" w:rsidRDefault="004F29B4" w:rsidP="004F29B4">
      <w:pPr>
        <w:ind w:firstLine="720"/>
        <w:contextualSpacing/>
        <w:jc w:val="both"/>
      </w:pPr>
      <w:r w:rsidRPr="004F29B4">
        <w:rPr>
          <w:rFonts w:eastAsia="Calibri"/>
          <w:color w:val="262626"/>
          <w:lang w:eastAsia="ja-JP"/>
        </w:rPr>
        <w:t xml:space="preserve">Групата </w:t>
      </w:r>
      <w:r w:rsidRPr="004F29B4">
        <w:rPr>
          <w:rFonts w:eastAsia="Calibri"/>
          <w:i/>
          <w:color w:val="262626"/>
          <w:lang w:eastAsia="ja-JP"/>
        </w:rPr>
        <w:t>храни и безалкохолни напитки</w:t>
      </w:r>
      <w:r w:rsidRPr="004F29B4">
        <w:rPr>
          <w:rFonts w:eastAsia="Calibri"/>
          <w:color w:val="262626"/>
          <w:lang w:eastAsia="ja-JP"/>
        </w:rPr>
        <w:t xml:space="preserve"> имаше водещ принос за формиране на </w:t>
      </w:r>
      <w:r w:rsidRPr="004F29B4">
        <w:t xml:space="preserve">инфлацията в края на 2022 г. Цените им следваха тенденция на ускорено поскъпване от началото на годината, а влияние за това имаха най-вече преработените храни. Съществено значение за поскъпването им имаше по линия на нарастване на цените на съответните суровини, търгувани на международните пазари, но също така и на разходите за тяхното производство, в т.ч. по-високите разходи за труд, електроенергия, горива и т.н. </w:t>
      </w:r>
    </w:p>
    <w:p w14:paraId="2CBD7EC7" w14:textId="77777777" w:rsidR="004F29B4" w:rsidRPr="004F29B4" w:rsidRDefault="004F29B4" w:rsidP="004F29B4">
      <w:pPr>
        <w:ind w:firstLine="720"/>
        <w:contextualSpacing/>
        <w:jc w:val="both"/>
      </w:pPr>
      <w:r w:rsidRPr="004F29B4">
        <w:t xml:space="preserve">Инфлацията при енергийните стоки се ускоряваше през първото полугодие, във връзка с наблюдаваното повишение в международните цени на петрол, природен газ и въглища. В средата на годината тази тенденция се пречупи, вследствие на което поскъпването при този компонент се забави съществено. </w:t>
      </w:r>
    </w:p>
    <w:p w14:paraId="7CB56EE8" w14:textId="77777777" w:rsidR="004F29B4" w:rsidRPr="004F29B4" w:rsidRDefault="004F29B4" w:rsidP="004F29B4">
      <w:pPr>
        <w:ind w:firstLine="720"/>
        <w:contextualSpacing/>
        <w:jc w:val="both"/>
      </w:pPr>
      <w:r w:rsidRPr="004F29B4">
        <w:t>Базисната инфлация се повиши до 11,1</w:t>
      </w:r>
      <w:r w:rsidRPr="004D5FFC">
        <w:rPr>
          <w:lang w:val="ru-RU"/>
        </w:rPr>
        <w:t xml:space="preserve"> </w:t>
      </w:r>
      <w:r w:rsidRPr="004F29B4">
        <w:t xml:space="preserve">% на годишна база в края на 2022 г., а двата основни подкомпонента - услуги и нехранителните стоки - имаха почти равностоен принос. Влияние за динамиката на цените в групата оказаха същественото повишение в цените на вносните стоки, наблюдаваните вторични ефекти от поскъпването на храните и енергийните стоки и повишението на разходите за труд в икономиката, както и силното вътрешно търсене. </w:t>
      </w:r>
    </w:p>
    <w:p w14:paraId="576CB995" w14:textId="77777777" w:rsidR="004F29B4" w:rsidRPr="004F29B4" w:rsidRDefault="004F29B4" w:rsidP="004F29B4">
      <w:pPr>
        <w:ind w:firstLine="720"/>
        <w:contextualSpacing/>
        <w:jc w:val="both"/>
      </w:pPr>
      <w:r w:rsidRPr="004F29B4">
        <w:t>С цел смекчаване на икономическите последици от ускореното поскъпване на суров петрол, природен газ, електрическа енергия, горива, хранителни продукти и други бе разработен пакет от мерки, които влязоха в сила през юли 2022 г. С ефект по линия на индекса на потребителски цени бяха въведената компенсация в размер на 25 ст./л за моторните горива без добавки, въвеждане на намалена ставка на ДДС в размер на 9</w:t>
      </w:r>
      <w:r w:rsidRPr="004D5FFC">
        <w:rPr>
          <w:lang w:val="ru-RU"/>
        </w:rPr>
        <w:t xml:space="preserve"> </w:t>
      </w:r>
      <w:r w:rsidRPr="004F29B4">
        <w:t>% за природен газ и централно отопление, въвеждане на нулева ставка на ДДС за хляб и брашно, освобождаване от акциз на електрическата енергия, природния газ и втечнения нефтен газ (LPG). Според публикувания от Евростат ХИПЦ при постоянно ниво на данъците, ефектът от дискреционните мерки се оценява на 0,6 пр.п. по-ниска инфлация към декември 2022 г.</w:t>
      </w:r>
    </w:p>
    <w:p w14:paraId="01187A5A" w14:textId="77777777" w:rsidR="004F29B4" w:rsidRPr="004F29B4" w:rsidRDefault="004F29B4" w:rsidP="004F29B4">
      <w:pPr>
        <w:ind w:firstLine="720"/>
        <w:contextualSpacing/>
        <w:jc w:val="both"/>
      </w:pPr>
      <w:r w:rsidRPr="004F29B4">
        <w:t>Инфлацията при стоките и услугите с административно контролирани цени се ускори до 7,9</w:t>
      </w:r>
      <w:r w:rsidRPr="004D5FFC">
        <w:rPr>
          <w:lang w:val="ru-RU"/>
        </w:rPr>
        <w:t xml:space="preserve"> </w:t>
      </w:r>
      <w:r w:rsidRPr="004F29B4">
        <w:t>%</w:t>
      </w:r>
      <w:r w:rsidRPr="004F29B4">
        <w:rPr>
          <w:sz w:val="22"/>
          <w:szCs w:val="20"/>
          <w:vertAlign w:val="superscript"/>
        </w:rPr>
        <w:footnoteReference w:id="2"/>
      </w:r>
      <w:r w:rsidRPr="004F29B4">
        <w:rPr>
          <w:vertAlign w:val="superscript"/>
        </w:rPr>
        <w:t xml:space="preserve"> </w:t>
      </w:r>
      <w:r w:rsidRPr="004F29B4">
        <w:t>на годишна база към декември 2022 г., при нарастване от 3,6</w:t>
      </w:r>
      <w:r w:rsidRPr="004D5FFC">
        <w:rPr>
          <w:lang w:val="ru-RU"/>
        </w:rPr>
        <w:t xml:space="preserve"> </w:t>
      </w:r>
      <w:r w:rsidRPr="004F29B4">
        <w:t>% за същия период на 2021 г. С по-съществен принос бяха повишенията в цените на лекарствени продукти – с 10,4</w:t>
      </w:r>
      <w:r w:rsidRPr="004D5FFC">
        <w:rPr>
          <w:lang w:val="ru-RU"/>
        </w:rPr>
        <w:t xml:space="preserve"> </w:t>
      </w:r>
      <w:r w:rsidRPr="004F29B4">
        <w:t>%, водоснабдяване – с 22,1</w:t>
      </w:r>
      <w:r w:rsidRPr="004D5FFC">
        <w:rPr>
          <w:lang w:val="ru-RU"/>
        </w:rPr>
        <w:t xml:space="preserve"> </w:t>
      </w:r>
      <w:r w:rsidRPr="004F29B4">
        <w:t>%, топлинна и електрическа енергия – съответно с 24,2</w:t>
      </w:r>
      <w:r w:rsidRPr="004D5FFC">
        <w:rPr>
          <w:lang w:val="ru-RU"/>
        </w:rPr>
        <w:t xml:space="preserve"> </w:t>
      </w:r>
      <w:r w:rsidRPr="004F29B4">
        <w:t>% и 3,4</w:t>
      </w:r>
      <w:r w:rsidRPr="004D5FFC">
        <w:rPr>
          <w:lang w:val="ru-RU"/>
        </w:rPr>
        <w:t xml:space="preserve"> </w:t>
      </w:r>
      <w:r w:rsidRPr="004F29B4">
        <w:t>%, централно газоснабдяване – с 23,3</w:t>
      </w:r>
      <w:r w:rsidRPr="004D5FFC">
        <w:rPr>
          <w:lang w:val="ru-RU"/>
        </w:rPr>
        <w:t xml:space="preserve"> </w:t>
      </w:r>
      <w:r w:rsidRPr="004F29B4">
        <w:t xml:space="preserve">%. </w:t>
      </w:r>
    </w:p>
    <w:p w14:paraId="231A6D6B" w14:textId="77777777" w:rsidR="004F29B4" w:rsidRPr="004F29B4" w:rsidRDefault="004F29B4" w:rsidP="004F29B4">
      <w:pPr>
        <w:ind w:firstLine="720"/>
        <w:contextualSpacing/>
        <w:jc w:val="both"/>
      </w:pPr>
    </w:p>
    <w:p w14:paraId="47E4677B" w14:textId="2DD8A7FD" w:rsidR="004F29B4" w:rsidRPr="009D4353" w:rsidRDefault="009D4353" w:rsidP="00BD39E0">
      <w:pPr>
        <w:pStyle w:val="Heading3"/>
        <w:numPr>
          <w:ilvl w:val="1"/>
          <w:numId w:val="64"/>
        </w:numPr>
        <w:tabs>
          <w:tab w:val="num" w:pos="720"/>
        </w:tabs>
        <w:ind w:left="720" w:hanging="360"/>
        <w:rPr>
          <w:rFonts w:ascii="Times New Roman" w:hAnsi="Times New Roman"/>
          <w:sz w:val="24"/>
          <w:lang w:val="bg-BG"/>
        </w:rPr>
      </w:pPr>
      <w:r>
        <w:rPr>
          <w:rFonts w:ascii="Times New Roman" w:hAnsi="Times New Roman"/>
          <w:sz w:val="24"/>
          <w:lang w:val="bg-BG"/>
        </w:rPr>
        <w:t xml:space="preserve"> </w:t>
      </w:r>
      <w:bookmarkStart w:id="19" w:name="_Toc146037874"/>
      <w:r w:rsidR="004F29B4" w:rsidRPr="009D4353">
        <w:rPr>
          <w:rFonts w:ascii="Times New Roman" w:hAnsi="Times New Roman"/>
          <w:sz w:val="24"/>
          <w:lang w:val="bg-BG"/>
        </w:rPr>
        <w:t>Външен сектор</w:t>
      </w:r>
      <w:bookmarkEnd w:id="19"/>
    </w:p>
    <w:p w14:paraId="2062B536" w14:textId="77777777" w:rsidR="004F29B4" w:rsidRPr="004F29B4" w:rsidRDefault="004F29B4" w:rsidP="004F29B4">
      <w:pPr>
        <w:ind w:firstLine="720"/>
        <w:jc w:val="both"/>
      </w:pPr>
      <w:r w:rsidRPr="004F29B4">
        <w:t>През 2022 г. по текущата и капиталовата сметка бе отчетен излишък в размер на 215,6 млн. евро (0,3</w:t>
      </w:r>
      <w:r w:rsidRPr="004D5FFC">
        <w:rPr>
          <w:lang w:val="ru-RU"/>
        </w:rPr>
        <w:t xml:space="preserve"> </w:t>
      </w:r>
      <w:r w:rsidRPr="004F29B4">
        <w:t>% от БВП) при дефицит от 824,9 млн. евро през 2021 г.</w:t>
      </w:r>
    </w:p>
    <w:p w14:paraId="05CE9A68" w14:textId="2E47AC76" w:rsidR="004F29B4" w:rsidRDefault="004F29B4" w:rsidP="004F29B4">
      <w:pPr>
        <w:ind w:firstLine="720"/>
        <w:jc w:val="both"/>
      </w:pPr>
      <w:r w:rsidRPr="004F29B4">
        <w:t>Дефицитът по текущата сметка се сви с 1,2 пр.</w:t>
      </w:r>
      <w:r w:rsidRPr="004D5FFC">
        <w:rPr>
          <w:lang w:val="ru-RU"/>
        </w:rPr>
        <w:t xml:space="preserve"> </w:t>
      </w:r>
      <w:r w:rsidRPr="004F29B4">
        <w:t>п., до 0,7</w:t>
      </w:r>
      <w:r w:rsidRPr="004D5FFC">
        <w:rPr>
          <w:lang w:val="ru-RU"/>
        </w:rPr>
        <w:t xml:space="preserve"> </w:t>
      </w:r>
      <w:r w:rsidRPr="004F29B4">
        <w:t>% от БВП. Износът на стоки нарасна с 33,5</w:t>
      </w:r>
      <w:r w:rsidRPr="004D5FFC">
        <w:rPr>
          <w:lang w:val="ru-RU"/>
        </w:rPr>
        <w:t xml:space="preserve"> </w:t>
      </w:r>
      <w:r w:rsidRPr="004F29B4">
        <w:t>%, а вносът - с 36,3</w:t>
      </w:r>
      <w:r w:rsidRPr="004D5FFC">
        <w:rPr>
          <w:lang w:val="ru-RU"/>
        </w:rPr>
        <w:t xml:space="preserve"> </w:t>
      </w:r>
      <w:r w:rsidRPr="004F29B4">
        <w:t>%, което определи и увеличението на търговския дефицит с 1,7 пр.</w:t>
      </w:r>
      <w:r w:rsidRPr="004D5FFC">
        <w:rPr>
          <w:lang w:val="ru-RU"/>
        </w:rPr>
        <w:t xml:space="preserve"> </w:t>
      </w:r>
      <w:r w:rsidRPr="004F29B4">
        <w:t>п. спрямо предходната година, до 5,8</w:t>
      </w:r>
      <w:r w:rsidRPr="004D5FFC">
        <w:rPr>
          <w:lang w:val="ru-RU"/>
        </w:rPr>
        <w:t xml:space="preserve"> </w:t>
      </w:r>
      <w:r w:rsidRPr="004F29B4">
        <w:t>% от БВП. През годината търговският баланс бе движен от изпреварващия реален растеж на вноса спрямо износа. Повишението на вноса в количествено отношение бе движено от силното потребление на домакинствата, докато ръстът на износа бе благоприятстван от активна търговия с минерални горива (нефт и нефтопродукти и електрически енергия), както и с метални суровини и специализирана продукция. Същественото нарастване на цените на минералните горива и увеличението на дела им в износа на страната предопредели и формирането на положителни условия на търговия (превишение на дефлатора на износа спрямо този на вноса). По отношение на географската структура, номиналният растеж на износа към ЕС-27 бе 35,6</w:t>
      </w:r>
      <w:r w:rsidRPr="004D5FFC">
        <w:rPr>
          <w:lang w:val="ru-RU"/>
        </w:rPr>
        <w:t xml:space="preserve"> </w:t>
      </w:r>
      <w:r w:rsidRPr="004F29B4">
        <w:t>% и бе формиран предимно от ръст към по-старите страни членки на Общността. Износът за трети страни се увеличи с 38,7</w:t>
      </w:r>
      <w:r w:rsidRPr="004D5FFC">
        <w:rPr>
          <w:lang w:val="ru-RU"/>
        </w:rPr>
        <w:t xml:space="preserve"> </w:t>
      </w:r>
      <w:r w:rsidRPr="004F29B4">
        <w:t>%, след нарастване на търговията с Украйна (със 183,5</w:t>
      </w:r>
      <w:r w:rsidRPr="004D5FFC">
        <w:rPr>
          <w:lang w:val="ru-RU"/>
        </w:rPr>
        <w:t xml:space="preserve"> </w:t>
      </w:r>
      <w:r w:rsidRPr="004F29B4">
        <w:t>%), Турция (31,3</w:t>
      </w:r>
      <w:r w:rsidRPr="004D5FFC">
        <w:rPr>
          <w:lang w:val="ru-RU"/>
        </w:rPr>
        <w:t xml:space="preserve"> </w:t>
      </w:r>
      <w:r w:rsidRPr="004F29B4">
        <w:t>%), Сърбия (52,2</w:t>
      </w:r>
      <w:r w:rsidRPr="004D5FFC">
        <w:rPr>
          <w:lang w:val="ru-RU"/>
        </w:rPr>
        <w:t xml:space="preserve"> </w:t>
      </w:r>
      <w:r w:rsidRPr="004F29B4">
        <w:t>%) и РС Македония (35</w:t>
      </w:r>
      <w:r w:rsidRPr="004D5FFC">
        <w:rPr>
          <w:lang w:val="ru-RU"/>
        </w:rPr>
        <w:t xml:space="preserve"> </w:t>
      </w:r>
      <w:r w:rsidRPr="004F29B4">
        <w:t>%). При регионалната разбивка на вноса водеща бе търговията с трети страни, като основен принос имаше вносът от Руска федерация (растеж от 116,3</w:t>
      </w:r>
      <w:r w:rsidRPr="004D5FFC">
        <w:rPr>
          <w:lang w:val="ru-RU"/>
        </w:rPr>
        <w:t xml:space="preserve"> </w:t>
      </w:r>
      <w:r w:rsidRPr="004F29B4">
        <w:t>%), Китай (52,2</w:t>
      </w:r>
      <w:r w:rsidRPr="004D5FFC">
        <w:rPr>
          <w:lang w:val="ru-RU"/>
        </w:rPr>
        <w:t xml:space="preserve"> </w:t>
      </w:r>
      <w:r w:rsidRPr="004F29B4">
        <w:t>%), Турция (38,6</w:t>
      </w:r>
      <w:r w:rsidRPr="004D5FFC">
        <w:rPr>
          <w:lang w:val="ru-RU"/>
        </w:rPr>
        <w:t xml:space="preserve"> </w:t>
      </w:r>
      <w:r w:rsidRPr="004F29B4">
        <w:t>%), Гърция (61,6</w:t>
      </w:r>
      <w:r w:rsidRPr="004D5FFC">
        <w:rPr>
          <w:lang w:val="ru-RU"/>
        </w:rPr>
        <w:t xml:space="preserve"> </w:t>
      </w:r>
      <w:r w:rsidRPr="004F29B4">
        <w:t>%).</w:t>
      </w:r>
    </w:p>
    <w:p w14:paraId="0EB003A9" w14:textId="1A6126F9" w:rsidR="00F26A14" w:rsidRDefault="00F26A14" w:rsidP="004F29B4">
      <w:pPr>
        <w:ind w:firstLine="720"/>
        <w:jc w:val="both"/>
      </w:pPr>
    </w:p>
    <w:p w14:paraId="3F1B4CAD" w14:textId="77777777" w:rsidR="0092579B" w:rsidRDefault="0092579B" w:rsidP="004F29B4">
      <w:pPr>
        <w:ind w:firstLine="720"/>
        <w:jc w:val="both"/>
      </w:pPr>
    </w:p>
    <w:p w14:paraId="15595CD8" w14:textId="77777777" w:rsidR="0092579B" w:rsidRDefault="0092579B" w:rsidP="004F29B4">
      <w:pPr>
        <w:ind w:firstLine="720"/>
        <w:jc w:val="both"/>
      </w:pPr>
    </w:p>
    <w:p w14:paraId="1C20CC04" w14:textId="77777777" w:rsidR="00F26A14" w:rsidRPr="004F29B4" w:rsidRDefault="00F26A14" w:rsidP="004F29B4">
      <w:pPr>
        <w:ind w:firstLine="720"/>
        <w:jc w:val="both"/>
      </w:pPr>
    </w:p>
    <w:p w14:paraId="26DF44D6" w14:textId="77777777" w:rsidR="004F29B4" w:rsidRPr="004F29B4" w:rsidRDefault="004F29B4" w:rsidP="00F26A14">
      <w:pPr>
        <w:keepNext/>
        <w:spacing w:before="240"/>
        <w:jc w:val="center"/>
        <w:rPr>
          <w:b/>
          <w:bCs/>
          <w:i/>
        </w:rPr>
      </w:pPr>
      <w:r w:rsidRPr="004F29B4">
        <w:rPr>
          <w:b/>
          <w:bCs/>
          <w:i/>
        </w:rPr>
        <w:t>Динамика на износа на стоки (FOB)</w:t>
      </w:r>
    </w:p>
    <w:tbl>
      <w:tblPr>
        <w:tblpPr w:leftFromText="180" w:rightFromText="180" w:vertAnchor="text" w:horzAnchor="margin" w:tblpXSpec="center" w:tblpY="471"/>
        <w:tblW w:w="7369" w:type="dxa"/>
        <w:tblLook w:val="04A0" w:firstRow="1" w:lastRow="0" w:firstColumn="1" w:lastColumn="0" w:noHBand="0" w:noVBand="1"/>
      </w:tblPr>
      <w:tblGrid>
        <w:gridCol w:w="3129"/>
        <w:gridCol w:w="1060"/>
        <w:gridCol w:w="1060"/>
        <w:gridCol w:w="1060"/>
        <w:gridCol w:w="1060"/>
      </w:tblGrid>
      <w:tr w:rsidR="004F29B4" w:rsidRPr="004F29B4" w14:paraId="4BC59417" w14:textId="77777777" w:rsidTr="004F29B4">
        <w:trPr>
          <w:trHeight w:val="285"/>
        </w:trPr>
        <w:tc>
          <w:tcPr>
            <w:tcW w:w="3129" w:type="dxa"/>
            <w:vMerge w:val="restart"/>
            <w:tcBorders>
              <w:top w:val="double" w:sz="6" w:space="0" w:color="990000"/>
              <w:left w:val="double" w:sz="6" w:space="0" w:color="990000"/>
              <w:bottom w:val="single" w:sz="8" w:space="0" w:color="990000"/>
              <w:right w:val="single" w:sz="8" w:space="0" w:color="990000"/>
            </w:tcBorders>
            <w:shd w:val="clear" w:color="000000" w:fill="990000"/>
            <w:vAlign w:val="center"/>
            <w:hideMark/>
          </w:tcPr>
          <w:p w14:paraId="5E608ECC"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Показатели</w:t>
            </w:r>
          </w:p>
        </w:tc>
        <w:tc>
          <w:tcPr>
            <w:tcW w:w="2120" w:type="dxa"/>
            <w:gridSpan w:val="2"/>
            <w:tcBorders>
              <w:top w:val="double" w:sz="6" w:space="0" w:color="990000"/>
              <w:left w:val="nil"/>
              <w:bottom w:val="single" w:sz="8" w:space="0" w:color="990000"/>
              <w:right w:val="nil"/>
            </w:tcBorders>
            <w:shd w:val="clear" w:color="000000" w:fill="990000"/>
            <w:vAlign w:val="center"/>
            <w:hideMark/>
          </w:tcPr>
          <w:p w14:paraId="395305C5"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2021</w:t>
            </w:r>
          </w:p>
        </w:tc>
        <w:tc>
          <w:tcPr>
            <w:tcW w:w="2120" w:type="dxa"/>
            <w:gridSpan w:val="2"/>
            <w:tcBorders>
              <w:top w:val="double" w:sz="6" w:space="0" w:color="990000"/>
              <w:left w:val="nil"/>
              <w:bottom w:val="single" w:sz="8" w:space="0" w:color="990000"/>
              <w:right w:val="nil"/>
            </w:tcBorders>
            <w:shd w:val="clear" w:color="000000" w:fill="990000"/>
            <w:vAlign w:val="center"/>
            <w:hideMark/>
          </w:tcPr>
          <w:p w14:paraId="4111325B"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2022</w:t>
            </w:r>
          </w:p>
        </w:tc>
      </w:tr>
      <w:tr w:rsidR="004F29B4" w:rsidRPr="004F29B4" w14:paraId="00796E59" w14:textId="77777777" w:rsidTr="004F29B4">
        <w:trPr>
          <w:trHeight w:val="525"/>
        </w:trPr>
        <w:tc>
          <w:tcPr>
            <w:tcW w:w="3129" w:type="dxa"/>
            <w:vMerge/>
            <w:tcBorders>
              <w:top w:val="double" w:sz="6" w:space="0" w:color="990000"/>
              <w:left w:val="double" w:sz="6" w:space="0" w:color="990000"/>
              <w:bottom w:val="single" w:sz="8" w:space="0" w:color="990000"/>
              <w:right w:val="single" w:sz="8" w:space="0" w:color="990000"/>
            </w:tcBorders>
            <w:vAlign w:val="center"/>
            <w:hideMark/>
          </w:tcPr>
          <w:p w14:paraId="75CF17AF" w14:textId="77777777" w:rsidR="004F29B4" w:rsidRPr="004F29B4" w:rsidRDefault="004F29B4" w:rsidP="004F29B4">
            <w:pPr>
              <w:rPr>
                <w:b/>
                <w:bCs/>
                <w:color w:val="FFFFFF"/>
                <w:sz w:val="20"/>
                <w:szCs w:val="20"/>
                <w:lang w:eastAsia="en-US"/>
              </w:rPr>
            </w:pPr>
          </w:p>
        </w:tc>
        <w:tc>
          <w:tcPr>
            <w:tcW w:w="1060" w:type="dxa"/>
            <w:tcBorders>
              <w:top w:val="nil"/>
              <w:left w:val="nil"/>
              <w:bottom w:val="single" w:sz="8" w:space="0" w:color="990000"/>
              <w:right w:val="single" w:sz="8" w:space="0" w:color="990000"/>
            </w:tcBorders>
            <w:shd w:val="clear" w:color="000000" w:fill="990000"/>
            <w:vAlign w:val="center"/>
            <w:hideMark/>
          </w:tcPr>
          <w:p w14:paraId="24CC92E8"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растеж %</w:t>
            </w:r>
          </w:p>
        </w:tc>
        <w:tc>
          <w:tcPr>
            <w:tcW w:w="1060" w:type="dxa"/>
            <w:tcBorders>
              <w:top w:val="nil"/>
              <w:left w:val="nil"/>
              <w:bottom w:val="single" w:sz="8" w:space="0" w:color="990000"/>
              <w:right w:val="single" w:sz="8" w:space="0" w:color="990000"/>
            </w:tcBorders>
            <w:shd w:val="clear" w:color="000000" w:fill="990000"/>
            <w:vAlign w:val="center"/>
            <w:hideMark/>
          </w:tcPr>
          <w:p w14:paraId="572C8B59"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дял %</w:t>
            </w:r>
          </w:p>
        </w:tc>
        <w:tc>
          <w:tcPr>
            <w:tcW w:w="1060" w:type="dxa"/>
            <w:tcBorders>
              <w:top w:val="nil"/>
              <w:left w:val="nil"/>
              <w:bottom w:val="single" w:sz="8" w:space="0" w:color="990000"/>
              <w:right w:val="single" w:sz="8" w:space="0" w:color="990000"/>
            </w:tcBorders>
            <w:shd w:val="clear" w:color="000000" w:fill="990000"/>
            <w:vAlign w:val="center"/>
            <w:hideMark/>
          </w:tcPr>
          <w:p w14:paraId="62EAB098"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растеж %</w:t>
            </w:r>
          </w:p>
        </w:tc>
        <w:tc>
          <w:tcPr>
            <w:tcW w:w="1060" w:type="dxa"/>
            <w:tcBorders>
              <w:top w:val="nil"/>
              <w:left w:val="nil"/>
              <w:bottom w:val="single" w:sz="8" w:space="0" w:color="990000"/>
              <w:right w:val="single" w:sz="8" w:space="0" w:color="990000"/>
            </w:tcBorders>
            <w:shd w:val="clear" w:color="000000" w:fill="990000"/>
            <w:vAlign w:val="center"/>
            <w:hideMark/>
          </w:tcPr>
          <w:p w14:paraId="60859A33"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дял %</w:t>
            </w:r>
          </w:p>
        </w:tc>
      </w:tr>
      <w:tr w:rsidR="004F29B4" w:rsidRPr="004F29B4" w14:paraId="293D0C48"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4D8AFB50" w14:textId="77777777" w:rsidR="004F29B4" w:rsidRPr="004F29B4" w:rsidRDefault="004F29B4" w:rsidP="004F29B4">
            <w:pPr>
              <w:rPr>
                <w:sz w:val="20"/>
                <w:szCs w:val="20"/>
                <w:lang w:eastAsia="en-US"/>
              </w:rPr>
            </w:pPr>
            <w:r w:rsidRPr="004F29B4">
              <w:rPr>
                <w:sz w:val="20"/>
                <w:szCs w:val="20"/>
                <w:lang w:eastAsia="en-US"/>
              </w:rPr>
              <w:t>Потребителски стоки</w:t>
            </w:r>
          </w:p>
        </w:tc>
        <w:tc>
          <w:tcPr>
            <w:tcW w:w="1060" w:type="dxa"/>
            <w:tcBorders>
              <w:top w:val="nil"/>
              <w:left w:val="nil"/>
              <w:bottom w:val="single" w:sz="8" w:space="0" w:color="990000"/>
              <w:right w:val="single" w:sz="8" w:space="0" w:color="990000"/>
            </w:tcBorders>
            <w:shd w:val="clear" w:color="000000" w:fill="FFFFCC"/>
            <w:vAlign w:val="center"/>
            <w:hideMark/>
          </w:tcPr>
          <w:p w14:paraId="67D801A1" w14:textId="77777777" w:rsidR="004F29B4" w:rsidRPr="004F29B4" w:rsidRDefault="004F29B4" w:rsidP="004F29B4">
            <w:pPr>
              <w:jc w:val="center"/>
              <w:rPr>
                <w:sz w:val="20"/>
                <w:szCs w:val="20"/>
                <w:lang w:eastAsia="en-US"/>
              </w:rPr>
            </w:pPr>
            <w:r w:rsidRPr="004F29B4">
              <w:rPr>
                <w:color w:val="262626"/>
                <w:sz w:val="20"/>
                <w:szCs w:val="20"/>
                <w:lang w:eastAsia="ja-JP"/>
              </w:rPr>
              <w:t>10,6</w:t>
            </w:r>
          </w:p>
        </w:tc>
        <w:tc>
          <w:tcPr>
            <w:tcW w:w="1060" w:type="dxa"/>
            <w:tcBorders>
              <w:top w:val="nil"/>
              <w:left w:val="nil"/>
              <w:bottom w:val="single" w:sz="8" w:space="0" w:color="990000"/>
              <w:right w:val="single" w:sz="8" w:space="0" w:color="990000"/>
            </w:tcBorders>
            <w:shd w:val="clear" w:color="000000" w:fill="FFFFCC"/>
            <w:vAlign w:val="center"/>
            <w:hideMark/>
          </w:tcPr>
          <w:p w14:paraId="64C3736C"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24,2</w:t>
            </w:r>
          </w:p>
        </w:tc>
        <w:tc>
          <w:tcPr>
            <w:tcW w:w="1060" w:type="dxa"/>
            <w:tcBorders>
              <w:top w:val="nil"/>
              <w:left w:val="nil"/>
              <w:bottom w:val="single" w:sz="8" w:space="0" w:color="990000"/>
              <w:right w:val="single" w:sz="8" w:space="0" w:color="990000"/>
            </w:tcBorders>
            <w:shd w:val="clear" w:color="000000" w:fill="FFFFCC"/>
            <w:vAlign w:val="center"/>
            <w:hideMark/>
          </w:tcPr>
          <w:p w14:paraId="392FF2B1"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27,3</w:t>
            </w:r>
          </w:p>
        </w:tc>
        <w:tc>
          <w:tcPr>
            <w:tcW w:w="1060" w:type="dxa"/>
            <w:tcBorders>
              <w:top w:val="nil"/>
              <w:left w:val="nil"/>
              <w:bottom w:val="single" w:sz="8" w:space="0" w:color="990000"/>
              <w:right w:val="single" w:sz="8" w:space="0" w:color="990000"/>
            </w:tcBorders>
            <w:shd w:val="clear" w:color="000000" w:fill="FFFFCC"/>
            <w:vAlign w:val="center"/>
            <w:hideMark/>
          </w:tcPr>
          <w:p w14:paraId="7F7E3ED2"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22,6</w:t>
            </w:r>
          </w:p>
        </w:tc>
      </w:tr>
      <w:tr w:rsidR="004F29B4" w:rsidRPr="004F29B4" w14:paraId="2054A1F4"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260CE1BA" w14:textId="77777777" w:rsidR="004F29B4" w:rsidRPr="004F29B4" w:rsidRDefault="004F29B4" w:rsidP="004F29B4">
            <w:pPr>
              <w:rPr>
                <w:sz w:val="20"/>
                <w:szCs w:val="20"/>
                <w:lang w:eastAsia="en-US"/>
              </w:rPr>
            </w:pPr>
            <w:r w:rsidRPr="004F29B4">
              <w:rPr>
                <w:sz w:val="20"/>
                <w:szCs w:val="20"/>
                <w:lang w:eastAsia="en-US"/>
              </w:rPr>
              <w:t>Суровини и материали</w:t>
            </w:r>
          </w:p>
        </w:tc>
        <w:tc>
          <w:tcPr>
            <w:tcW w:w="1060" w:type="dxa"/>
            <w:tcBorders>
              <w:top w:val="nil"/>
              <w:left w:val="nil"/>
              <w:bottom w:val="single" w:sz="8" w:space="0" w:color="990000"/>
              <w:right w:val="single" w:sz="8" w:space="0" w:color="990000"/>
            </w:tcBorders>
            <w:shd w:val="clear" w:color="000000" w:fill="FFFFCC"/>
            <w:vAlign w:val="center"/>
            <w:hideMark/>
          </w:tcPr>
          <w:p w14:paraId="573C5F8E"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29,3</w:t>
            </w:r>
          </w:p>
        </w:tc>
        <w:tc>
          <w:tcPr>
            <w:tcW w:w="1060" w:type="dxa"/>
            <w:tcBorders>
              <w:top w:val="nil"/>
              <w:left w:val="nil"/>
              <w:bottom w:val="single" w:sz="8" w:space="0" w:color="990000"/>
              <w:right w:val="single" w:sz="8" w:space="0" w:color="990000"/>
            </w:tcBorders>
            <w:shd w:val="clear" w:color="000000" w:fill="FFFFCC"/>
            <w:vAlign w:val="center"/>
            <w:hideMark/>
          </w:tcPr>
          <w:p w14:paraId="422AB343" w14:textId="77777777" w:rsidR="004F29B4" w:rsidRPr="004F29B4" w:rsidRDefault="004F29B4" w:rsidP="004F29B4">
            <w:pPr>
              <w:jc w:val="center"/>
              <w:rPr>
                <w:color w:val="262626"/>
                <w:sz w:val="20"/>
                <w:szCs w:val="20"/>
                <w:lang w:eastAsia="ja-JP"/>
              </w:rPr>
            </w:pPr>
            <w:r w:rsidRPr="004F29B4">
              <w:rPr>
                <w:color w:val="262626"/>
                <w:sz w:val="20"/>
                <w:szCs w:val="20"/>
                <w:lang w:eastAsia="ja-JP"/>
              </w:rPr>
              <w:t>43,2</w:t>
            </w:r>
          </w:p>
        </w:tc>
        <w:tc>
          <w:tcPr>
            <w:tcW w:w="1060" w:type="dxa"/>
            <w:tcBorders>
              <w:top w:val="nil"/>
              <w:left w:val="nil"/>
              <w:bottom w:val="single" w:sz="8" w:space="0" w:color="990000"/>
              <w:right w:val="single" w:sz="8" w:space="0" w:color="990000"/>
            </w:tcBorders>
            <w:shd w:val="clear" w:color="000000" w:fill="FFFFCC"/>
            <w:vAlign w:val="center"/>
            <w:hideMark/>
          </w:tcPr>
          <w:p w14:paraId="7B2BE1A9"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24,4</w:t>
            </w:r>
          </w:p>
        </w:tc>
        <w:tc>
          <w:tcPr>
            <w:tcW w:w="1060" w:type="dxa"/>
            <w:tcBorders>
              <w:top w:val="nil"/>
              <w:left w:val="nil"/>
              <w:bottom w:val="single" w:sz="8" w:space="0" w:color="990000"/>
              <w:right w:val="single" w:sz="8" w:space="0" w:color="990000"/>
            </w:tcBorders>
            <w:shd w:val="clear" w:color="000000" w:fill="FFFFCC"/>
            <w:vAlign w:val="center"/>
            <w:hideMark/>
          </w:tcPr>
          <w:p w14:paraId="5D7D05CE"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39,3</w:t>
            </w:r>
          </w:p>
        </w:tc>
      </w:tr>
      <w:tr w:rsidR="004F29B4" w:rsidRPr="004F29B4" w14:paraId="2D153C30"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69D5D99E" w14:textId="77777777" w:rsidR="004F29B4" w:rsidRPr="004F29B4" w:rsidRDefault="004F29B4" w:rsidP="004F29B4">
            <w:pPr>
              <w:rPr>
                <w:sz w:val="20"/>
                <w:szCs w:val="20"/>
                <w:lang w:eastAsia="en-US"/>
              </w:rPr>
            </w:pPr>
            <w:r w:rsidRPr="004F29B4">
              <w:rPr>
                <w:sz w:val="20"/>
                <w:szCs w:val="20"/>
                <w:lang w:eastAsia="en-US"/>
              </w:rPr>
              <w:t>Инвестиционни стоки</w:t>
            </w:r>
          </w:p>
        </w:tc>
        <w:tc>
          <w:tcPr>
            <w:tcW w:w="1060" w:type="dxa"/>
            <w:tcBorders>
              <w:top w:val="nil"/>
              <w:left w:val="nil"/>
              <w:bottom w:val="single" w:sz="8" w:space="0" w:color="990000"/>
              <w:right w:val="single" w:sz="8" w:space="0" w:color="990000"/>
            </w:tcBorders>
            <w:shd w:val="clear" w:color="000000" w:fill="FFFFCC"/>
            <w:vAlign w:val="center"/>
            <w:hideMark/>
          </w:tcPr>
          <w:p w14:paraId="4C0A634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22,4</w:t>
            </w:r>
          </w:p>
        </w:tc>
        <w:tc>
          <w:tcPr>
            <w:tcW w:w="1060" w:type="dxa"/>
            <w:tcBorders>
              <w:top w:val="nil"/>
              <w:left w:val="nil"/>
              <w:bottom w:val="single" w:sz="8" w:space="0" w:color="990000"/>
              <w:right w:val="single" w:sz="8" w:space="0" w:color="990000"/>
            </w:tcBorders>
            <w:shd w:val="clear" w:color="000000" w:fill="FFFFCC"/>
            <w:vAlign w:val="center"/>
            <w:hideMark/>
          </w:tcPr>
          <w:p w14:paraId="458F95AD"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24,1</w:t>
            </w:r>
          </w:p>
        </w:tc>
        <w:tc>
          <w:tcPr>
            <w:tcW w:w="1060" w:type="dxa"/>
            <w:tcBorders>
              <w:top w:val="nil"/>
              <w:left w:val="nil"/>
              <w:bottom w:val="single" w:sz="8" w:space="0" w:color="990000"/>
              <w:right w:val="single" w:sz="8" w:space="0" w:color="990000"/>
            </w:tcBorders>
            <w:shd w:val="clear" w:color="000000" w:fill="FFFFCC"/>
            <w:vAlign w:val="center"/>
            <w:hideMark/>
          </w:tcPr>
          <w:p w14:paraId="306DE37E"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32,1</w:t>
            </w:r>
          </w:p>
        </w:tc>
        <w:tc>
          <w:tcPr>
            <w:tcW w:w="1060" w:type="dxa"/>
            <w:tcBorders>
              <w:top w:val="nil"/>
              <w:left w:val="nil"/>
              <w:bottom w:val="single" w:sz="8" w:space="0" w:color="990000"/>
              <w:right w:val="single" w:sz="8" w:space="0" w:color="990000"/>
            </w:tcBorders>
            <w:shd w:val="clear" w:color="000000" w:fill="FFFFCC"/>
            <w:vAlign w:val="center"/>
            <w:hideMark/>
          </w:tcPr>
          <w:p w14:paraId="02BD23DB"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23,3</w:t>
            </w:r>
          </w:p>
        </w:tc>
      </w:tr>
      <w:tr w:rsidR="004F29B4" w:rsidRPr="004F29B4" w14:paraId="1965FBB8"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22B2B6B0" w14:textId="77777777" w:rsidR="004F29B4" w:rsidRPr="004F29B4" w:rsidRDefault="004F29B4" w:rsidP="004F29B4">
            <w:pPr>
              <w:rPr>
                <w:sz w:val="20"/>
                <w:szCs w:val="20"/>
                <w:lang w:eastAsia="en-US"/>
              </w:rPr>
            </w:pPr>
            <w:r w:rsidRPr="004F29B4">
              <w:rPr>
                <w:sz w:val="20"/>
                <w:szCs w:val="20"/>
                <w:lang w:eastAsia="en-US"/>
              </w:rPr>
              <w:t>Енергийни стоки</w:t>
            </w:r>
          </w:p>
        </w:tc>
        <w:tc>
          <w:tcPr>
            <w:tcW w:w="1060" w:type="dxa"/>
            <w:tcBorders>
              <w:top w:val="nil"/>
              <w:left w:val="nil"/>
              <w:bottom w:val="single" w:sz="8" w:space="0" w:color="990000"/>
              <w:right w:val="single" w:sz="8" w:space="0" w:color="990000"/>
            </w:tcBorders>
            <w:shd w:val="clear" w:color="000000" w:fill="FFFFCC"/>
            <w:vAlign w:val="center"/>
            <w:hideMark/>
          </w:tcPr>
          <w:p w14:paraId="3D173FBA" w14:textId="77777777" w:rsidR="004F29B4" w:rsidRPr="004F29B4" w:rsidRDefault="004F29B4" w:rsidP="004F29B4">
            <w:pPr>
              <w:jc w:val="center"/>
              <w:rPr>
                <w:color w:val="262626"/>
                <w:sz w:val="20"/>
                <w:szCs w:val="20"/>
                <w:lang w:eastAsia="ja-JP"/>
              </w:rPr>
            </w:pPr>
            <w:r w:rsidRPr="004F29B4">
              <w:rPr>
                <w:color w:val="262626"/>
                <w:sz w:val="20"/>
                <w:szCs w:val="20"/>
                <w:lang w:eastAsia="ja-JP"/>
              </w:rPr>
              <w:t>70,3</w:t>
            </w:r>
          </w:p>
        </w:tc>
        <w:tc>
          <w:tcPr>
            <w:tcW w:w="1060" w:type="dxa"/>
            <w:tcBorders>
              <w:top w:val="nil"/>
              <w:left w:val="nil"/>
              <w:bottom w:val="single" w:sz="8" w:space="0" w:color="990000"/>
              <w:right w:val="single" w:sz="8" w:space="0" w:color="990000"/>
            </w:tcBorders>
            <w:shd w:val="clear" w:color="000000" w:fill="FFFFCC"/>
            <w:vAlign w:val="center"/>
            <w:hideMark/>
          </w:tcPr>
          <w:p w14:paraId="3FF4887B" w14:textId="77777777" w:rsidR="004F29B4" w:rsidRPr="004F29B4" w:rsidRDefault="004F29B4" w:rsidP="004F29B4">
            <w:pPr>
              <w:jc w:val="center"/>
              <w:rPr>
                <w:color w:val="262626"/>
                <w:sz w:val="20"/>
                <w:szCs w:val="20"/>
                <w:lang w:eastAsia="ja-JP"/>
              </w:rPr>
            </w:pPr>
            <w:r w:rsidRPr="004F29B4">
              <w:rPr>
                <w:color w:val="262626"/>
                <w:sz w:val="20"/>
                <w:szCs w:val="20"/>
                <w:lang w:eastAsia="ja-JP"/>
              </w:rPr>
              <w:t>8,3</w:t>
            </w:r>
          </w:p>
        </w:tc>
        <w:tc>
          <w:tcPr>
            <w:tcW w:w="1060" w:type="dxa"/>
            <w:tcBorders>
              <w:top w:val="nil"/>
              <w:left w:val="nil"/>
              <w:bottom w:val="single" w:sz="8" w:space="0" w:color="990000"/>
              <w:right w:val="single" w:sz="8" w:space="0" w:color="990000"/>
            </w:tcBorders>
            <w:shd w:val="clear" w:color="000000" w:fill="FFFFCC"/>
            <w:vAlign w:val="center"/>
            <w:hideMark/>
          </w:tcPr>
          <w:p w14:paraId="23249C3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146,1</w:t>
            </w:r>
          </w:p>
        </w:tc>
        <w:tc>
          <w:tcPr>
            <w:tcW w:w="1060" w:type="dxa"/>
            <w:tcBorders>
              <w:top w:val="nil"/>
              <w:left w:val="nil"/>
              <w:bottom w:val="single" w:sz="8" w:space="0" w:color="990000"/>
              <w:right w:val="single" w:sz="8" w:space="0" w:color="990000"/>
            </w:tcBorders>
            <w:shd w:val="clear" w:color="000000" w:fill="FFFFCC"/>
            <w:vAlign w:val="center"/>
            <w:hideMark/>
          </w:tcPr>
          <w:p w14:paraId="4E89D966" w14:textId="77777777" w:rsidR="004F29B4" w:rsidRPr="004F29B4" w:rsidRDefault="004F29B4" w:rsidP="004F29B4">
            <w:pPr>
              <w:jc w:val="center"/>
              <w:rPr>
                <w:color w:val="262626"/>
                <w:sz w:val="20"/>
                <w:szCs w:val="20"/>
                <w:lang w:eastAsia="ja-JP"/>
              </w:rPr>
            </w:pPr>
            <w:r w:rsidRPr="004F29B4">
              <w:rPr>
                <w:color w:val="262626"/>
                <w:sz w:val="20"/>
                <w:szCs w:val="20"/>
                <w:lang w:eastAsia="ja-JP"/>
              </w:rPr>
              <w:t>14,9</w:t>
            </w:r>
          </w:p>
        </w:tc>
      </w:tr>
      <w:tr w:rsidR="004F29B4" w:rsidRPr="004F29B4" w14:paraId="3993FF61"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78767744" w14:textId="77777777" w:rsidR="004F29B4" w:rsidRPr="004F29B4" w:rsidRDefault="004F29B4" w:rsidP="004F29B4">
            <w:pPr>
              <w:rPr>
                <w:sz w:val="20"/>
                <w:szCs w:val="20"/>
                <w:lang w:eastAsia="en-US"/>
              </w:rPr>
            </w:pPr>
            <w:r w:rsidRPr="004F29B4">
              <w:rPr>
                <w:sz w:val="20"/>
                <w:szCs w:val="20"/>
                <w:lang w:eastAsia="en-US"/>
              </w:rPr>
              <w:t>Износ към Европейския съюз</w:t>
            </w:r>
          </w:p>
        </w:tc>
        <w:tc>
          <w:tcPr>
            <w:tcW w:w="1060" w:type="dxa"/>
            <w:tcBorders>
              <w:top w:val="nil"/>
              <w:left w:val="nil"/>
              <w:bottom w:val="single" w:sz="8" w:space="0" w:color="990000"/>
              <w:right w:val="single" w:sz="8" w:space="0" w:color="990000"/>
            </w:tcBorders>
            <w:shd w:val="clear" w:color="000000" w:fill="FFFFCC"/>
            <w:vAlign w:val="center"/>
            <w:hideMark/>
          </w:tcPr>
          <w:p w14:paraId="73CA591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26,3</w:t>
            </w:r>
          </w:p>
        </w:tc>
        <w:tc>
          <w:tcPr>
            <w:tcW w:w="1060" w:type="dxa"/>
            <w:tcBorders>
              <w:top w:val="nil"/>
              <w:left w:val="nil"/>
              <w:bottom w:val="single" w:sz="8" w:space="0" w:color="990000"/>
              <w:right w:val="single" w:sz="8" w:space="0" w:color="990000"/>
            </w:tcBorders>
            <w:shd w:val="clear" w:color="000000" w:fill="FFFFCC"/>
            <w:vAlign w:val="center"/>
            <w:hideMark/>
          </w:tcPr>
          <w:p w14:paraId="34C8F56A" w14:textId="77777777" w:rsidR="004F29B4" w:rsidRPr="004F29B4" w:rsidRDefault="004F29B4" w:rsidP="004F29B4">
            <w:pPr>
              <w:jc w:val="center"/>
              <w:rPr>
                <w:color w:val="262626"/>
                <w:sz w:val="20"/>
                <w:szCs w:val="20"/>
                <w:lang w:eastAsia="ja-JP"/>
              </w:rPr>
            </w:pPr>
            <w:r w:rsidRPr="004F29B4">
              <w:rPr>
                <w:color w:val="262626"/>
                <w:sz w:val="20"/>
                <w:szCs w:val="20"/>
                <w:lang w:eastAsia="ja-JP"/>
              </w:rPr>
              <w:t>66,2</w:t>
            </w:r>
          </w:p>
        </w:tc>
        <w:tc>
          <w:tcPr>
            <w:tcW w:w="1060" w:type="dxa"/>
            <w:tcBorders>
              <w:top w:val="nil"/>
              <w:left w:val="nil"/>
              <w:bottom w:val="single" w:sz="8" w:space="0" w:color="990000"/>
              <w:right w:val="single" w:sz="8" w:space="0" w:color="990000"/>
            </w:tcBorders>
            <w:shd w:val="clear" w:color="000000" w:fill="FFFFCC"/>
            <w:vAlign w:val="center"/>
            <w:hideMark/>
          </w:tcPr>
          <w:p w14:paraId="1C7BBB8D"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35,6</w:t>
            </w:r>
          </w:p>
        </w:tc>
        <w:tc>
          <w:tcPr>
            <w:tcW w:w="1060" w:type="dxa"/>
            <w:tcBorders>
              <w:top w:val="nil"/>
              <w:left w:val="nil"/>
              <w:bottom w:val="single" w:sz="8" w:space="0" w:color="990000"/>
              <w:right w:val="single" w:sz="8" w:space="0" w:color="990000"/>
            </w:tcBorders>
            <w:shd w:val="clear" w:color="000000" w:fill="FFFFCC"/>
            <w:vAlign w:val="center"/>
            <w:hideMark/>
          </w:tcPr>
          <w:p w14:paraId="51D6D41B" w14:textId="77777777" w:rsidR="004F29B4" w:rsidRPr="004F29B4" w:rsidRDefault="004F29B4" w:rsidP="004F29B4">
            <w:pPr>
              <w:jc w:val="center"/>
              <w:rPr>
                <w:color w:val="262626"/>
                <w:sz w:val="20"/>
                <w:szCs w:val="20"/>
                <w:lang w:eastAsia="ja-JP"/>
              </w:rPr>
            </w:pPr>
            <w:r w:rsidRPr="004F29B4">
              <w:rPr>
                <w:color w:val="262626"/>
                <w:sz w:val="20"/>
                <w:szCs w:val="20"/>
                <w:lang w:eastAsia="ja-JP"/>
              </w:rPr>
              <w:t>65,7</w:t>
            </w:r>
          </w:p>
        </w:tc>
      </w:tr>
      <w:tr w:rsidR="004F29B4" w:rsidRPr="004F29B4" w14:paraId="1527B674" w14:textId="77777777" w:rsidTr="004F29B4">
        <w:trPr>
          <w:trHeight w:val="270"/>
        </w:trPr>
        <w:tc>
          <w:tcPr>
            <w:tcW w:w="3129" w:type="dxa"/>
            <w:tcBorders>
              <w:top w:val="nil"/>
              <w:left w:val="double" w:sz="6" w:space="0" w:color="990000"/>
              <w:bottom w:val="double" w:sz="6" w:space="0" w:color="990000"/>
              <w:right w:val="single" w:sz="8" w:space="0" w:color="990000"/>
            </w:tcBorders>
            <w:shd w:val="clear" w:color="000000" w:fill="FFFFCC"/>
            <w:vAlign w:val="center"/>
            <w:hideMark/>
          </w:tcPr>
          <w:p w14:paraId="7DB8F178" w14:textId="77777777" w:rsidR="004F29B4" w:rsidRPr="004F29B4" w:rsidRDefault="004F29B4" w:rsidP="004F29B4">
            <w:pPr>
              <w:rPr>
                <w:sz w:val="20"/>
                <w:szCs w:val="20"/>
                <w:lang w:eastAsia="en-US"/>
              </w:rPr>
            </w:pPr>
            <w:r w:rsidRPr="004F29B4">
              <w:rPr>
                <w:sz w:val="20"/>
                <w:szCs w:val="20"/>
                <w:lang w:eastAsia="en-US"/>
              </w:rPr>
              <w:t>Износ към страни извън ЕС</w:t>
            </w:r>
          </w:p>
        </w:tc>
        <w:tc>
          <w:tcPr>
            <w:tcW w:w="1060" w:type="dxa"/>
            <w:tcBorders>
              <w:top w:val="nil"/>
              <w:left w:val="nil"/>
              <w:bottom w:val="double" w:sz="6" w:space="0" w:color="990000"/>
              <w:right w:val="single" w:sz="8" w:space="0" w:color="990000"/>
            </w:tcBorders>
            <w:shd w:val="clear" w:color="000000" w:fill="FFFFCC"/>
            <w:vAlign w:val="center"/>
            <w:hideMark/>
          </w:tcPr>
          <w:p w14:paraId="3B148281"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22,3</w:t>
            </w:r>
          </w:p>
        </w:tc>
        <w:tc>
          <w:tcPr>
            <w:tcW w:w="1060" w:type="dxa"/>
            <w:tcBorders>
              <w:top w:val="nil"/>
              <w:left w:val="nil"/>
              <w:bottom w:val="double" w:sz="6" w:space="0" w:color="990000"/>
              <w:right w:val="single" w:sz="8" w:space="0" w:color="990000"/>
            </w:tcBorders>
            <w:shd w:val="clear" w:color="000000" w:fill="FFFFCC"/>
            <w:vAlign w:val="center"/>
            <w:hideMark/>
          </w:tcPr>
          <w:p w14:paraId="1CDF56B9"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33,8</w:t>
            </w:r>
          </w:p>
        </w:tc>
        <w:tc>
          <w:tcPr>
            <w:tcW w:w="1060" w:type="dxa"/>
            <w:tcBorders>
              <w:top w:val="nil"/>
              <w:left w:val="nil"/>
              <w:bottom w:val="double" w:sz="6" w:space="0" w:color="990000"/>
              <w:right w:val="single" w:sz="8" w:space="0" w:color="990000"/>
            </w:tcBorders>
            <w:shd w:val="clear" w:color="000000" w:fill="FFFFCC"/>
            <w:vAlign w:val="center"/>
            <w:hideMark/>
          </w:tcPr>
          <w:p w14:paraId="3F0EB21A"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38,7</w:t>
            </w:r>
          </w:p>
        </w:tc>
        <w:tc>
          <w:tcPr>
            <w:tcW w:w="1060" w:type="dxa"/>
            <w:tcBorders>
              <w:top w:val="nil"/>
              <w:left w:val="nil"/>
              <w:bottom w:val="double" w:sz="6" w:space="0" w:color="990000"/>
              <w:right w:val="single" w:sz="8" w:space="0" w:color="990000"/>
            </w:tcBorders>
            <w:shd w:val="clear" w:color="000000" w:fill="FFFFCC"/>
            <w:vAlign w:val="center"/>
            <w:hideMark/>
          </w:tcPr>
          <w:p w14:paraId="31D36072"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34,3</w:t>
            </w:r>
          </w:p>
        </w:tc>
      </w:tr>
    </w:tbl>
    <w:p w14:paraId="2F8F4D18" w14:textId="77777777" w:rsidR="004F29B4" w:rsidRPr="00102FF7" w:rsidRDefault="004F29B4" w:rsidP="00102FF7">
      <w:pPr>
        <w:keepNext/>
        <w:spacing w:before="240"/>
        <w:jc w:val="center"/>
        <w:rPr>
          <w:b/>
          <w:bCs/>
          <w:i/>
        </w:rPr>
      </w:pPr>
    </w:p>
    <w:p w14:paraId="278D5A1A" w14:textId="7AC2CB0C" w:rsidR="004F29B4" w:rsidRPr="00102FF7" w:rsidRDefault="00102FF7" w:rsidP="00102FF7">
      <w:pPr>
        <w:ind w:left="709" w:right="1013"/>
        <w:jc w:val="right"/>
        <w:rPr>
          <w:i/>
          <w:sz w:val="20"/>
          <w:szCs w:val="20"/>
        </w:rPr>
      </w:pPr>
      <w:r>
        <w:rPr>
          <w:i/>
          <w:sz w:val="20"/>
          <w:szCs w:val="20"/>
        </w:rPr>
        <w:t xml:space="preserve">                       </w:t>
      </w:r>
      <w:r w:rsidR="004F29B4" w:rsidRPr="00102FF7">
        <w:rPr>
          <w:i/>
          <w:sz w:val="20"/>
          <w:szCs w:val="20"/>
        </w:rPr>
        <w:t>Източник: Изчисления на МФ по данни на БНБ</w:t>
      </w:r>
    </w:p>
    <w:p w14:paraId="74C65CC0" w14:textId="77777777" w:rsidR="004F29B4" w:rsidRPr="004F29B4" w:rsidRDefault="004F29B4" w:rsidP="00102FF7">
      <w:pPr>
        <w:spacing w:before="120"/>
        <w:ind w:firstLine="720"/>
        <w:jc w:val="both"/>
      </w:pPr>
      <w:r w:rsidRPr="004F29B4">
        <w:t>Износът на стоки бе подкрепен от повишеното търсене на петролни продукти (растеж от 255,2</w:t>
      </w:r>
      <w:r w:rsidRPr="004D5FFC">
        <w:rPr>
          <w:lang w:val="ru-RU"/>
        </w:rPr>
        <w:t xml:space="preserve"> </w:t>
      </w:r>
      <w:r w:rsidRPr="004F29B4">
        <w:t>%); енергийни ресурси различни от петролни продукти (76,9</w:t>
      </w:r>
      <w:r w:rsidRPr="004D5FFC">
        <w:rPr>
          <w:lang w:val="ru-RU"/>
        </w:rPr>
        <w:t xml:space="preserve"> </w:t>
      </w:r>
      <w:r w:rsidRPr="004F29B4">
        <w:t>%); храни (56,9</w:t>
      </w:r>
      <w:r w:rsidRPr="004D5FFC">
        <w:rPr>
          <w:lang w:val="ru-RU"/>
        </w:rPr>
        <w:t xml:space="preserve"> </w:t>
      </w:r>
      <w:r w:rsidRPr="004F29B4">
        <w:t>%) и суровини за производството на храни (24,8</w:t>
      </w:r>
      <w:r w:rsidRPr="004D5FFC">
        <w:rPr>
          <w:lang w:val="ru-RU"/>
        </w:rPr>
        <w:t xml:space="preserve"> </w:t>
      </w:r>
      <w:r w:rsidRPr="004F29B4">
        <w:t>%). Динамиката на вноса на стоки бе движена от увеличение при суровия петрол и газа (растеж от 121,5</w:t>
      </w:r>
      <w:r w:rsidRPr="004D5FFC">
        <w:rPr>
          <w:lang w:val="ru-RU"/>
        </w:rPr>
        <w:t xml:space="preserve"> </w:t>
      </w:r>
      <w:r w:rsidRPr="004F29B4">
        <w:t>%); храни, напитки и цигари (38,9</w:t>
      </w:r>
      <w:r w:rsidRPr="004D5FFC">
        <w:rPr>
          <w:lang w:val="ru-RU"/>
        </w:rPr>
        <w:t xml:space="preserve"> </w:t>
      </w:r>
      <w:r w:rsidRPr="004F29B4">
        <w:t>%); резервни части и оборудване (49,6</w:t>
      </w:r>
      <w:r w:rsidRPr="004D5FFC">
        <w:rPr>
          <w:lang w:val="ru-RU"/>
        </w:rPr>
        <w:t xml:space="preserve"> </w:t>
      </w:r>
      <w:r w:rsidRPr="004F29B4">
        <w:t>%); машини, уреди и апарати (27,6</w:t>
      </w:r>
      <w:r w:rsidRPr="004D5FFC">
        <w:rPr>
          <w:lang w:val="ru-RU"/>
        </w:rPr>
        <w:t xml:space="preserve"> </w:t>
      </w:r>
      <w:r w:rsidRPr="004F29B4">
        <w:t>%) и суровини за производство на храни (78,8</w:t>
      </w:r>
      <w:r w:rsidRPr="004D5FFC">
        <w:rPr>
          <w:lang w:val="ru-RU"/>
        </w:rPr>
        <w:t xml:space="preserve"> </w:t>
      </w:r>
      <w:r w:rsidRPr="004F29B4">
        <w:t>%).</w:t>
      </w:r>
    </w:p>
    <w:p w14:paraId="78E132A0" w14:textId="77777777" w:rsidR="004F29B4" w:rsidRPr="004F29B4" w:rsidRDefault="004F29B4" w:rsidP="004F29B4">
      <w:pPr>
        <w:keepNext/>
        <w:spacing w:after="120"/>
        <w:jc w:val="center"/>
        <w:rPr>
          <w:b/>
          <w:bCs/>
          <w:i/>
        </w:rPr>
      </w:pPr>
    </w:p>
    <w:p w14:paraId="72600E25" w14:textId="77777777" w:rsidR="004F29B4" w:rsidRPr="004F29B4" w:rsidRDefault="004F29B4" w:rsidP="004F29B4">
      <w:pPr>
        <w:keepNext/>
        <w:spacing w:after="120"/>
        <w:jc w:val="center"/>
        <w:rPr>
          <w:b/>
          <w:bCs/>
          <w:i/>
        </w:rPr>
      </w:pPr>
      <w:r w:rsidRPr="004F29B4">
        <w:rPr>
          <w:b/>
          <w:bCs/>
          <w:i/>
        </w:rPr>
        <w:t>Динамика на вноса на стоки (CIF)</w:t>
      </w:r>
    </w:p>
    <w:tbl>
      <w:tblPr>
        <w:tblpPr w:leftFromText="180" w:rightFromText="180" w:vertAnchor="text" w:horzAnchor="margin" w:tblpXSpec="center" w:tblpY="205"/>
        <w:tblW w:w="7369" w:type="dxa"/>
        <w:tblLook w:val="04A0" w:firstRow="1" w:lastRow="0" w:firstColumn="1" w:lastColumn="0" w:noHBand="0" w:noVBand="1"/>
      </w:tblPr>
      <w:tblGrid>
        <w:gridCol w:w="3129"/>
        <w:gridCol w:w="1060"/>
        <w:gridCol w:w="1060"/>
        <w:gridCol w:w="1060"/>
        <w:gridCol w:w="1060"/>
      </w:tblGrid>
      <w:tr w:rsidR="004F29B4" w:rsidRPr="004F29B4" w14:paraId="0B897826" w14:textId="77777777" w:rsidTr="004F29B4">
        <w:trPr>
          <w:trHeight w:val="285"/>
        </w:trPr>
        <w:tc>
          <w:tcPr>
            <w:tcW w:w="3129" w:type="dxa"/>
            <w:vMerge w:val="restart"/>
            <w:tcBorders>
              <w:top w:val="double" w:sz="6" w:space="0" w:color="990000"/>
              <w:left w:val="double" w:sz="6" w:space="0" w:color="990000"/>
              <w:bottom w:val="single" w:sz="8" w:space="0" w:color="990000"/>
              <w:right w:val="single" w:sz="8" w:space="0" w:color="990000"/>
            </w:tcBorders>
            <w:shd w:val="clear" w:color="000000" w:fill="990000"/>
            <w:vAlign w:val="center"/>
            <w:hideMark/>
          </w:tcPr>
          <w:p w14:paraId="6A0BA28A"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Показатели</w:t>
            </w:r>
          </w:p>
        </w:tc>
        <w:tc>
          <w:tcPr>
            <w:tcW w:w="2120" w:type="dxa"/>
            <w:gridSpan w:val="2"/>
            <w:tcBorders>
              <w:top w:val="double" w:sz="6" w:space="0" w:color="990000"/>
              <w:left w:val="nil"/>
              <w:bottom w:val="single" w:sz="8" w:space="0" w:color="990000"/>
              <w:right w:val="nil"/>
            </w:tcBorders>
            <w:shd w:val="clear" w:color="000000" w:fill="990000"/>
            <w:vAlign w:val="center"/>
            <w:hideMark/>
          </w:tcPr>
          <w:p w14:paraId="5B678723"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2021</w:t>
            </w:r>
          </w:p>
        </w:tc>
        <w:tc>
          <w:tcPr>
            <w:tcW w:w="2120" w:type="dxa"/>
            <w:gridSpan w:val="2"/>
            <w:tcBorders>
              <w:top w:val="double" w:sz="6" w:space="0" w:color="990000"/>
              <w:left w:val="nil"/>
              <w:bottom w:val="single" w:sz="8" w:space="0" w:color="990000"/>
              <w:right w:val="nil"/>
            </w:tcBorders>
            <w:shd w:val="clear" w:color="000000" w:fill="990000"/>
            <w:vAlign w:val="center"/>
            <w:hideMark/>
          </w:tcPr>
          <w:p w14:paraId="2DB81EFC"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2022</w:t>
            </w:r>
          </w:p>
        </w:tc>
      </w:tr>
      <w:tr w:rsidR="004F29B4" w:rsidRPr="004F29B4" w14:paraId="0F4A959E" w14:textId="77777777" w:rsidTr="004F29B4">
        <w:trPr>
          <w:trHeight w:val="525"/>
        </w:trPr>
        <w:tc>
          <w:tcPr>
            <w:tcW w:w="3129" w:type="dxa"/>
            <w:vMerge/>
            <w:tcBorders>
              <w:top w:val="double" w:sz="6" w:space="0" w:color="990000"/>
              <w:left w:val="double" w:sz="6" w:space="0" w:color="990000"/>
              <w:bottom w:val="single" w:sz="8" w:space="0" w:color="990000"/>
              <w:right w:val="single" w:sz="8" w:space="0" w:color="990000"/>
            </w:tcBorders>
            <w:vAlign w:val="center"/>
            <w:hideMark/>
          </w:tcPr>
          <w:p w14:paraId="33D31209" w14:textId="77777777" w:rsidR="004F29B4" w:rsidRPr="004F29B4" w:rsidRDefault="004F29B4" w:rsidP="004F29B4">
            <w:pPr>
              <w:rPr>
                <w:b/>
                <w:bCs/>
                <w:color w:val="FFFFFF"/>
                <w:sz w:val="20"/>
                <w:szCs w:val="20"/>
                <w:lang w:eastAsia="en-US"/>
              </w:rPr>
            </w:pPr>
          </w:p>
        </w:tc>
        <w:tc>
          <w:tcPr>
            <w:tcW w:w="1060" w:type="dxa"/>
            <w:tcBorders>
              <w:top w:val="nil"/>
              <w:left w:val="nil"/>
              <w:bottom w:val="single" w:sz="8" w:space="0" w:color="990000"/>
              <w:right w:val="single" w:sz="8" w:space="0" w:color="990000"/>
            </w:tcBorders>
            <w:shd w:val="clear" w:color="000000" w:fill="990000"/>
            <w:vAlign w:val="center"/>
            <w:hideMark/>
          </w:tcPr>
          <w:p w14:paraId="4367C101"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растеж %</w:t>
            </w:r>
          </w:p>
        </w:tc>
        <w:tc>
          <w:tcPr>
            <w:tcW w:w="1060" w:type="dxa"/>
            <w:tcBorders>
              <w:top w:val="nil"/>
              <w:left w:val="nil"/>
              <w:bottom w:val="single" w:sz="8" w:space="0" w:color="990000"/>
              <w:right w:val="single" w:sz="8" w:space="0" w:color="990000"/>
            </w:tcBorders>
            <w:shd w:val="clear" w:color="000000" w:fill="990000"/>
            <w:vAlign w:val="center"/>
            <w:hideMark/>
          </w:tcPr>
          <w:p w14:paraId="7E64261E"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дял %</w:t>
            </w:r>
          </w:p>
        </w:tc>
        <w:tc>
          <w:tcPr>
            <w:tcW w:w="1060" w:type="dxa"/>
            <w:tcBorders>
              <w:top w:val="nil"/>
              <w:left w:val="nil"/>
              <w:bottom w:val="single" w:sz="8" w:space="0" w:color="990000"/>
              <w:right w:val="single" w:sz="8" w:space="0" w:color="990000"/>
            </w:tcBorders>
            <w:shd w:val="clear" w:color="000000" w:fill="990000"/>
            <w:vAlign w:val="center"/>
            <w:hideMark/>
          </w:tcPr>
          <w:p w14:paraId="6317362C"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растеж %</w:t>
            </w:r>
          </w:p>
        </w:tc>
        <w:tc>
          <w:tcPr>
            <w:tcW w:w="1060" w:type="dxa"/>
            <w:tcBorders>
              <w:top w:val="nil"/>
              <w:left w:val="nil"/>
              <w:bottom w:val="single" w:sz="8" w:space="0" w:color="990000"/>
              <w:right w:val="single" w:sz="8" w:space="0" w:color="990000"/>
            </w:tcBorders>
            <w:shd w:val="clear" w:color="000000" w:fill="990000"/>
            <w:vAlign w:val="center"/>
            <w:hideMark/>
          </w:tcPr>
          <w:p w14:paraId="0C8617C5" w14:textId="77777777" w:rsidR="004F29B4" w:rsidRPr="004F29B4" w:rsidRDefault="004F29B4" w:rsidP="004F29B4">
            <w:pPr>
              <w:jc w:val="center"/>
              <w:rPr>
                <w:b/>
                <w:bCs/>
                <w:color w:val="FFFFFF"/>
                <w:sz w:val="20"/>
                <w:szCs w:val="20"/>
                <w:lang w:eastAsia="en-US"/>
              </w:rPr>
            </w:pPr>
            <w:r w:rsidRPr="004F29B4">
              <w:rPr>
                <w:b/>
                <w:bCs/>
                <w:color w:val="FFFFFF"/>
                <w:sz w:val="20"/>
                <w:szCs w:val="20"/>
                <w:lang w:eastAsia="en-US"/>
              </w:rPr>
              <w:t>дял %</w:t>
            </w:r>
          </w:p>
        </w:tc>
      </w:tr>
      <w:tr w:rsidR="004F29B4" w:rsidRPr="004F29B4" w14:paraId="08CF3091"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3B5A98F4" w14:textId="77777777" w:rsidR="004F29B4" w:rsidRPr="004F29B4" w:rsidRDefault="004F29B4" w:rsidP="004F29B4">
            <w:pPr>
              <w:rPr>
                <w:sz w:val="20"/>
                <w:szCs w:val="20"/>
                <w:lang w:eastAsia="en-US"/>
              </w:rPr>
            </w:pPr>
            <w:r w:rsidRPr="004F29B4">
              <w:rPr>
                <w:sz w:val="20"/>
                <w:szCs w:val="20"/>
                <w:lang w:eastAsia="en-US"/>
              </w:rPr>
              <w:t>Потребителски стоки</w:t>
            </w:r>
          </w:p>
        </w:tc>
        <w:tc>
          <w:tcPr>
            <w:tcW w:w="1060" w:type="dxa"/>
            <w:tcBorders>
              <w:top w:val="nil"/>
              <w:left w:val="nil"/>
              <w:bottom w:val="single" w:sz="8" w:space="0" w:color="990000"/>
              <w:right w:val="single" w:sz="8" w:space="0" w:color="990000"/>
            </w:tcBorders>
            <w:shd w:val="clear" w:color="000000" w:fill="FFFFCC"/>
            <w:vAlign w:val="center"/>
            <w:hideMark/>
          </w:tcPr>
          <w:p w14:paraId="1DAA983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17,0</w:t>
            </w:r>
          </w:p>
        </w:tc>
        <w:tc>
          <w:tcPr>
            <w:tcW w:w="1060" w:type="dxa"/>
            <w:tcBorders>
              <w:top w:val="nil"/>
              <w:left w:val="nil"/>
              <w:bottom w:val="single" w:sz="8" w:space="0" w:color="990000"/>
              <w:right w:val="single" w:sz="8" w:space="0" w:color="990000"/>
            </w:tcBorders>
            <w:shd w:val="clear" w:color="000000" w:fill="FFFFCC"/>
            <w:vAlign w:val="center"/>
            <w:hideMark/>
          </w:tcPr>
          <w:p w14:paraId="349E4C13" w14:textId="77777777" w:rsidR="004F29B4" w:rsidRPr="004F29B4" w:rsidRDefault="004F29B4" w:rsidP="004F29B4">
            <w:pPr>
              <w:spacing w:line="276" w:lineRule="auto"/>
              <w:jc w:val="center"/>
              <w:rPr>
                <w:color w:val="262626"/>
                <w:sz w:val="20"/>
                <w:szCs w:val="20"/>
                <w:lang w:eastAsia="ja-JP"/>
              </w:rPr>
            </w:pPr>
            <w:r w:rsidRPr="004F29B4">
              <w:rPr>
                <w:color w:val="262626"/>
                <w:sz w:val="20"/>
                <w:szCs w:val="20"/>
                <w:lang w:eastAsia="ja-JP"/>
              </w:rPr>
              <w:t>22,5</w:t>
            </w:r>
          </w:p>
        </w:tc>
        <w:tc>
          <w:tcPr>
            <w:tcW w:w="1060" w:type="dxa"/>
            <w:tcBorders>
              <w:top w:val="nil"/>
              <w:left w:val="nil"/>
              <w:bottom w:val="single" w:sz="8" w:space="0" w:color="990000"/>
              <w:right w:val="single" w:sz="8" w:space="0" w:color="990000"/>
            </w:tcBorders>
            <w:shd w:val="clear" w:color="000000" w:fill="FFFFCC"/>
            <w:vAlign w:val="center"/>
            <w:hideMark/>
          </w:tcPr>
          <w:p w14:paraId="37D9436E" w14:textId="77777777" w:rsidR="004F29B4" w:rsidRPr="004F29B4" w:rsidRDefault="004F29B4" w:rsidP="004F29B4">
            <w:pPr>
              <w:spacing w:line="276" w:lineRule="auto"/>
              <w:jc w:val="center"/>
              <w:rPr>
                <w:color w:val="262626"/>
                <w:sz w:val="20"/>
                <w:szCs w:val="20"/>
                <w:lang w:eastAsia="ja-JP"/>
              </w:rPr>
            </w:pPr>
            <w:r w:rsidRPr="004F29B4">
              <w:rPr>
                <w:color w:val="262626"/>
                <w:sz w:val="20"/>
                <w:szCs w:val="20"/>
                <w:lang w:eastAsia="ja-JP"/>
              </w:rPr>
              <w:t>29,4</w:t>
            </w:r>
          </w:p>
        </w:tc>
        <w:tc>
          <w:tcPr>
            <w:tcW w:w="1060" w:type="dxa"/>
            <w:tcBorders>
              <w:top w:val="nil"/>
              <w:left w:val="nil"/>
              <w:bottom w:val="single" w:sz="8" w:space="0" w:color="990000"/>
              <w:right w:val="single" w:sz="8" w:space="0" w:color="990000"/>
            </w:tcBorders>
            <w:shd w:val="clear" w:color="000000" w:fill="FFFFCC"/>
            <w:vAlign w:val="center"/>
            <w:hideMark/>
          </w:tcPr>
          <w:p w14:paraId="24FC943A" w14:textId="77777777" w:rsidR="004F29B4" w:rsidRPr="004F29B4" w:rsidRDefault="004F29B4" w:rsidP="004F29B4">
            <w:pPr>
              <w:spacing w:line="276" w:lineRule="auto"/>
              <w:jc w:val="center"/>
              <w:rPr>
                <w:color w:val="262626"/>
                <w:sz w:val="20"/>
                <w:szCs w:val="20"/>
                <w:lang w:eastAsia="ja-JP"/>
              </w:rPr>
            </w:pPr>
            <w:r w:rsidRPr="004F29B4">
              <w:rPr>
                <w:color w:val="262626"/>
                <w:sz w:val="20"/>
                <w:szCs w:val="20"/>
                <w:lang w:eastAsia="ja-JP"/>
              </w:rPr>
              <w:t>20,7</w:t>
            </w:r>
          </w:p>
        </w:tc>
      </w:tr>
      <w:tr w:rsidR="004F29B4" w:rsidRPr="004F29B4" w14:paraId="6B680E71"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0F86E6B2" w14:textId="77777777" w:rsidR="004F29B4" w:rsidRPr="004F29B4" w:rsidRDefault="004F29B4" w:rsidP="004F29B4">
            <w:pPr>
              <w:rPr>
                <w:sz w:val="20"/>
                <w:szCs w:val="20"/>
                <w:lang w:eastAsia="en-US"/>
              </w:rPr>
            </w:pPr>
            <w:r w:rsidRPr="004F29B4">
              <w:rPr>
                <w:sz w:val="20"/>
                <w:szCs w:val="20"/>
                <w:lang w:eastAsia="en-US"/>
              </w:rPr>
              <w:t>Суровини и материали</w:t>
            </w:r>
          </w:p>
        </w:tc>
        <w:tc>
          <w:tcPr>
            <w:tcW w:w="1060" w:type="dxa"/>
            <w:tcBorders>
              <w:top w:val="nil"/>
              <w:left w:val="nil"/>
              <w:bottom w:val="single" w:sz="8" w:space="0" w:color="990000"/>
              <w:right w:val="single" w:sz="8" w:space="0" w:color="990000"/>
            </w:tcBorders>
            <w:shd w:val="clear" w:color="000000" w:fill="FFFFCC"/>
            <w:vAlign w:val="center"/>
            <w:hideMark/>
          </w:tcPr>
          <w:p w14:paraId="454D0119"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27,8</w:t>
            </w:r>
          </w:p>
        </w:tc>
        <w:tc>
          <w:tcPr>
            <w:tcW w:w="1060" w:type="dxa"/>
            <w:tcBorders>
              <w:top w:val="nil"/>
              <w:left w:val="nil"/>
              <w:bottom w:val="single" w:sz="8" w:space="0" w:color="990000"/>
              <w:right w:val="single" w:sz="8" w:space="0" w:color="990000"/>
            </w:tcBorders>
            <w:shd w:val="clear" w:color="000000" w:fill="FFFFCC"/>
            <w:vAlign w:val="center"/>
            <w:hideMark/>
          </w:tcPr>
          <w:p w14:paraId="362FEC0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37,9</w:t>
            </w:r>
          </w:p>
        </w:tc>
        <w:tc>
          <w:tcPr>
            <w:tcW w:w="1060" w:type="dxa"/>
            <w:tcBorders>
              <w:top w:val="nil"/>
              <w:left w:val="nil"/>
              <w:bottom w:val="single" w:sz="8" w:space="0" w:color="990000"/>
              <w:right w:val="single" w:sz="8" w:space="0" w:color="990000"/>
            </w:tcBorders>
            <w:shd w:val="clear" w:color="000000" w:fill="FFFFCC"/>
            <w:vAlign w:val="center"/>
            <w:hideMark/>
          </w:tcPr>
          <w:p w14:paraId="677EC17A"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32,3</w:t>
            </w:r>
          </w:p>
        </w:tc>
        <w:tc>
          <w:tcPr>
            <w:tcW w:w="1060" w:type="dxa"/>
            <w:tcBorders>
              <w:top w:val="nil"/>
              <w:left w:val="nil"/>
              <w:bottom w:val="single" w:sz="8" w:space="0" w:color="990000"/>
              <w:right w:val="single" w:sz="8" w:space="0" w:color="990000"/>
            </w:tcBorders>
            <w:shd w:val="clear" w:color="000000" w:fill="FFFFCC"/>
            <w:vAlign w:val="center"/>
            <w:hideMark/>
          </w:tcPr>
          <w:p w14:paraId="04D1459B"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35,6</w:t>
            </w:r>
          </w:p>
        </w:tc>
      </w:tr>
      <w:tr w:rsidR="004F29B4" w:rsidRPr="004F29B4" w14:paraId="1189C54F"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11FEFBAA" w14:textId="77777777" w:rsidR="004F29B4" w:rsidRPr="004F29B4" w:rsidRDefault="004F29B4" w:rsidP="004F29B4">
            <w:pPr>
              <w:rPr>
                <w:sz w:val="20"/>
                <w:szCs w:val="20"/>
                <w:lang w:eastAsia="en-US"/>
              </w:rPr>
            </w:pPr>
            <w:r w:rsidRPr="004F29B4">
              <w:rPr>
                <w:sz w:val="20"/>
                <w:szCs w:val="20"/>
                <w:lang w:eastAsia="en-US"/>
              </w:rPr>
              <w:t>Инвестиционни стоки</w:t>
            </w:r>
          </w:p>
        </w:tc>
        <w:tc>
          <w:tcPr>
            <w:tcW w:w="1060" w:type="dxa"/>
            <w:tcBorders>
              <w:top w:val="nil"/>
              <w:left w:val="nil"/>
              <w:bottom w:val="single" w:sz="8" w:space="0" w:color="990000"/>
              <w:right w:val="single" w:sz="8" w:space="0" w:color="990000"/>
            </w:tcBorders>
            <w:shd w:val="clear" w:color="000000" w:fill="FFFFCC"/>
            <w:vAlign w:val="center"/>
            <w:hideMark/>
          </w:tcPr>
          <w:p w14:paraId="7E0970E9"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22,3</w:t>
            </w:r>
          </w:p>
        </w:tc>
        <w:tc>
          <w:tcPr>
            <w:tcW w:w="1060" w:type="dxa"/>
            <w:tcBorders>
              <w:top w:val="nil"/>
              <w:left w:val="nil"/>
              <w:bottom w:val="single" w:sz="8" w:space="0" w:color="990000"/>
              <w:right w:val="single" w:sz="8" w:space="0" w:color="990000"/>
            </w:tcBorders>
            <w:shd w:val="clear" w:color="000000" w:fill="FFFFCC"/>
            <w:vAlign w:val="center"/>
            <w:hideMark/>
          </w:tcPr>
          <w:p w14:paraId="4B3D97C6"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26,2</w:t>
            </w:r>
          </w:p>
        </w:tc>
        <w:tc>
          <w:tcPr>
            <w:tcW w:w="1060" w:type="dxa"/>
            <w:tcBorders>
              <w:top w:val="nil"/>
              <w:left w:val="nil"/>
              <w:bottom w:val="single" w:sz="8" w:space="0" w:color="990000"/>
              <w:right w:val="single" w:sz="8" w:space="0" w:color="990000"/>
            </w:tcBorders>
            <w:shd w:val="clear" w:color="000000" w:fill="FFFFCC"/>
            <w:vAlign w:val="center"/>
            <w:hideMark/>
          </w:tcPr>
          <w:p w14:paraId="14F46DF6" w14:textId="77777777" w:rsidR="004F29B4" w:rsidRPr="004F29B4" w:rsidRDefault="004F29B4" w:rsidP="004F29B4">
            <w:pPr>
              <w:jc w:val="center"/>
              <w:rPr>
                <w:color w:val="262626"/>
                <w:sz w:val="20"/>
                <w:szCs w:val="20"/>
                <w:lang w:eastAsia="ja-JP"/>
              </w:rPr>
            </w:pPr>
            <w:r w:rsidRPr="004F29B4">
              <w:rPr>
                <w:color w:val="262626"/>
                <w:sz w:val="20"/>
                <w:szCs w:val="20"/>
                <w:lang w:eastAsia="ja-JP"/>
              </w:rPr>
              <w:t>34,1</w:t>
            </w:r>
          </w:p>
        </w:tc>
        <w:tc>
          <w:tcPr>
            <w:tcW w:w="1060" w:type="dxa"/>
            <w:tcBorders>
              <w:top w:val="nil"/>
              <w:left w:val="nil"/>
              <w:bottom w:val="single" w:sz="8" w:space="0" w:color="990000"/>
              <w:right w:val="single" w:sz="8" w:space="0" w:color="990000"/>
            </w:tcBorders>
            <w:shd w:val="clear" w:color="000000" w:fill="FFFFCC"/>
            <w:vAlign w:val="center"/>
            <w:hideMark/>
          </w:tcPr>
          <w:p w14:paraId="002B207B"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24,9</w:t>
            </w:r>
          </w:p>
        </w:tc>
      </w:tr>
      <w:tr w:rsidR="004F29B4" w:rsidRPr="004F29B4" w14:paraId="648939CA"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6D632B22" w14:textId="77777777" w:rsidR="004F29B4" w:rsidRPr="004F29B4" w:rsidRDefault="004F29B4" w:rsidP="004F29B4">
            <w:pPr>
              <w:rPr>
                <w:sz w:val="20"/>
                <w:szCs w:val="20"/>
                <w:lang w:eastAsia="en-US"/>
              </w:rPr>
            </w:pPr>
            <w:r w:rsidRPr="004F29B4">
              <w:rPr>
                <w:sz w:val="20"/>
                <w:szCs w:val="20"/>
                <w:lang w:eastAsia="en-US"/>
              </w:rPr>
              <w:t>Енергийни стоки</w:t>
            </w:r>
          </w:p>
        </w:tc>
        <w:tc>
          <w:tcPr>
            <w:tcW w:w="1060" w:type="dxa"/>
            <w:tcBorders>
              <w:top w:val="nil"/>
              <w:left w:val="nil"/>
              <w:bottom w:val="single" w:sz="8" w:space="0" w:color="990000"/>
              <w:right w:val="single" w:sz="8" w:space="0" w:color="990000"/>
            </w:tcBorders>
            <w:shd w:val="clear" w:color="000000" w:fill="FFFFCC"/>
            <w:vAlign w:val="center"/>
            <w:hideMark/>
          </w:tcPr>
          <w:p w14:paraId="107AB1D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70,5</w:t>
            </w:r>
          </w:p>
        </w:tc>
        <w:tc>
          <w:tcPr>
            <w:tcW w:w="1060" w:type="dxa"/>
            <w:tcBorders>
              <w:top w:val="nil"/>
              <w:left w:val="nil"/>
              <w:bottom w:val="single" w:sz="8" w:space="0" w:color="990000"/>
              <w:right w:val="single" w:sz="8" w:space="0" w:color="990000"/>
            </w:tcBorders>
            <w:shd w:val="clear" w:color="000000" w:fill="FFFFCC"/>
            <w:vAlign w:val="center"/>
            <w:hideMark/>
          </w:tcPr>
          <w:p w14:paraId="4E056623" w14:textId="77777777" w:rsidR="004F29B4" w:rsidRPr="004F29B4" w:rsidRDefault="004F29B4" w:rsidP="004F29B4">
            <w:pPr>
              <w:jc w:val="center"/>
              <w:rPr>
                <w:color w:val="262626"/>
                <w:sz w:val="20"/>
                <w:szCs w:val="20"/>
                <w:lang w:eastAsia="ja-JP"/>
              </w:rPr>
            </w:pPr>
            <w:r w:rsidRPr="004F29B4">
              <w:rPr>
                <w:color w:val="262626"/>
                <w:sz w:val="20"/>
                <w:szCs w:val="20"/>
                <w:lang w:eastAsia="ja-JP"/>
              </w:rPr>
              <w:t>12,7</w:t>
            </w:r>
          </w:p>
        </w:tc>
        <w:tc>
          <w:tcPr>
            <w:tcW w:w="1060" w:type="dxa"/>
            <w:tcBorders>
              <w:top w:val="nil"/>
              <w:left w:val="nil"/>
              <w:bottom w:val="single" w:sz="8" w:space="0" w:color="990000"/>
              <w:right w:val="single" w:sz="8" w:space="0" w:color="990000"/>
            </w:tcBorders>
            <w:shd w:val="clear" w:color="000000" w:fill="FFFFCC"/>
            <w:vAlign w:val="center"/>
            <w:hideMark/>
          </w:tcPr>
          <w:p w14:paraId="402C2F2C" w14:textId="77777777" w:rsidR="004F29B4" w:rsidRPr="004F29B4" w:rsidRDefault="004F29B4" w:rsidP="004F29B4">
            <w:pPr>
              <w:jc w:val="center"/>
              <w:rPr>
                <w:color w:val="262626"/>
                <w:sz w:val="20"/>
                <w:szCs w:val="20"/>
                <w:lang w:eastAsia="ja-JP"/>
              </w:rPr>
            </w:pPr>
            <w:r w:rsidRPr="004F29B4">
              <w:rPr>
                <w:color w:val="262626"/>
                <w:sz w:val="20"/>
                <w:szCs w:val="20"/>
                <w:lang w:eastAsia="ja-JP"/>
              </w:rPr>
              <w:t>107,1</w:t>
            </w:r>
          </w:p>
        </w:tc>
        <w:tc>
          <w:tcPr>
            <w:tcW w:w="1060" w:type="dxa"/>
            <w:tcBorders>
              <w:top w:val="nil"/>
              <w:left w:val="nil"/>
              <w:bottom w:val="single" w:sz="8" w:space="0" w:color="990000"/>
              <w:right w:val="single" w:sz="8" w:space="0" w:color="990000"/>
            </w:tcBorders>
            <w:shd w:val="clear" w:color="000000" w:fill="FFFFCC"/>
            <w:vAlign w:val="center"/>
            <w:hideMark/>
          </w:tcPr>
          <w:p w14:paraId="7A1A7862" w14:textId="77777777" w:rsidR="004F29B4" w:rsidRPr="004F29B4" w:rsidRDefault="004F29B4" w:rsidP="004F29B4">
            <w:pPr>
              <w:jc w:val="center"/>
              <w:rPr>
                <w:color w:val="262626"/>
                <w:sz w:val="20"/>
                <w:szCs w:val="20"/>
                <w:lang w:eastAsia="ja-JP"/>
              </w:rPr>
            </w:pPr>
            <w:r w:rsidRPr="004F29B4">
              <w:rPr>
                <w:color w:val="262626"/>
                <w:sz w:val="20"/>
                <w:szCs w:val="20"/>
                <w:lang w:eastAsia="ja-JP"/>
              </w:rPr>
              <w:t>18,7</w:t>
            </w:r>
          </w:p>
        </w:tc>
      </w:tr>
      <w:tr w:rsidR="004F29B4" w:rsidRPr="004F29B4" w14:paraId="1C0E6EA1" w14:textId="77777777" w:rsidTr="004F29B4">
        <w:trPr>
          <w:trHeight w:val="270"/>
        </w:trPr>
        <w:tc>
          <w:tcPr>
            <w:tcW w:w="3129" w:type="dxa"/>
            <w:tcBorders>
              <w:top w:val="nil"/>
              <w:left w:val="double" w:sz="6" w:space="0" w:color="990000"/>
              <w:bottom w:val="single" w:sz="8" w:space="0" w:color="990000"/>
              <w:right w:val="single" w:sz="8" w:space="0" w:color="990000"/>
            </w:tcBorders>
            <w:shd w:val="clear" w:color="000000" w:fill="FFFFCC"/>
            <w:vAlign w:val="center"/>
            <w:hideMark/>
          </w:tcPr>
          <w:p w14:paraId="7F7AF3B0" w14:textId="77777777" w:rsidR="004F29B4" w:rsidRPr="004F29B4" w:rsidRDefault="004F29B4" w:rsidP="004F29B4">
            <w:pPr>
              <w:rPr>
                <w:sz w:val="20"/>
                <w:szCs w:val="20"/>
                <w:lang w:eastAsia="en-US"/>
              </w:rPr>
            </w:pPr>
            <w:r w:rsidRPr="004F29B4">
              <w:rPr>
                <w:sz w:val="20"/>
                <w:szCs w:val="20"/>
                <w:lang w:eastAsia="en-US"/>
              </w:rPr>
              <w:t>Внос от Европейския съюз</w:t>
            </w:r>
          </w:p>
        </w:tc>
        <w:tc>
          <w:tcPr>
            <w:tcW w:w="1060" w:type="dxa"/>
            <w:tcBorders>
              <w:top w:val="nil"/>
              <w:left w:val="nil"/>
              <w:bottom w:val="single" w:sz="8" w:space="0" w:color="990000"/>
              <w:right w:val="single" w:sz="8" w:space="0" w:color="990000"/>
            </w:tcBorders>
            <w:shd w:val="clear" w:color="000000" w:fill="FFFFCC"/>
            <w:vAlign w:val="center"/>
            <w:hideMark/>
          </w:tcPr>
          <w:p w14:paraId="2AE3AA10"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25,6</w:t>
            </w:r>
          </w:p>
        </w:tc>
        <w:tc>
          <w:tcPr>
            <w:tcW w:w="1060" w:type="dxa"/>
            <w:tcBorders>
              <w:top w:val="nil"/>
              <w:left w:val="nil"/>
              <w:bottom w:val="single" w:sz="8" w:space="0" w:color="990000"/>
              <w:right w:val="single" w:sz="8" w:space="0" w:color="990000"/>
            </w:tcBorders>
            <w:shd w:val="clear" w:color="000000" w:fill="FFFFCC"/>
            <w:vAlign w:val="center"/>
            <w:hideMark/>
          </w:tcPr>
          <w:p w14:paraId="7AFFFCDA" w14:textId="77777777" w:rsidR="004F29B4" w:rsidRPr="004F29B4" w:rsidRDefault="004F29B4" w:rsidP="004F29B4">
            <w:pPr>
              <w:jc w:val="center"/>
              <w:rPr>
                <w:color w:val="262626"/>
                <w:sz w:val="20"/>
                <w:szCs w:val="20"/>
                <w:lang w:eastAsia="ja-JP"/>
              </w:rPr>
            </w:pPr>
            <w:r w:rsidRPr="004F29B4">
              <w:rPr>
                <w:color w:val="262626"/>
                <w:sz w:val="20"/>
                <w:szCs w:val="20"/>
                <w:lang w:eastAsia="ja-JP"/>
              </w:rPr>
              <w:t>49,6</w:t>
            </w:r>
          </w:p>
        </w:tc>
        <w:tc>
          <w:tcPr>
            <w:tcW w:w="1060" w:type="dxa"/>
            <w:tcBorders>
              <w:top w:val="nil"/>
              <w:left w:val="nil"/>
              <w:bottom w:val="single" w:sz="8" w:space="0" w:color="990000"/>
              <w:right w:val="single" w:sz="8" w:space="0" w:color="990000"/>
            </w:tcBorders>
            <w:shd w:val="clear" w:color="000000" w:fill="FFFFCC"/>
            <w:vAlign w:val="center"/>
            <w:hideMark/>
          </w:tcPr>
          <w:p w14:paraId="49943D9E"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26,5</w:t>
            </w:r>
          </w:p>
        </w:tc>
        <w:tc>
          <w:tcPr>
            <w:tcW w:w="1060" w:type="dxa"/>
            <w:tcBorders>
              <w:top w:val="nil"/>
              <w:left w:val="nil"/>
              <w:bottom w:val="single" w:sz="8" w:space="0" w:color="990000"/>
              <w:right w:val="single" w:sz="8" w:space="0" w:color="990000"/>
            </w:tcBorders>
            <w:shd w:val="clear" w:color="000000" w:fill="FFFFCC"/>
            <w:vAlign w:val="center"/>
            <w:hideMark/>
          </w:tcPr>
          <w:p w14:paraId="570CAB24" w14:textId="77777777" w:rsidR="004F29B4" w:rsidRPr="004F29B4" w:rsidRDefault="004F29B4" w:rsidP="004F29B4">
            <w:pPr>
              <w:jc w:val="center"/>
              <w:rPr>
                <w:color w:val="262626"/>
                <w:sz w:val="20"/>
                <w:szCs w:val="20"/>
                <w:lang w:eastAsia="ja-JP"/>
              </w:rPr>
            </w:pPr>
            <w:r w:rsidRPr="004F29B4">
              <w:rPr>
                <w:color w:val="262626"/>
                <w:sz w:val="20"/>
                <w:szCs w:val="20"/>
                <w:lang w:eastAsia="ja-JP"/>
              </w:rPr>
              <w:t>44,6</w:t>
            </w:r>
          </w:p>
        </w:tc>
      </w:tr>
      <w:tr w:rsidR="004F29B4" w:rsidRPr="004F29B4" w14:paraId="5BB386A3" w14:textId="77777777" w:rsidTr="004F29B4">
        <w:trPr>
          <w:trHeight w:val="270"/>
        </w:trPr>
        <w:tc>
          <w:tcPr>
            <w:tcW w:w="3129" w:type="dxa"/>
            <w:tcBorders>
              <w:top w:val="nil"/>
              <w:left w:val="double" w:sz="6" w:space="0" w:color="990000"/>
              <w:bottom w:val="double" w:sz="6" w:space="0" w:color="990000"/>
              <w:right w:val="single" w:sz="8" w:space="0" w:color="990000"/>
            </w:tcBorders>
            <w:shd w:val="clear" w:color="000000" w:fill="FFFFCC"/>
            <w:vAlign w:val="center"/>
            <w:hideMark/>
          </w:tcPr>
          <w:p w14:paraId="70B6D533" w14:textId="77777777" w:rsidR="004F29B4" w:rsidRPr="004F29B4" w:rsidRDefault="004F29B4" w:rsidP="004F29B4">
            <w:pPr>
              <w:rPr>
                <w:sz w:val="20"/>
                <w:szCs w:val="20"/>
                <w:lang w:eastAsia="en-US"/>
              </w:rPr>
            </w:pPr>
            <w:r w:rsidRPr="004F29B4">
              <w:rPr>
                <w:sz w:val="20"/>
                <w:szCs w:val="20"/>
                <w:lang w:eastAsia="en-US"/>
              </w:rPr>
              <w:t>Внос от страни извън ЕС</w:t>
            </w:r>
          </w:p>
        </w:tc>
        <w:tc>
          <w:tcPr>
            <w:tcW w:w="1060" w:type="dxa"/>
            <w:tcBorders>
              <w:top w:val="nil"/>
              <w:left w:val="nil"/>
              <w:bottom w:val="double" w:sz="6" w:space="0" w:color="990000"/>
              <w:right w:val="single" w:sz="8" w:space="0" w:color="990000"/>
            </w:tcBorders>
            <w:shd w:val="clear" w:color="000000" w:fill="FFFFCC"/>
            <w:vAlign w:val="center"/>
            <w:hideMark/>
          </w:tcPr>
          <w:p w14:paraId="311E0701" w14:textId="77777777" w:rsidR="004F29B4" w:rsidRPr="004F29B4" w:rsidRDefault="004F29B4" w:rsidP="004F29B4">
            <w:pPr>
              <w:jc w:val="center"/>
              <w:rPr>
                <w:color w:val="262626"/>
                <w:sz w:val="20"/>
                <w:szCs w:val="20"/>
                <w:lang w:eastAsia="ja-JP"/>
              </w:rPr>
            </w:pPr>
            <w:r w:rsidRPr="004F29B4">
              <w:rPr>
                <w:color w:val="262626"/>
                <w:sz w:val="20"/>
                <w:szCs w:val="20"/>
                <w:lang w:eastAsia="ja-JP"/>
              </w:rPr>
              <w:t>29,8</w:t>
            </w:r>
          </w:p>
        </w:tc>
        <w:tc>
          <w:tcPr>
            <w:tcW w:w="1060" w:type="dxa"/>
            <w:tcBorders>
              <w:top w:val="nil"/>
              <w:left w:val="nil"/>
              <w:bottom w:val="double" w:sz="6" w:space="0" w:color="990000"/>
              <w:right w:val="single" w:sz="8" w:space="0" w:color="990000"/>
            </w:tcBorders>
            <w:shd w:val="clear" w:color="000000" w:fill="FFFFCC"/>
            <w:vAlign w:val="center"/>
            <w:hideMark/>
          </w:tcPr>
          <w:p w14:paraId="67FF8668" w14:textId="77777777" w:rsidR="004F29B4" w:rsidRPr="004F29B4" w:rsidRDefault="004F29B4" w:rsidP="004F29B4">
            <w:pPr>
              <w:jc w:val="center"/>
              <w:rPr>
                <w:color w:val="262626"/>
                <w:sz w:val="20"/>
                <w:szCs w:val="20"/>
                <w:lang w:eastAsia="ja-JP"/>
              </w:rPr>
            </w:pPr>
            <w:r w:rsidRPr="004F29B4">
              <w:rPr>
                <w:color w:val="262626"/>
                <w:sz w:val="20"/>
                <w:szCs w:val="20"/>
                <w:lang w:eastAsia="ja-JP"/>
              </w:rPr>
              <w:t>50,4</w:t>
            </w:r>
          </w:p>
        </w:tc>
        <w:tc>
          <w:tcPr>
            <w:tcW w:w="1060" w:type="dxa"/>
            <w:tcBorders>
              <w:top w:val="nil"/>
              <w:left w:val="nil"/>
              <w:bottom w:val="double" w:sz="6" w:space="0" w:color="990000"/>
              <w:right w:val="single" w:sz="8" w:space="0" w:color="990000"/>
            </w:tcBorders>
            <w:shd w:val="clear" w:color="000000" w:fill="FFFFCC"/>
            <w:vAlign w:val="center"/>
            <w:hideMark/>
          </w:tcPr>
          <w:p w14:paraId="50D423D7" w14:textId="77777777" w:rsidR="004F29B4" w:rsidRPr="004F29B4" w:rsidRDefault="004F29B4" w:rsidP="004F29B4">
            <w:pPr>
              <w:jc w:val="center"/>
              <w:rPr>
                <w:color w:val="262626"/>
                <w:sz w:val="20"/>
                <w:szCs w:val="20"/>
                <w:lang w:eastAsia="ja-JP"/>
              </w:rPr>
            </w:pPr>
            <w:r w:rsidRPr="004F29B4">
              <w:rPr>
                <w:color w:val="262626"/>
                <w:sz w:val="20"/>
                <w:szCs w:val="20"/>
                <w:lang w:eastAsia="ja-JP"/>
              </w:rPr>
              <w:t>55,0</w:t>
            </w:r>
          </w:p>
        </w:tc>
        <w:tc>
          <w:tcPr>
            <w:tcW w:w="1060" w:type="dxa"/>
            <w:tcBorders>
              <w:top w:val="nil"/>
              <w:left w:val="nil"/>
              <w:bottom w:val="double" w:sz="6" w:space="0" w:color="990000"/>
              <w:right w:val="single" w:sz="8" w:space="0" w:color="990000"/>
            </w:tcBorders>
            <w:shd w:val="clear" w:color="000000" w:fill="FFFFCC"/>
            <w:vAlign w:val="center"/>
            <w:hideMark/>
          </w:tcPr>
          <w:p w14:paraId="756FC3B2" w14:textId="77777777" w:rsidR="004F29B4" w:rsidRPr="004F29B4" w:rsidRDefault="004F29B4" w:rsidP="004F29B4">
            <w:pPr>
              <w:jc w:val="center"/>
              <w:rPr>
                <w:color w:val="262626"/>
                <w:sz w:val="20"/>
                <w:szCs w:val="20"/>
                <w:lang w:eastAsia="ja-JP"/>
              </w:rPr>
            </w:pPr>
            <w:r w:rsidRPr="004F29B4">
              <w:rPr>
                <w:color w:val="262626"/>
                <w:sz w:val="20"/>
                <w:szCs w:val="20"/>
                <w:lang w:eastAsia="ja-JP"/>
              </w:rPr>
              <w:t>55,4</w:t>
            </w:r>
          </w:p>
        </w:tc>
      </w:tr>
    </w:tbl>
    <w:p w14:paraId="67F06997" w14:textId="77777777" w:rsidR="004F29B4" w:rsidRPr="00102FF7" w:rsidRDefault="004F29B4" w:rsidP="00102FF7">
      <w:pPr>
        <w:ind w:left="709" w:right="1013"/>
        <w:jc w:val="right"/>
        <w:rPr>
          <w:i/>
          <w:sz w:val="20"/>
          <w:szCs w:val="20"/>
        </w:rPr>
      </w:pPr>
      <w:r w:rsidRPr="00102FF7">
        <w:rPr>
          <w:i/>
          <w:sz w:val="20"/>
          <w:szCs w:val="20"/>
        </w:rPr>
        <w:t>Източник: Изчисления на МФ по данни на БНБ</w:t>
      </w:r>
    </w:p>
    <w:p w14:paraId="0D0FBD12" w14:textId="77777777" w:rsidR="004F29B4" w:rsidRPr="004F29B4" w:rsidRDefault="004F29B4" w:rsidP="00102FF7">
      <w:pPr>
        <w:spacing w:before="120"/>
        <w:ind w:firstLine="720"/>
        <w:jc w:val="both"/>
      </w:pPr>
      <w:r w:rsidRPr="004F29B4">
        <w:t>Излишъкът при услугите продължи да нараства, достигайки 6,3 % от БВП. Основен принос за подобрението от 0,6 пр. п. имаха приходите от пътувания на чужденци в страната, както и услугите, свързани с информационни технологии и далекосъобщения. В резултат, износът на услуги се увеличи с 29,4 %, а вносът - с 28,5 %. Дефицитът по първичния доход се сви до 2,9 % от БВП през 2022 г. при 4,7 % година по-рано. Причината бе понижение на изплатения доход от преки инвестиции към нерезиденти. Излишъкът по вторичния доход нарасна с 0,5 пр. п. до 1,7 % от БВП поради увеличение на входящите средства от фондовете на ЕС, в т.ч. и първия трансфер по Плана за възстановяване и устойчивост.</w:t>
      </w:r>
    </w:p>
    <w:p w14:paraId="2FD50EA4" w14:textId="77777777" w:rsidR="004F29B4" w:rsidRPr="004F29B4" w:rsidRDefault="004F29B4" w:rsidP="004F29B4">
      <w:pPr>
        <w:ind w:firstLine="720"/>
        <w:jc w:val="both"/>
      </w:pPr>
      <w:r w:rsidRPr="004F29B4">
        <w:t>През 2022 г. потокът на активите по финансовата сметка надвиши този на пасивите с 689,2 млн. евро. Годишните входящи потоци по преките чуждестранни инвестиции достигнаха 3,6 % от БВП или малко над 3 млрд. евро, като бяха почти равномерно разпределение между реинвестирана печалба и дългови инструменти. Общата динамика на пасивите по финансовата сметка бе повлияна и от новоемитирания през септември външен дълг на сектор Държавно управление.</w:t>
      </w:r>
    </w:p>
    <w:p w14:paraId="1B9F7EC6" w14:textId="77777777" w:rsidR="004F29B4" w:rsidRPr="004D5FFC" w:rsidRDefault="004F29B4" w:rsidP="004F29B4">
      <w:pPr>
        <w:spacing w:after="160"/>
        <w:ind w:firstLine="567"/>
        <w:jc w:val="both"/>
        <w:rPr>
          <w:rFonts w:ascii="Calibri" w:hAnsi="Calibri"/>
          <w:color w:val="262626"/>
          <w:sz w:val="22"/>
          <w:szCs w:val="20"/>
          <w:lang w:val="ru-RU" w:eastAsia="ja-JP"/>
        </w:rPr>
      </w:pPr>
      <w:r w:rsidRPr="004F29B4">
        <w:t>Брутният външен дълг на България достигна 44,4 млрд. евро (52,5 % от БВП) към декември 2022 г., което представлява номинално нарастване от 7,8 % спрямо предходната година. Всички институционални сектори допринесоха за увеличението на дълга. Най-съществено влияние имаха финансовите фирми, чийто външни задължения се увеличиха с 26,8 % спрямо декември 2021 г. Външните задължения на останалите институционални сектори също се увеличиха, както следва: Държавно управление - със 7,1 %, вътрешнофирмено кредитиране - с 6 %, Централна банка с 4,8 %  и други сектори - с 3,1 %.</w:t>
      </w:r>
    </w:p>
    <w:p w14:paraId="50CF398F" w14:textId="791BB134" w:rsidR="004F29B4" w:rsidRPr="009D4353" w:rsidRDefault="004F29B4" w:rsidP="00BD39E0">
      <w:pPr>
        <w:pStyle w:val="Heading3"/>
        <w:numPr>
          <w:ilvl w:val="1"/>
          <w:numId w:val="64"/>
        </w:numPr>
        <w:tabs>
          <w:tab w:val="num" w:pos="720"/>
        </w:tabs>
        <w:ind w:left="720" w:hanging="360"/>
        <w:rPr>
          <w:rFonts w:ascii="Times New Roman" w:hAnsi="Times New Roman"/>
          <w:sz w:val="24"/>
          <w:lang w:val="bg-BG"/>
        </w:rPr>
      </w:pPr>
      <w:r w:rsidRPr="009D4353">
        <w:rPr>
          <w:rFonts w:ascii="Times New Roman" w:hAnsi="Times New Roman"/>
          <w:sz w:val="24"/>
          <w:lang w:val="bg-BG"/>
        </w:rPr>
        <w:t xml:space="preserve"> </w:t>
      </w:r>
      <w:bookmarkStart w:id="20" w:name="_Toc146037875"/>
      <w:r w:rsidRPr="009D4353">
        <w:rPr>
          <w:rFonts w:ascii="Times New Roman" w:hAnsi="Times New Roman"/>
          <w:sz w:val="24"/>
          <w:lang w:val="bg-BG"/>
        </w:rPr>
        <w:t>Паричен сектор</w:t>
      </w:r>
      <w:bookmarkEnd w:id="20"/>
    </w:p>
    <w:p w14:paraId="38E015AA" w14:textId="77777777" w:rsidR="004F29B4" w:rsidRPr="004F29B4" w:rsidRDefault="004F29B4" w:rsidP="004F29B4">
      <w:pPr>
        <w:ind w:firstLine="720"/>
        <w:jc w:val="both"/>
      </w:pPr>
      <w:r w:rsidRPr="004F29B4">
        <w:t xml:space="preserve">Основната цел на паричната политика в България е поддържане на ценовата стабилност чрез осигуряване стабилността на националната парична единица. Постигането на тази цел се осъществява чрез режим на паричен съвет с фиксиран валутен курс на националната валута към еврото. </w:t>
      </w:r>
    </w:p>
    <w:p w14:paraId="07ABF81F" w14:textId="77777777" w:rsidR="004F29B4" w:rsidRPr="004F29B4" w:rsidRDefault="004F29B4" w:rsidP="004F29B4">
      <w:pPr>
        <w:ind w:firstLine="720"/>
        <w:jc w:val="both"/>
      </w:pPr>
      <w:r w:rsidRPr="004F29B4">
        <w:t xml:space="preserve">Към края на декември 2022 г. пазарната стойност на брутните международни валутни резерви възлезе на 38,4 млрд. евро, а темпът им на растеж достигна 11,1 % на годишна база. Съгласно принципите на функциониране на паричния съвет динамиката на международните валутни резерви съответства на нарастването на балансовата стойност на пасивите на управление „Емисионно“ на Българска народна банка. Основен принос за лекото забавяне на растежа на пасивите на управление „Емисионно“ имаше по-ниския растеж на банкнотите и монетите в обращение. Същевременно, те имаха най-голям принос за нарастването на брутните международни резерви през годината, за което в по-малка степен спомогнаха също банковите резерви и депозитът на правителството в БНБ.  </w:t>
      </w:r>
    </w:p>
    <w:p w14:paraId="6B5A7D2C" w14:textId="77777777" w:rsidR="004F29B4" w:rsidRPr="004F29B4" w:rsidRDefault="004F29B4" w:rsidP="004F29B4">
      <w:pPr>
        <w:ind w:firstLine="720"/>
        <w:jc w:val="both"/>
      </w:pPr>
      <w:r w:rsidRPr="004F29B4">
        <w:t>В края на 2022 г. годишният растеж на паричното предлагане се ускори до 13,2 % при 10,7 % в края на 2021 г., което отразяваше ускоряването на растежа на овърнайт депозитите, и особено на тези в чуждестранна валута.</w:t>
      </w:r>
    </w:p>
    <w:p w14:paraId="0980FEDE" w14:textId="77777777" w:rsidR="004F29B4" w:rsidRPr="004F29B4" w:rsidRDefault="004F29B4" w:rsidP="004F29B4">
      <w:pPr>
        <w:ind w:firstLine="720"/>
        <w:jc w:val="both"/>
      </w:pPr>
      <w:r w:rsidRPr="004F29B4">
        <w:t xml:space="preserve">През 2022 г. банковата система запази стабилност и продължи да функционира при високи нива на ликвидност и капиталова адекватност в ситуация на икономическо възстановяване, но продължаваща несигурност. Печалбата на банковата система към 31 декември 2022 г. отбеляза повишение с 46,8 % и възлезе на 2,1 млрд. лв. при 1,4 млрд. лв. за 2021 г. Основните фактори, които допринесоха за това бяха по-големият размер на основните компоненти на дохода (нетен лихвен доход, такси и комисионни). По-високият размер на реализирания финансов резултат на банковата система допринесе за повишаването на показателите за доходност на системата. </w:t>
      </w:r>
    </w:p>
    <w:p w14:paraId="34BE441F" w14:textId="77777777" w:rsidR="004F29B4" w:rsidRPr="004F29B4" w:rsidRDefault="004F29B4" w:rsidP="004F29B4">
      <w:pPr>
        <w:ind w:firstLine="720"/>
        <w:jc w:val="both"/>
      </w:pPr>
      <w:r w:rsidRPr="004F29B4">
        <w:t>Годишният растеж на кредита за частния сектор следваше тенденция на ускорение от началото на 2022 г. до края на август, когато темпът му се повиши до 13,9 % спрямо 8,7 % в края на 2021 г. През останалите месеци от годината частният кредит забавяше нарастването си, след като лихвените проценти започнаха плавно да се повишават в резултат от започналия възходящ лихвен цикъл на ЕЦБ, и в края на декември ръстът му на годишна база достигна 12,7 %.</w:t>
      </w:r>
    </w:p>
    <w:p w14:paraId="22F20B41" w14:textId="765E6B4B" w:rsidR="004F29B4" w:rsidRPr="004F29B4" w:rsidRDefault="004F29B4" w:rsidP="004F29B4">
      <w:pPr>
        <w:ind w:firstLine="720"/>
        <w:jc w:val="both"/>
      </w:pPr>
      <w:r w:rsidRPr="004F29B4">
        <w:t>Силно търсене на заемни ресурси през 2022 г. беше налице както от страна на нефинансовите предприятия, така и от страна на домакинствата. Кредитите за нефинансови предприятия (10,4 % на годишна база) бяха движени главно от овърдрафтите, а от началото на третото тримесечие – и от краткосрочните заеми. Тази динамика отразяваше повишеното търсене на оборотен капитал от страна на предприятията на фона на значително повишени производствени разходи поради по-високите цени на суровините, а също и предвид затрудненията по веригите на доставки. Устойчивата среда на ниски номинални лихвени проценти с нарастваща инфлация допринесе за продължаващото високо търсене на кредити от домакинствата. Потребителските кредити се увеличиха в края на 2022 г. с 12,3 %. Жилищните кредити нараснаха със 17,9 %, за което допълнителен фактор беше продължаващото двуцифрено нарастване на цените на недвижимите имоти.</w:t>
      </w:r>
    </w:p>
    <w:p w14:paraId="3AA68273" w14:textId="77777777" w:rsidR="004F29B4" w:rsidRPr="004F29B4" w:rsidRDefault="004F29B4" w:rsidP="004F29B4">
      <w:pPr>
        <w:keepNext/>
        <w:spacing w:after="120"/>
        <w:jc w:val="center"/>
        <w:rPr>
          <w:b/>
          <w:bCs/>
          <w:i/>
        </w:rPr>
      </w:pPr>
    </w:p>
    <w:p w14:paraId="20E74B59" w14:textId="77777777" w:rsidR="004F29B4" w:rsidRPr="004F29B4" w:rsidRDefault="004F29B4" w:rsidP="004F29B4">
      <w:pPr>
        <w:keepNext/>
        <w:spacing w:after="120"/>
        <w:jc w:val="center"/>
        <w:rPr>
          <w:b/>
          <w:bCs/>
          <w:i/>
        </w:rPr>
      </w:pPr>
      <w:r w:rsidRPr="004F29B4">
        <w:rPr>
          <w:b/>
          <w:bCs/>
          <w:i/>
        </w:rPr>
        <w:t>Динамика на кредита към частния сектор (%)</w:t>
      </w:r>
    </w:p>
    <w:p w14:paraId="64425971" w14:textId="77777777" w:rsidR="004F29B4" w:rsidRPr="004F29B4" w:rsidRDefault="004F29B4" w:rsidP="004F29B4">
      <w:pPr>
        <w:spacing w:after="160" w:line="276" w:lineRule="auto"/>
        <w:jc w:val="both"/>
        <w:rPr>
          <w:rFonts w:ascii="Calibri" w:hAnsi="Calibri"/>
          <w:i/>
          <w:iCs/>
          <w:color w:val="262626"/>
          <w:sz w:val="20"/>
          <w:szCs w:val="20"/>
          <w:lang w:eastAsia="ja-JP"/>
        </w:rPr>
      </w:pPr>
      <w:r w:rsidRPr="004F29B4">
        <w:rPr>
          <w:rFonts w:ascii="Calibri" w:hAnsi="Calibri"/>
          <w:noProof/>
          <w:color w:val="262626"/>
          <w:sz w:val="22"/>
          <w:szCs w:val="20"/>
        </w:rPr>
        <w:drawing>
          <wp:inline distT="0" distB="0" distL="0" distR="0" wp14:anchorId="1BCC0A12" wp14:editId="7DAB04F0">
            <wp:extent cx="5705475" cy="2710815"/>
            <wp:effectExtent l="0" t="0" r="0" b="0"/>
            <wp:docPr id="9" name="Chart 9">
              <a:extLst xmlns:a="http://schemas.openxmlformats.org/drawingml/2006/main">
                <a:ext uri="{FF2B5EF4-FFF2-40B4-BE49-F238E27FC236}">
                  <a16:creationId xmlns:a16="http://schemas.microsoft.com/office/drawing/2014/main" id="{00000000-0008-0000-08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06E2229" w14:textId="77777777" w:rsidR="004F29B4" w:rsidRPr="004F29B4" w:rsidRDefault="004F29B4" w:rsidP="004F29B4">
      <w:pPr>
        <w:spacing w:after="160" w:line="276" w:lineRule="auto"/>
        <w:jc w:val="right"/>
        <w:rPr>
          <w:i/>
          <w:iCs/>
          <w:color w:val="262626"/>
          <w:sz w:val="20"/>
          <w:szCs w:val="20"/>
          <w:lang w:eastAsia="ja-JP"/>
        </w:rPr>
      </w:pPr>
      <w:r w:rsidRPr="004F29B4">
        <w:rPr>
          <w:i/>
          <w:iCs/>
          <w:color w:val="262626"/>
          <w:sz w:val="20"/>
          <w:szCs w:val="20"/>
          <w:lang w:eastAsia="ja-JP"/>
        </w:rPr>
        <w:t>Източник: БНБ</w:t>
      </w:r>
    </w:p>
    <w:p w14:paraId="7C215E20" w14:textId="513C9964" w:rsidR="004F29B4" w:rsidRPr="00E70706" w:rsidRDefault="004F29B4" w:rsidP="00BD39E0">
      <w:pPr>
        <w:pStyle w:val="ListParagraph"/>
        <w:keepNext/>
        <w:numPr>
          <w:ilvl w:val="0"/>
          <w:numId w:val="64"/>
        </w:numPr>
        <w:tabs>
          <w:tab w:val="num" w:pos="7590"/>
        </w:tabs>
        <w:spacing w:after="120" w:line="276" w:lineRule="auto"/>
        <w:jc w:val="both"/>
        <w:outlineLvl w:val="0"/>
        <w:rPr>
          <w:b/>
          <w:bCs/>
        </w:rPr>
      </w:pPr>
      <w:bookmarkStart w:id="21" w:name="_Toc146037876"/>
      <w:r w:rsidRPr="00E70706">
        <w:rPr>
          <w:b/>
          <w:bCs/>
        </w:rPr>
        <w:t>Съпоставка на отчетните данни с допусканията и параметрите, заложени в макроикономическата прогноза по Закона за изменение и допълнение на Закона за държавния бюдж</w:t>
      </w:r>
      <w:r w:rsidR="00DC7D89">
        <w:rPr>
          <w:b/>
          <w:bCs/>
        </w:rPr>
        <w:t>ет на Република България за 2022</w:t>
      </w:r>
      <w:r w:rsidRPr="00E70706">
        <w:rPr>
          <w:b/>
          <w:bCs/>
        </w:rPr>
        <w:t xml:space="preserve"> г.</w:t>
      </w:r>
      <w:bookmarkEnd w:id="21"/>
      <w:r w:rsidRPr="00E70706">
        <w:rPr>
          <w:b/>
          <w:bCs/>
        </w:rPr>
        <w:t xml:space="preserve"> </w:t>
      </w:r>
    </w:p>
    <w:p w14:paraId="2724ECA9" w14:textId="77777777" w:rsidR="004F29B4" w:rsidRPr="004F29B4" w:rsidRDefault="004F29B4" w:rsidP="004F29B4">
      <w:pPr>
        <w:ind w:firstLine="720"/>
        <w:jc w:val="both"/>
      </w:pPr>
      <w:r w:rsidRPr="004F29B4">
        <w:t>Представената съпоставка на отчетните данни за 2022 г. е спрямо макроикономическата прогноза</w:t>
      </w:r>
      <w:r w:rsidRPr="004F29B4">
        <w:footnoteReference w:id="3"/>
      </w:r>
      <w:r w:rsidRPr="004F29B4">
        <w:t>, с която бе приет ЗИД на ЗДБРБ за 2022 г.</w:t>
      </w:r>
    </w:p>
    <w:p w14:paraId="4E97CCC3" w14:textId="77777777" w:rsidR="004F29B4" w:rsidRPr="004F29B4" w:rsidRDefault="004F29B4" w:rsidP="004F29B4">
      <w:pPr>
        <w:ind w:firstLine="720"/>
        <w:jc w:val="both"/>
      </w:pPr>
      <w:r w:rsidRPr="004F29B4">
        <w:t>Номиналната стойност на брутния вътрешен продукт за 2022 г. по отчетни данни към април 2023 г. е с 14 890 млн. лв. по-висока от прогнозата, използвана в ЗИД на ЗДБРБ за 2022 г., изготвена през май 2022 г. Около 7</w:t>
      </w:r>
      <w:r w:rsidRPr="004D5FFC">
        <w:rPr>
          <w:lang w:val="ru-RU"/>
        </w:rPr>
        <w:t>,</w:t>
      </w:r>
      <w:r w:rsidRPr="004F29B4">
        <w:t xml:space="preserve">1 млрд. лв. от разликата се дължи на ревизия на данните за БВП за 2021 г., публикувана през октомври 2022 г., а останалата част (7,8 млрд. лв.) е резултат от разминаване между прогноза и отчет. Номиналната стойност на БВП за 2022 г. нарасна с 19 % при прогноза за растеж от 13,4 %. </w:t>
      </w:r>
    </w:p>
    <w:p w14:paraId="3097259D" w14:textId="77777777" w:rsidR="004F29B4" w:rsidRPr="004F29B4" w:rsidRDefault="004F29B4" w:rsidP="004F29B4">
      <w:pPr>
        <w:ind w:firstLine="720"/>
        <w:jc w:val="both"/>
      </w:pPr>
      <w:r w:rsidRPr="004F29B4">
        <w:t xml:space="preserve">Реалният растеж на БВП бе по-висок от прогнозирания в ЗИД на ЗДБРБ за 2022 г. с 0,5 пр. п. Компонентите с по-голям положителен принос за растежа от очаквания бяха крайното потребление и изменението на запасите. В същото време бруто образуването на основен капитал и нетният износ бяха с по-съществен отрицателен принос. Публичното и частното потребление бяха компонентите с най-голямо разминаване в положителна посока. Очакванията бяха, че по-слабото нарастване на реалния разполагаем доход и повишената несигурност ще доведат до по-съществено забавяне в растежа на потреблението на домакинствата, но неговото увеличение се оказа устойчиво. </w:t>
      </w:r>
    </w:p>
    <w:p w14:paraId="318ACA88" w14:textId="77777777" w:rsidR="004F29B4" w:rsidRPr="004F29B4" w:rsidRDefault="004F29B4" w:rsidP="004F29B4">
      <w:pPr>
        <w:ind w:firstLine="720"/>
        <w:jc w:val="both"/>
      </w:pPr>
      <w:r w:rsidRPr="004F29B4">
        <w:t>Освен по-висок спрямо очакванията реален растеж бе регистриран и по-голям дефлатор на БВП (с 4,9 пр. п.). Принос за второто имаха всички компоненти, но най-вече дефлаторът на потреблението на домакинствата, който достигна 16,6 % и надмина средногодишната инфлация както по ХИПЦ, така и по ИПЦ.</w:t>
      </w:r>
    </w:p>
    <w:p w14:paraId="34889CB9" w14:textId="77777777" w:rsidR="004F29B4" w:rsidRPr="004F29B4" w:rsidRDefault="004F29B4" w:rsidP="004F29B4">
      <w:pPr>
        <w:jc w:val="both"/>
        <w:rPr>
          <w:color w:val="FF0000"/>
        </w:rPr>
      </w:pPr>
    </w:p>
    <w:p w14:paraId="77F12C76" w14:textId="77777777" w:rsidR="004F29B4" w:rsidRPr="004F29B4" w:rsidRDefault="004F29B4" w:rsidP="004F29B4">
      <w:pPr>
        <w:keepNext/>
        <w:spacing w:after="120"/>
        <w:jc w:val="center"/>
        <w:rPr>
          <w:b/>
          <w:bCs/>
          <w:i/>
          <w:color w:val="262626"/>
        </w:rPr>
      </w:pPr>
      <w:r w:rsidRPr="004F29B4">
        <w:rPr>
          <w:b/>
          <w:bCs/>
          <w:i/>
          <w:color w:val="262626"/>
        </w:rPr>
        <w:t>Външни допускания и основни макроикономически показатели на България през 2022 г.</w:t>
      </w:r>
    </w:p>
    <w:tbl>
      <w:tblPr>
        <w:tblW w:w="8322" w:type="dxa"/>
        <w:tblCellMar>
          <w:left w:w="70" w:type="dxa"/>
          <w:right w:w="70" w:type="dxa"/>
        </w:tblCellMar>
        <w:tblLook w:val="04A0" w:firstRow="1" w:lastRow="0" w:firstColumn="1" w:lastColumn="0" w:noHBand="0" w:noVBand="1"/>
      </w:tblPr>
      <w:tblGrid>
        <w:gridCol w:w="4536"/>
        <w:gridCol w:w="1418"/>
        <w:gridCol w:w="1418"/>
        <w:gridCol w:w="950"/>
      </w:tblGrid>
      <w:tr w:rsidR="004F29B4" w:rsidRPr="004F29B4" w14:paraId="0B5188CC" w14:textId="77777777" w:rsidTr="004F29B4">
        <w:trPr>
          <w:trHeight w:val="654"/>
        </w:trPr>
        <w:tc>
          <w:tcPr>
            <w:tcW w:w="4536" w:type="dxa"/>
            <w:tcBorders>
              <w:top w:val="single" w:sz="4" w:space="0" w:color="808080"/>
              <w:left w:val="nil"/>
              <w:bottom w:val="single" w:sz="4" w:space="0" w:color="808080"/>
              <w:right w:val="nil"/>
            </w:tcBorders>
            <w:shd w:val="clear" w:color="auto" w:fill="auto"/>
            <w:vAlign w:val="center"/>
            <w:hideMark/>
          </w:tcPr>
          <w:p w14:paraId="7A43A11A" w14:textId="77777777" w:rsidR="004F29B4" w:rsidRPr="004F29B4" w:rsidRDefault="004F29B4" w:rsidP="004F29B4">
            <w:pPr>
              <w:jc w:val="both"/>
              <w:rPr>
                <w:rFonts w:cs="Calibri"/>
                <w:color w:val="262626"/>
              </w:rPr>
            </w:pPr>
          </w:p>
        </w:tc>
        <w:tc>
          <w:tcPr>
            <w:tcW w:w="1418" w:type="dxa"/>
            <w:tcBorders>
              <w:top w:val="single" w:sz="4" w:space="0" w:color="808080"/>
              <w:left w:val="nil"/>
              <w:bottom w:val="single" w:sz="4" w:space="0" w:color="808080"/>
              <w:right w:val="nil"/>
            </w:tcBorders>
            <w:shd w:val="clear" w:color="auto" w:fill="auto"/>
            <w:vAlign w:val="center"/>
            <w:hideMark/>
          </w:tcPr>
          <w:p w14:paraId="0F885490" w14:textId="77777777" w:rsidR="004F29B4" w:rsidRPr="004F29B4" w:rsidRDefault="004F29B4" w:rsidP="004F29B4">
            <w:pPr>
              <w:ind w:right="216"/>
              <w:jc w:val="center"/>
              <w:rPr>
                <w:rFonts w:cs="Calibri"/>
                <w:color w:val="262626"/>
              </w:rPr>
            </w:pPr>
            <w:r w:rsidRPr="004F29B4">
              <w:rPr>
                <w:rFonts w:cs="Calibri"/>
                <w:color w:val="262626"/>
              </w:rPr>
              <w:t>ЗИД на ЗДБРБ</w:t>
            </w:r>
          </w:p>
        </w:tc>
        <w:tc>
          <w:tcPr>
            <w:tcW w:w="1418" w:type="dxa"/>
            <w:tcBorders>
              <w:top w:val="single" w:sz="4" w:space="0" w:color="808080"/>
              <w:left w:val="nil"/>
              <w:bottom w:val="single" w:sz="4" w:space="0" w:color="808080"/>
              <w:right w:val="nil"/>
            </w:tcBorders>
            <w:shd w:val="clear" w:color="auto" w:fill="auto"/>
            <w:vAlign w:val="center"/>
            <w:hideMark/>
          </w:tcPr>
          <w:p w14:paraId="7C20E45D" w14:textId="77777777" w:rsidR="004F29B4" w:rsidRPr="004F29B4" w:rsidRDefault="004F29B4" w:rsidP="004F29B4">
            <w:pPr>
              <w:jc w:val="both"/>
              <w:rPr>
                <w:rFonts w:cs="Calibri"/>
                <w:color w:val="262626"/>
              </w:rPr>
            </w:pPr>
            <w:r w:rsidRPr="004F29B4">
              <w:rPr>
                <w:rFonts w:cs="Calibri"/>
                <w:color w:val="262626"/>
              </w:rPr>
              <w:t>Отчетни</w:t>
            </w:r>
          </w:p>
          <w:p w14:paraId="14E5ABA4" w14:textId="77777777" w:rsidR="004F29B4" w:rsidRPr="004F29B4" w:rsidRDefault="004F29B4" w:rsidP="004F29B4">
            <w:pPr>
              <w:jc w:val="both"/>
              <w:rPr>
                <w:rFonts w:cs="Calibri"/>
                <w:color w:val="262626"/>
              </w:rPr>
            </w:pPr>
            <w:r w:rsidRPr="004F29B4">
              <w:rPr>
                <w:rFonts w:cs="Calibri"/>
                <w:color w:val="262626"/>
              </w:rPr>
              <w:t>данни</w:t>
            </w:r>
          </w:p>
        </w:tc>
        <w:tc>
          <w:tcPr>
            <w:tcW w:w="950" w:type="dxa"/>
            <w:tcBorders>
              <w:top w:val="single" w:sz="4" w:space="0" w:color="808080"/>
              <w:left w:val="nil"/>
              <w:bottom w:val="single" w:sz="4" w:space="0" w:color="808080"/>
              <w:right w:val="nil"/>
            </w:tcBorders>
            <w:shd w:val="clear" w:color="auto" w:fill="auto"/>
            <w:vAlign w:val="center"/>
            <w:hideMark/>
          </w:tcPr>
          <w:p w14:paraId="49F65CC3" w14:textId="77777777" w:rsidR="004F29B4" w:rsidRPr="004F29B4" w:rsidRDefault="004F29B4" w:rsidP="004F29B4">
            <w:pPr>
              <w:jc w:val="both"/>
              <w:rPr>
                <w:rFonts w:cs="Calibri"/>
                <w:color w:val="262626"/>
              </w:rPr>
            </w:pPr>
            <w:r w:rsidRPr="004F29B4">
              <w:rPr>
                <w:rFonts w:cs="Calibri"/>
                <w:color w:val="262626"/>
              </w:rPr>
              <w:t>Разлика</w:t>
            </w:r>
          </w:p>
        </w:tc>
      </w:tr>
      <w:tr w:rsidR="004F29B4" w:rsidRPr="004F29B4" w14:paraId="23664FA5" w14:textId="77777777" w:rsidTr="004F29B4">
        <w:trPr>
          <w:trHeight w:val="288"/>
        </w:trPr>
        <w:tc>
          <w:tcPr>
            <w:tcW w:w="5954" w:type="dxa"/>
            <w:gridSpan w:val="2"/>
            <w:tcBorders>
              <w:top w:val="nil"/>
              <w:left w:val="nil"/>
              <w:bottom w:val="nil"/>
              <w:right w:val="nil"/>
            </w:tcBorders>
            <w:shd w:val="clear" w:color="auto" w:fill="auto"/>
            <w:noWrap/>
            <w:vAlign w:val="bottom"/>
            <w:hideMark/>
          </w:tcPr>
          <w:p w14:paraId="51F9B96C" w14:textId="77777777" w:rsidR="004F29B4" w:rsidRPr="004F29B4" w:rsidRDefault="004F29B4" w:rsidP="004F29B4">
            <w:pPr>
              <w:jc w:val="both"/>
              <w:rPr>
                <w:rFonts w:cs="Calibri"/>
                <w:b/>
                <w:bCs/>
                <w:color w:val="262626"/>
                <w:sz w:val="20"/>
              </w:rPr>
            </w:pPr>
            <w:r w:rsidRPr="004F29B4">
              <w:rPr>
                <w:rFonts w:cs="Calibri"/>
                <w:b/>
                <w:bCs/>
                <w:color w:val="262626"/>
                <w:sz w:val="20"/>
              </w:rPr>
              <w:t>МЕЖДУНАРОДНА СРЕДА</w:t>
            </w:r>
          </w:p>
        </w:tc>
        <w:tc>
          <w:tcPr>
            <w:tcW w:w="1418" w:type="dxa"/>
            <w:tcBorders>
              <w:top w:val="nil"/>
              <w:left w:val="nil"/>
              <w:bottom w:val="nil"/>
              <w:right w:val="nil"/>
            </w:tcBorders>
            <w:shd w:val="clear" w:color="auto" w:fill="auto"/>
            <w:noWrap/>
            <w:vAlign w:val="bottom"/>
            <w:hideMark/>
          </w:tcPr>
          <w:p w14:paraId="744B50BA" w14:textId="77777777" w:rsidR="004F29B4" w:rsidRPr="004F29B4" w:rsidRDefault="004F29B4" w:rsidP="004F29B4">
            <w:pPr>
              <w:jc w:val="both"/>
              <w:rPr>
                <w:rFonts w:cs="Calibri"/>
                <w:b/>
                <w:bCs/>
                <w:color w:val="0070C0"/>
                <w:sz w:val="20"/>
              </w:rPr>
            </w:pPr>
          </w:p>
        </w:tc>
        <w:tc>
          <w:tcPr>
            <w:tcW w:w="950" w:type="dxa"/>
            <w:tcBorders>
              <w:top w:val="nil"/>
              <w:left w:val="nil"/>
              <w:bottom w:val="nil"/>
              <w:right w:val="nil"/>
            </w:tcBorders>
            <w:shd w:val="clear" w:color="auto" w:fill="auto"/>
            <w:noWrap/>
            <w:vAlign w:val="bottom"/>
            <w:hideMark/>
          </w:tcPr>
          <w:p w14:paraId="0864F060" w14:textId="77777777" w:rsidR="004F29B4" w:rsidRPr="004F29B4" w:rsidRDefault="004F29B4" w:rsidP="004F29B4">
            <w:pPr>
              <w:jc w:val="both"/>
              <w:rPr>
                <w:color w:val="0070C0"/>
                <w:sz w:val="20"/>
              </w:rPr>
            </w:pPr>
          </w:p>
        </w:tc>
      </w:tr>
      <w:tr w:rsidR="004F29B4" w:rsidRPr="004F29B4" w14:paraId="7B6996B8" w14:textId="77777777" w:rsidTr="004F29B4">
        <w:trPr>
          <w:trHeight w:val="288"/>
        </w:trPr>
        <w:tc>
          <w:tcPr>
            <w:tcW w:w="4536" w:type="dxa"/>
            <w:tcBorders>
              <w:top w:val="single" w:sz="4" w:space="0" w:color="808080"/>
              <w:left w:val="nil"/>
              <w:bottom w:val="nil"/>
              <w:right w:val="nil"/>
            </w:tcBorders>
            <w:shd w:val="clear" w:color="auto" w:fill="auto"/>
            <w:vAlign w:val="center"/>
            <w:hideMark/>
          </w:tcPr>
          <w:p w14:paraId="270A2C55" w14:textId="77777777" w:rsidR="004F29B4" w:rsidRPr="004F29B4" w:rsidRDefault="004F29B4" w:rsidP="004F29B4">
            <w:pPr>
              <w:ind w:firstLineChars="100" w:firstLine="200"/>
              <w:jc w:val="both"/>
              <w:rPr>
                <w:color w:val="262626"/>
                <w:sz w:val="20"/>
                <w:szCs w:val="20"/>
              </w:rPr>
            </w:pPr>
            <w:r w:rsidRPr="004F29B4">
              <w:rPr>
                <w:color w:val="262626"/>
                <w:sz w:val="20"/>
                <w:szCs w:val="20"/>
              </w:rPr>
              <w:t>Световна икономика [реален растеж, %]</w:t>
            </w:r>
          </w:p>
        </w:tc>
        <w:tc>
          <w:tcPr>
            <w:tcW w:w="1418" w:type="dxa"/>
            <w:tcBorders>
              <w:top w:val="single" w:sz="4" w:space="0" w:color="808080"/>
              <w:left w:val="nil"/>
              <w:bottom w:val="nil"/>
              <w:right w:val="nil"/>
            </w:tcBorders>
            <w:shd w:val="clear" w:color="auto" w:fill="auto"/>
            <w:noWrap/>
          </w:tcPr>
          <w:p w14:paraId="4C5385FB"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3,2</w:t>
            </w:r>
          </w:p>
        </w:tc>
        <w:tc>
          <w:tcPr>
            <w:tcW w:w="1418" w:type="dxa"/>
            <w:tcBorders>
              <w:top w:val="single" w:sz="4" w:space="0" w:color="808080"/>
              <w:left w:val="nil"/>
              <w:bottom w:val="nil"/>
              <w:right w:val="nil"/>
            </w:tcBorders>
            <w:shd w:val="clear" w:color="auto" w:fill="auto"/>
            <w:noWrap/>
          </w:tcPr>
          <w:p w14:paraId="3B47C480"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3,4</w:t>
            </w:r>
          </w:p>
        </w:tc>
        <w:tc>
          <w:tcPr>
            <w:tcW w:w="950" w:type="dxa"/>
            <w:tcBorders>
              <w:top w:val="single" w:sz="4" w:space="0" w:color="808080"/>
              <w:left w:val="nil"/>
              <w:bottom w:val="nil"/>
              <w:right w:val="nil"/>
            </w:tcBorders>
            <w:shd w:val="clear" w:color="auto" w:fill="auto"/>
            <w:noWrap/>
          </w:tcPr>
          <w:p w14:paraId="4B4A45EE"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0,2</w:t>
            </w:r>
          </w:p>
        </w:tc>
      </w:tr>
      <w:tr w:rsidR="004F29B4" w:rsidRPr="004F29B4" w14:paraId="11F900B8" w14:textId="77777777" w:rsidTr="004F29B4">
        <w:trPr>
          <w:trHeight w:val="288"/>
        </w:trPr>
        <w:tc>
          <w:tcPr>
            <w:tcW w:w="4536" w:type="dxa"/>
            <w:tcBorders>
              <w:top w:val="nil"/>
              <w:left w:val="nil"/>
              <w:bottom w:val="nil"/>
              <w:right w:val="nil"/>
            </w:tcBorders>
            <w:shd w:val="clear" w:color="auto" w:fill="auto"/>
            <w:vAlign w:val="center"/>
            <w:hideMark/>
          </w:tcPr>
          <w:p w14:paraId="1CC81A31" w14:textId="77777777" w:rsidR="004F29B4" w:rsidRPr="004F29B4" w:rsidRDefault="004F29B4" w:rsidP="004F29B4">
            <w:pPr>
              <w:ind w:firstLineChars="100" w:firstLine="200"/>
              <w:jc w:val="both"/>
              <w:rPr>
                <w:color w:val="262626"/>
                <w:sz w:val="20"/>
                <w:szCs w:val="20"/>
              </w:rPr>
            </w:pPr>
            <w:r w:rsidRPr="004F29B4">
              <w:rPr>
                <w:color w:val="262626"/>
                <w:sz w:val="20"/>
                <w:szCs w:val="20"/>
              </w:rPr>
              <w:t>Европейска икономика - ЕС [реален растеж, %]</w:t>
            </w:r>
          </w:p>
        </w:tc>
        <w:tc>
          <w:tcPr>
            <w:tcW w:w="1418" w:type="dxa"/>
            <w:tcBorders>
              <w:top w:val="nil"/>
              <w:left w:val="nil"/>
              <w:bottom w:val="nil"/>
              <w:right w:val="nil"/>
            </w:tcBorders>
            <w:shd w:val="clear" w:color="auto" w:fill="auto"/>
            <w:noWrap/>
          </w:tcPr>
          <w:p w14:paraId="43A17B54"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2,7</w:t>
            </w:r>
          </w:p>
        </w:tc>
        <w:tc>
          <w:tcPr>
            <w:tcW w:w="1418" w:type="dxa"/>
            <w:tcBorders>
              <w:top w:val="nil"/>
              <w:left w:val="nil"/>
              <w:bottom w:val="nil"/>
              <w:right w:val="nil"/>
            </w:tcBorders>
            <w:shd w:val="clear" w:color="auto" w:fill="auto"/>
            <w:noWrap/>
          </w:tcPr>
          <w:p w14:paraId="250521D4"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3,5</w:t>
            </w:r>
          </w:p>
        </w:tc>
        <w:tc>
          <w:tcPr>
            <w:tcW w:w="950" w:type="dxa"/>
            <w:tcBorders>
              <w:top w:val="nil"/>
              <w:left w:val="nil"/>
              <w:bottom w:val="nil"/>
              <w:right w:val="nil"/>
            </w:tcBorders>
            <w:shd w:val="clear" w:color="auto" w:fill="auto"/>
            <w:noWrap/>
          </w:tcPr>
          <w:p w14:paraId="50EF9376"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0,8</w:t>
            </w:r>
          </w:p>
        </w:tc>
      </w:tr>
      <w:tr w:rsidR="004F29B4" w:rsidRPr="004F29B4" w14:paraId="658E1F55" w14:textId="77777777" w:rsidTr="004F29B4">
        <w:trPr>
          <w:trHeight w:val="288"/>
        </w:trPr>
        <w:tc>
          <w:tcPr>
            <w:tcW w:w="4536" w:type="dxa"/>
            <w:tcBorders>
              <w:top w:val="nil"/>
              <w:left w:val="nil"/>
              <w:bottom w:val="nil"/>
              <w:right w:val="nil"/>
            </w:tcBorders>
            <w:shd w:val="clear" w:color="auto" w:fill="auto"/>
            <w:vAlign w:val="center"/>
            <w:hideMark/>
          </w:tcPr>
          <w:p w14:paraId="189D4712" w14:textId="77777777" w:rsidR="004F29B4" w:rsidRPr="004F29B4" w:rsidRDefault="004F29B4" w:rsidP="004F29B4">
            <w:pPr>
              <w:ind w:firstLineChars="100" w:firstLine="200"/>
              <w:jc w:val="both"/>
              <w:rPr>
                <w:color w:val="262626"/>
                <w:sz w:val="20"/>
                <w:szCs w:val="20"/>
              </w:rPr>
            </w:pPr>
            <w:r w:rsidRPr="004F29B4">
              <w:rPr>
                <w:color w:val="262626"/>
                <w:sz w:val="20"/>
                <w:szCs w:val="20"/>
              </w:rPr>
              <w:t xml:space="preserve">Валутен курс щ.д./евро </w:t>
            </w:r>
          </w:p>
        </w:tc>
        <w:tc>
          <w:tcPr>
            <w:tcW w:w="1418" w:type="dxa"/>
            <w:tcBorders>
              <w:top w:val="nil"/>
              <w:left w:val="nil"/>
              <w:bottom w:val="nil"/>
              <w:right w:val="nil"/>
            </w:tcBorders>
            <w:shd w:val="clear" w:color="auto" w:fill="auto"/>
            <w:noWrap/>
          </w:tcPr>
          <w:p w14:paraId="64BC482A"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1,07</w:t>
            </w:r>
          </w:p>
        </w:tc>
        <w:tc>
          <w:tcPr>
            <w:tcW w:w="1418" w:type="dxa"/>
            <w:tcBorders>
              <w:top w:val="nil"/>
              <w:left w:val="nil"/>
              <w:bottom w:val="nil"/>
              <w:right w:val="nil"/>
            </w:tcBorders>
            <w:shd w:val="clear" w:color="auto" w:fill="auto"/>
            <w:noWrap/>
          </w:tcPr>
          <w:p w14:paraId="2629702A"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1,05</w:t>
            </w:r>
          </w:p>
        </w:tc>
        <w:tc>
          <w:tcPr>
            <w:tcW w:w="950" w:type="dxa"/>
            <w:tcBorders>
              <w:top w:val="nil"/>
              <w:left w:val="nil"/>
              <w:bottom w:val="nil"/>
              <w:right w:val="nil"/>
            </w:tcBorders>
            <w:shd w:val="clear" w:color="auto" w:fill="auto"/>
            <w:noWrap/>
          </w:tcPr>
          <w:p w14:paraId="1EC0CD3B"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-0,01</w:t>
            </w:r>
          </w:p>
        </w:tc>
      </w:tr>
      <w:tr w:rsidR="004F29B4" w:rsidRPr="004F29B4" w14:paraId="00465779" w14:textId="77777777" w:rsidTr="004F29B4">
        <w:trPr>
          <w:trHeight w:val="288"/>
        </w:trPr>
        <w:tc>
          <w:tcPr>
            <w:tcW w:w="4536" w:type="dxa"/>
            <w:tcBorders>
              <w:top w:val="nil"/>
              <w:left w:val="nil"/>
              <w:bottom w:val="nil"/>
              <w:right w:val="nil"/>
            </w:tcBorders>
            <w:shd w:val="clear" w:color="auto" w:fill="auto"/>
            <w:vAlign w:val="center"/>
            <w:hideMark/>
          </w:tcPr>
          <w:p w14:paraId="1854E3FC" w14:textId="77777777" w:rsidR="004F29B4" w:rsidRPr="004F29B4" w:rsidRDefault="004F29B4" w:rsidP="004F29B4">
            <w:pPr>
              <w:ind w:firstLineChars="100" w:firstLine="200"/>
              <w:jc w:val="both"/>
              <w:rPr>
                <w:color w:val="262626"/>
                <w:sz w:val="20"/>
                <w:szCs w:val="20"/>
              </w:rPr>
            </w:pPr>
            <w:r w:rsidRPr="004F29B4">
              <w:rPr>
                <w:color w:val="262626"/>
                <w:sz w:val="20"/>
                <w:szCs w:val="20"/>
              </w:rPr>
              <w:t>Цена на петрол "Брент" [щ.д./барел]</w:t>
            </w:r>
          </w:p>
        </w:tc>
        <w:tc>
          <w:tcPr>
            <w:tcW w:w="1418" w:type="dxa"/>
            <w:tcBorders>
              <w:top w:val="nil"/>
              <w:left w:val="nil"/>
              <w:bottom w:val="nil"/>
              <w:right w:val="nil"/>
            </w:tcBorders>
            <w:shd w:val="clear" w:color="auto" w:fill="auto"/>
            <w:noWrap/>
          </w:tcPr>
          <w:p w14:paraId="0BBB07C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100,0</w:t>
            </w:r>
          </w:p>
        </w:tc>
        <w:tc>
          <w:tcPr>
            <w:tcW w:w="1418" w:type="dxa"/>
            <w:tcBorders>
              <w:top w:val="nil"/>
              <w:left w:val="nil"/>
              <w:bottom w:val="nil"/>
              <w:right w:val="nil"/>
            </w:tcBorders>
            <w:shd w:val="clear" w:color="auto" w:fill="auto"/>
            <w:noWrap/>
          </w:tcPr>
          <w:p w14:paraId="2127015E"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99,8</w:t>
            </w:r>
          </w:p>
        </w:tc>
        <w:tc>
          <w:tcPr>
            <w:tcW w:w="950" w:type="dxa"/>
            <w:tcBorders>
              <w:top w:val="nil"/>
              <w:left w:val="nil"/>
              <w:bottom w:val="nil"/>
              <w:right w:val="nil"/>
            </w:tcBorders>
            <w:shd w:val="clear" w:color="auto" w:fill="auto"/>
            <w:noWrap/>
          </w:tcPr>
          <w:p w14:paraId="706C27F8"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-0,2</w:t>
            </w:r>
          </w:p>
        </w:tc>
      </w:tr>
      <w:tr w:rsidR="004F29B4" w:rsidRPr="004F29B4" w14:paraId="7329BBA8" w14:textId="77777777" w:rsidTr="004F29B4">
        <w:trPr>
          <w:trHeight w:val="288"/>
        </w:trPr>
        <w:tc>
          <w:tcPr>
            <w:tcW w:w="4536" w:type="dxa"/>
            <w:tcBorders>
              <w:top w:val="nil"/>
              <w:left w:val="nil"/>
              <w:bottom w:val="nil"/>
              <w:right w:val="nil"/>
            </w:tcBorders>
            <w:shd w:val="clear" w:color="auto" w:fill="auto"/>
            <w:vAlign w:val="center"/>
            <w:hideMark/>
          </w:tcPr>
          <w:p w14:paraId="25967288" w14:textId="77777777" w:rsidR="004F29B4" w:rsidRPr="004F29B4" w:rsidRDefault="004F29B4" w:rsidP="004F29B4">
            <w:pPr>
              <w:ind w:firstLineChars="100" w:firstLine="200"/>
              <w:jc w:val="both"/>
              <w:rPr>
                <w:color w:val="262626"/>
                <w:sz w:val="20"/>
                <w:szCs w:val="20"/>
              </w:rPr>
            </w:pPr>
            <w:r w:rsidRPr="004F29B4">
              <w:rPr>
                <w:color w:val="262626"/>
                <w:sz w:val="20"/>
                <w:szCs w:val="20"/>
              </w:rPr>
              <w:t>Цена на неенергийни суровини [в щ.д., %]</w:t>
            </w:r>
          </w:p>
        </w:tc>
        <w:tc>
          <w:tcPr>
            <w:tcW w:w="1418" w:type="dxa"/>
            <w:tcBorders>
              <w:top w:val="nil"/>
              <w:left w:val="nil"/>
              <w:bottom w:val="nil"/>
              <w:right w:val="nil"/>
            </w:tcBorders>
            <w:shd w:val="clear" w:color="auto" w:fill="auto"/>
            <w:noWrap/>
          </w:tcPr>
          <w:p w14:paraId="17B4A061"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19,2</w:t>
            </w:r>
          </w:p>
        </w:tc>
        <w:tc>
          <w:tcPr>
            <w:tcW w:w="1418" w:type="dxa"/>
            <w:tcBorders>
              <w:top w:val="nil"/>
              <w:left w:val="nil"/>
              <w:bottom w:val="nil"/>
              <w:right w:val="nil"/>
            </w:tcBorders>
            <w:shd w:val="clear" w:color="auto" w:fill="auto"/>
            <w:noWrap/>
          </w:tcPr>
          <w:p w14:paraId="07796A5B"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8,7</w:t>
            </w:r>
          </w:p>
        </w:tc>
        <w:tc>
          <w:tcPr>
            <w:tcW w:w="950" w:type="dxa"/>
            <w:tcBorders>
              <w:top w:val="nil"/>
              <w:left w:val="nil"/>
              <w:bottom w:val="nil"/>
              <w:right w:val="nil"/>
            </w:tcBorders>
            <w:shd w:val="clear" w:color="auto" w:fill="auto"/>
            <w:noWrap/>
          </w:tcPr>
          <w:p w14:paraId="57F1D29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-10,6</w:t>
            </w:r>
          </w:p>
        </w:tc>
      </w:tr>
      <w:tr w:rsidR="004F29B4" w:rsidRPr="004F29B4" w14:paraId="78BED1D3" w14:textId="77777777" w:rsidTr="004F29B4">
        <w:trPr>
          <w:trHeight w:val="80"/>
        </w:trPr>
        <w:tc>
          <w:tcPr>
            <w:tcW w:w="4536" w:type="dxa"/>
            <w:tcBorders>
              <w:top w:val="nil"/>
              <w:left w:val="nil"/>
              <w:bottom w:val="single" w:sz="4" w:space="0" w:color="808080"/>
              <w:right w:val="nil"/>
            </w:tcBorders>
            <w:shd w:val="clear" w:color="auto" w:fill="auto"/>
            <w:vAlign w:val="center"/>
            <w:hideMark/>
          </w:tcPr>
          <w:p w14:paraId="23110814" w14:textId="77777777" w:rsidR="004F29B4" w:rsidRPr="004F29B4" w:rsidRDefault="004F29B4" w:rsidP="004F29B4">
            <w:pPr>
              <w:ind w:firstLineChars="100" w:firstLine="200"/>
              <w:jc w:val="both"/>
              <w:rPr>
                <w:color w:val="262626"/>
                <w:sz w:val="20"/>
                <w:szCs w:val="20"/>
              </w:rPr>
            </w:pPr>
            <w:r w:rsidRPr="004F29B4">
              <w:rPr>
                <w:color w:val="262626"/>
                <w:sz w:val="20"/>
                <w:szCs w:val="20"/>
              </w:rPr>
              <w:t>EURIBOR 3м. [%]</w:t>
            </w:r>
          </w:p>
        </w:tc>
        <w:tc>
          <w:tcPr>
            <w:tcW w:w="1418" w:type="dxa"/>
            <w:tcBorders>
              <w:top w:val="nil"/>
              <w:left w:val="nil"/>
              <w:bottom w:val="single" w:sz="4" w:space="0" w:color="808080"/>
              <w:right w:val="nil"/>
            </w:tcBorders>
            <w:shd w:val="clear" w:color="auto" w:fill="auto"/>
            <w:noWrap/>
          </w:tcPr>
          <w:p w14:paraId="5F6FBE68"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-0,2</w:t>
            </w:r>
          </w:p>
        </w:tc>
        <w:tc>
          <w:tcPr>
            <w:tcW w:w="1418" w:type="dxa"/>
            <w:tcBorders>
              <w:top w:val="nil"/>
              <w:left w:val="nil"/>
              <w:bottom w:val="single" w:sz="4" w:space="0" w:color="808080"/>
              <w:right w:val="nil"/>
            </w:tcBorders>
            <w:shd w:val="clear" w:color="auto" w:fill="auto"/>
            <w:noWrap/>
          </w:tcPr>
          <w:p w14:paraId="5CE87F22"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0,3</w:t>
            </w:r>
          </w:p>
        </w:tc>
        <w:tc>
          <w:tcPr>
            <w:tcW w:w="950" w:type="dxa"/>
            <w:tcBorders>
              <w:top w:val="nil"/>
              <w:left w:val="nil"/>
              <w:bottom w:val="single" w:sz="4" w:space="0" w:color="808080"/>
              <w:right w:val="nil"/>
            </w:tcBorders>
            <w:shd w:val="clear" w:color="auto" w:fill="auto"/>
            <w:noWrap/>
          </w:tcPr>
          <w:p w14:paraId="5E623602"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0,6</w:t>
            </w:r>
          </w:p>
        </w:tc>
      </w:tr>
      <w:tr w:rsidR="004F29B4" w:rsidRPr="004F29B4" w14:paraId="6B447247" w14:textId="77777777" w:rsidTr="004F29B4">
        <w:trPr>
          <w:trHeight w:val="288"/>
        </w:trPr>
        <w:tc>
          <w:tcPr>
            <w:tcW w:w="5954" w:type="dxa"/>
            <w:gridSpan w:val="2"/>
            <w:tcBorders>
              <w:top w:val="nil"/>
              <w:left w:val="nil"/>
              <w:bottom w:val="nil"/>
              <w:right w:val="nil"/>
            </w:tcBorders>
            <w:shd w:val="clear" w:color="auto" w:fill="auto"/>
            <w:noWrap/>
            <w:vAlign w:val="bottom"/>
            <w:hideMark/>
          </w:tcPr>
          <w:p w14:paraId="4B848975" w14:textId="77777777" w:rsidR="004F29B4" w:rsidRPr="004F29B4" w:rsidRDefault="004F29B4" w:rsidP="004F29B4">
            <w:pPr>
              <w:jc w:val="both"/>
              <w:rPr>
                <w:b/>
                <w:bCs/>
                <w:color w:val="262626"/>
                <w:sz w:val="20"/>
                <w:szCs w:val="20"/>
              </w:rPr>
            </w:pPr>
            <w:r w:rsidRPr="004F29B4">
              <w:rPr>
                <w:b/>
                <w:bCs/>
                <w:color w:val="262626"/>
                <w:sz w:val="20"/>
                <w:szCs w:val="20"/>
              </w:rPr>
              <w:t>БРУТЕН ВЪТРЕШЕН ПРОДУКТ</w:t>
            </w:r>
          </w:p>
        </w:tc>
        <w:tc>
          <w:tcPr>
            <w:tcW w:w="1418" w:type="dxa"/>
            <w:tcBorders>
              <w:top w:val="nil"/>
              <w:left w:val="nil"/>
              <w:bottom w:val="nil"/>
              <w:right w:val="nil"/>
            </w:tcBorders>
            <w:shd w:val="clear" w:color="auto" w:fill="auto"/>
            <w:noWrap/>
            <w:vAlign w:val="bottom"/>
            <w:hideMark/>
          </w:tcPr>
          <w:p w14:paraId="369A2672" w14:textId="77777777" w:rsidR="004F29B4" w:rsidRPr="004F29B4" w:rsidRDefault="004F29B4" w:rsidP="004F29B4">
            <w:pPr>
              <w:jc w:val="both"/>
              <w:rPr>
                <w:b/>
                <w:bCs/>
                <w:color w:val="0070C0"/>
                <w:sz w:val="20"/>
                <w:szCs w:val="20"/>
              </w:rPr>
            </w:pPr>
          </w:p>
        </w:tc>
        <w:tc>
          <w:tcPr>
            <w:tcW w:w="950" w:type="dxa"/>
            <w:tcBorders>
              <w:top w:val="nil"/>
              <w:left w:val="nil"/>
              <w:bottom w:val="nil"/>
              <w:right w:val="nil"/>
            </w:tcBorders>
            <w:shd w:val="clear" w:color="auto" w:fill="auto"/>
            <w:noWrap/>
            <w:vAlign w:val="bottom"/>
            <w:hideMark/>
          </w:tcPr>
          <w:p w14:paraId="52C1AE31" w14:textId="77777777" w:rsidR="004F29B4" w:rsidRPr="004F29B4" w:rsidRDefault="004F29B4" w:rsidP="004F29B4">
            <w:pPr>
              <w:jc w:val="both"/>
              <w:rPr>
                <w:color w:val="0070C0"/>
                <w:sz w:val="20"/>
                <w:szCs w:val="20"/>
              </w:rPr>
            </w:pPr>
          </w:p>
        </w:tc>
      </w:tr>
      <w:tr w:rsidR="004F29B4" w:rsidRPr="004F29B4" w14:paraId="25FD748D" w14:textId="77777777" w:rsidTr="004F29B4">
        <w:trPr>
          <w:trHeight w:val="288"/>
        </w:trPr>
        <w:tc>
          <w:tcPr>
            <w:tcW w:w="4536" w:type="dxa"/>
            <w:tcBorders>
              <w:top w:val="single" w:sz="4" w:space="0" w:color="808080"/>
              <w:left w:val="nil"/>
              <w:bottom w:val="nil"/>
              <w:right w:val="nil"/>
            </w:tcBorders>
            <w:shd w:val="clear" w:color="auto" w:fill="auto"/>
            <w:noWrap/>
            <w:vAlign w:val="center"/>
            <w:hideMark/>
          </w:tcPr>
          <w:p w14:paraId="3BE0FDE3" w14:textId="77777777" w:rsidR="004F29B4" w:rsidRPr="004F29B4" w:rsidRDefault="004F29B4" w:rsidP="004F29B4">
            <w:pPr>
              <w:ind w:firstLineChars="100" w:firstLine="200"/>
              <w:jc w:val="both"/>
              <w:rPr>
                <w:color w:val="262626"/>
                <w:sz w:val="20"/>
                <w:szCs w:val="20"/>
              </w:rPr>
            </w:pPr>
            <w:r w:rsidRPr="004F29B4">
              <w:rPr>
                <w:color w:val="262626"/>
                <w:sz w:val="20"/>
                <w:szCs w:val="20"/>
              </w:rPr>
              <w:t>БВП [млн. лв.]</w:t>
            </w:r>
          </w:p>
        </w:tc>
        <w:tc>
          <w:tcPr>
            <w:tcW w:w="1418" w:type="dxa"/>
            <w:tcBorders>
              <w:top w:val="single" w:sz="4" w:space="0" w:color="808080"/>
              <w:left w:val="nil"/>
              <w:bottom w:val="nil"/>
              <w:right w:val="nil"/>
            </w:tcBorders>
            <w:shd w:val="clear" w:color="auto" w:fill="auto"/>
            <w:noWrap/>
          </w:tcPr>
          <w:p w14:paraId="4178BD1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150 494</w:t>
            </w:r>
          </w:p>
        </w:tc>
        <w:tc>
          <w:tcPr>
            <w:tcW w:w="1418" w:type="dxa"/>
            <w:tcBorders>
              <w:top w:val="single" w:sz="4" w:space="0" w:color="808080"/>
              <w:left w:val="nil"/>
              <w:bottom w:val="nil"/>
              <w:right w:val="nil"/>
            </w:tcBorders>
            <w:shd w:val="clear" w:color="auto" w:fill="auto"/>
            <w:noWrap/>
          </w:tcPr>
          <w:p w14:paraId="4FFBDE98"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165 384</w:t>
            </w:r>
          </w:p>
        </w:tc>
        <w:tc>
          <w:tcPr>
            <w:tcW w:w="950" w:type="dxa"/>
            <w:tcBorders>
              <w:top w:val="single" w:sz="4" w:space="0" w:color="808080"/>
              <w:left w:val="nil"/>
              <w:bottom w:val="nil"/>
              <w:right w:val="nil"/>
            </w:tcBorders>
            <w:shd w:val="clear" w:color="auto" w:fill="auto"/>
            <w:noWrap/>
          </w:tcPr>
          <w:p w14:paraId="0C975DF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14 890</w:t>
            </w:r>
          </w:p>
        </w:tc>
      </w:tr>
      <w:tr w:rsidR="004F29B4" w:rsidRPr="004F29B4" w14:paraId="4DF0B7D9" w14:textId="77777777" w:rsidTr="004F29B4">
        <w:trPr>
          <w:trHeight w:val="288"/>
        </w:trPr>
        <w:tc>
          <w:tcPr>
            <w:tcW w:w="4536" w:type="dxa"/>
            <w:tcBorders>
              <w:top w:val="nil"/>
              <w:left w:val="nil"/>
              <w:bottom w:val="nil"/>
              <w:right w:val="nil"/>
            </w:tcBorders>
            <w:shd w:val="clear" w:color="auto" w:fill="auto"/>
            <w:noWrap/>
            <w:vAlign w:val="center"/>
            <w:hideMark/>
          </w:tcPr>
          <w:p w14:paraId="076CFD33" w14:textId="77777777" w:rsidR="004F29B4" w:rsidRPr="004F29B4" w:rsidRDefault="004F29B4" w:rsidP="004F29B4">
            <w:pPr>
              <w:ind w:firstLineChars="100" w:firstLine="200"/>
              <w:jc w:val="both"/>
              <w:rPr>
                <w:color w:val="262626"/>
                <w:sz w:val="20"/>
                <w:szCs w:val="20"/>
              </w:rPr>
            </w:pPr>
            <w:r w:rsidRPr="004F29B4">
              <w:rPr>
                <w:color w:val="262626"/>
                <w:sz w:val="20"/>
                <w:szCs w:val="20"/>
              </w:rPr>
              <w:t>БВП [реален растеж %]</w:t>
            </w:r>
          </w:p>
        </w:tc>
        <w:tc>
          <w:tcPr>
            <w:tcW w:w="1418" w:type="dxa"/>
            <w:tcBorders>
              <w:top w:val="nil"/>
              <w:left w:val="nil"/>
              <w:bottom w:val="nil"/>
              <w:right w:val="nil"/>
            </w:tcBorders>
            <w:shd w:val="clear" w:color="auto" w:fill="auto"/>
            <w:noWrap/>
          </w:tcPr>
          <w:p w14:paraId="7B3A34F0"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2,9</w:t>
            </w:r>
          </w:p>
        </w:tc>
        <w:tc>
          <w:tcPr>
            <w:tcW w:w="1418" w:type="dxa"/>
            <w:tcBorders>
              <w:top w:val="nil"/>
              <w:left w:val="nil"/>
              <w:bottom w:val="nil"/>
              <w:right w:val="nil"/>
            </w:tcBorders>
            <w:shd w:val="clear" w:color="auto" w:fill="auto"/>
            <w:noWrap/>
          </w:tcPr>
          <w:p w14:paraId="030DC9DC"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3,4</w:t>
            </w:r>
          </w:p>
        </w:tc>
        <w:tc>
          <w:tcPr>
            <w:tcW w:w="950" w:type="dxa"/>
            <w:tcBorders>
              <w:top w:val="nil"/>
              <w:left w:val="nil"/>
              <w:bottom w:val="nil"/>
              <w:right w:val="nil"/>
            </w:tcBorders>
            <w:shd w:val="clear" w:color="auto" w:fill="auto"/>
            <w:noWrap/>
          </w:tcPr>
          <w:p w14:paraId="4305BB56"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0,5</w:t>
            </w:r>
          </w:p>
        </w:tc>
      </w:tr>
      <w:tr w:rsidR="004F29B4" w:rsidRPr="004F29B4" w14:paraId="6869FF1D" w14:textId="77777777" w:rsidTr="004F29B4">
        <w:trPr>
          <w:trHeight w:val="288"/>
        </w:trPr>
        <w:tc>
          <w:tcPr>
            <w:tcW w:w="4536" w:type="dxa"/>
            <w:tcBorders>
              <w:top w:val="nil"/>
              <w:left w:val="nil"/>
              <w:bottom w:val="nil"/>
              <w:right w:val="nil"/>
            </w:tcBorders>
            <w:shd w:val="clear" w:color="auto" w:fill="auto"/>
            <w:noWrap/>
            <w:vAlign w:val="center"/>
            <w:hideMark/>
          </w:tcPr>
          <w:p w14:paraId="26C9D600" w14:textId="77777777" w:rsidR="004F29B4" w:rsidRPr="004F29B4" w:rsidRDefault="004F29B4" w:rsidP="004F29B4">
            <w:pPr>
              <w:ind w:firstLineChars="100" w:firstLine="200"/>
              <w:jc w:val="both"/>
              <w:rPr>
                <w:color w:val="262626"/>
                <w:sz w:val="20"/>
                <w:szCs w:val="20"/>
              </w:rPr>
            </w:pPr>
            <w:r w:rsidRPr="004F29B4">
              <w:rPr>
                <w:color w:val="262626"/>
                <w:sz w:val="20"/>
                <w:szCs w:val="20"/>
              </w:rPr>
              <w:t xml:space="preserve">    Потребление</w:t>
            </w:r>
          </w:p>
        </w:tc>
        <w:tc>
          <w:tcPr>
            <w:tcW w:w="1418" w:type="dxa"/>
            <w:tcBorders>
              <w:top w:val="nil"/>
              <w:left w:val="nil"/>
              <w:bottom w:val="nil"/>
              <w:right w:val="nil"/>
            </w:tcBorders>
            <w:shd w:val="clear" w:color="auto" w:fill="auto"/>
            <w:noWrap/>
          </w:tcPr>
          <w:p w14:paraId="2823937F"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3,2</w:t>
            </w:r>
          </w:p>
        </w:tc>
        <w:tc>
          <w:tcPr>
            <w:tcW w:w="1418" w:type="dxa"/>
            <w:tcBorders>
              <w:top w:val="nil"/>
              <w:left w:val="nil"/>
              <w:bottom w:val="nil"/>
              <w:right w:val="nil"/>
            </w:tcBorders>
            <w:shd w:val="clear" w:color="auto" w:fill="auto"/>
            <w:noWrap/>
          </w:tcPr>
          <w:p w14:paraId="77DE2C46"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5,2</w:t>
            </w:r>
          </w:p>
        </w:tc>
        <w:tc>
          <w:tcPr>
            <w:tcW w:w="950" w:type="dxa"/>
            <w:tcBorders>
              <w:top w:val="nil"/>
              <w:left w:val="nil"/>
              <w:bottom w:val="nil"/>
              <w:right w:val="nil"/>
            </w:tcBorders>
            <w:shd w:val="clear" w:color="auto" w:fill="auto"/>
            <w:noWrap/>
          </w:tcPr>
          <w:p w14:paraId="21558207"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1,9</w:t>
            </w:r>
          </w:p>
        </w:tc>
      </w:tr>
      <w:tr w:rsidR="004F29B4" w:rsidRPr="004F29B4" w14:paraId="4AA3DD45" w14:textId="77777777" w:rsidTr="004F29B4">
        <w:trPr>
          <w:trHeight w:val="288"/>
        </w:trPr>
        <w:tc>
          <w:tcPr>
            <w:tcW w:w="4536" w:type="dxa"/>
            <w:tcBorders>
              <w:top w:val="nil"/>
              <w:left w:val="nil"/>
              <w:bottom w:val="nil"/>
              <w:right w:val="nil"/>
            </w:tcBorders>
            <w:shd w:val="clear" w:color="auto" w:fill="auto"/>
            <w:vAlign w:val="center"/>
            <w:hideMark/>
          </w:tcPr>
          <w:p w14:paraId="456CDAB2" w14:textId="77777777" w:rsidR="004F29B4" w:rsidRPr="004F29B4" w:rsidRDefault="004F29B4" w:rsidP="004F29B4">
            <w:pPr>
              <w:ind w:firstLineChars="100" w:firstLine="200"/>
              <w:jc w:val="both"/>
              <w:rPr>
                <w:color w:val="262626"/>
                <w:sz w:val="20"/>
                <w:szCs w:val="20"/>
              </w:rPr>
            </w:pPr>
            <w:r w:rsidRPr="004F29B4">
              <w:rPr>
                <w:color w:val="262626"/>
                <w:sz w:val="20"/>
                <w:szCs w:val="20"/>
              </w:rPr>
              <w:t xml:space="preserve">    Брутообразуване на основен капитал</w:t>
            </w:r>
          </w:p>
        </w:tc>
        <w:tc>
          <w:tcPr>
            <w:tcW w:w="1418" w:type="dxa"/>
            <w:tcBorders>
              <w:top w:val="nil"/>
              <w:left w:val="nil"/>
              <w:bottom w:val="nil"/>
              <w:right w:val="nil"/>
            </w:tcBorders>
            <w:shd w:val="clear" w:color="auto" w:fill="auto"/>
            <w:noWrap/>
          </w:tcPr>
          <w:p w14:paraId="7C0EAC5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5,5</w:t>
            </w:r>
          </w:p>
        </w:tc>
        <w:tc>
          <w:tcPr>
            <w:tcW w:w="1418" w:type="dxa"/>
            <w:tcBorders>
              <w:top w:val="nil"/>
              <w:left w:val="nil"/>
              <w:bottom w:val="nil"/>
              <w:right w:val="nil"/>
            </w:tcBorders>
            <w:shd w:val="clear" w:color="auto" w:fill="auto"/>
            <w:noWrap/>
          </w:tcPr>
          <w:p w14:paraId="59F7537C"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-4,3</w:t>
            </w:r>
          </w:p>
        </w:tc>
        <w:tc>
          <w:tcPr>
            <w:tcW w:w="950" w:type="dxa"/>
            <w:tcBorders>
              <w:top w:val="nil"/>
              <w:left w:val="nil"/>
              <w:bottom w:val="nil"/>
              <w:right w:val="nil"/>
            </w:tcBorders>
            <w:shd w:val="clear" w:color="auto" w:fill="auto"/>
            <w:noWrap/>
          </w:tcPr>
          <w:p w14:paraId="004AA4E0"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-9,8</w:t>
            </w:r>
          </w:p>
        </w:tc>
      </w:tr>
      <w:tr w:rsidR="004F29B4" w:rsidRPr="004F29B4" w14:paraId="3145613D" w14:textId="77777777" w:rsidTr="004F29B4">
        <w:trPr>
          <w:trHeight w:val="288"/>
        </w:trPr>
        <w:tc>
          <w:tcPr>
            <w:tcW w:w="4536" w:type="dxa"/>
            <w:tcBorders>
              <w:top w:val="nil"/>
              <w:left w:val="nil"/>
              <w:bottom w:val="nil"/>
              <w:right w:val="nil"/>
            </w:tcBorders>
            <w:shd w:val="clear" w:color="auto" w:fill="auto"/>
            <w:noWrap/>
            <w:vAlign w:val="center"/>
            <w:hideMark/>
          </w:tcPr>
          <w:p w14:paraId="0B6C8D3E" w14:textId="77777777" w:rsidR="004F29B4" w:rsidRPr="004F29B4" w:rsidRDefault="004F29B4" w:rsidP="004F29B4">
            <w:pPr>
              <w:ind w:firstLineChars="100" w:firstLine="200"/>
              <w:jc w:val="both"/>
              <w:rPr>
                <w:color w:val="262626"/>
                <w:sz w:val="20"/>
                <w:szCs w:val="20"/>
              </w:rPr>
            </w:pPr>
            <w:r w:rsidRPr="004F29B4">
              <w:rPr>
                <w:color w:val="262626"/>
                <w:sz w:val="20"/>
                <w:szCs w:val="20"/>
              </w:rPr>
              <w:t xml:space="preserve">    Износ на стоки и услуги</w:t>
            </w:r>
          </w:p>
        </w:tc>
        <w:tc>
          <w:tcPr>
            <w:tcW w:w="1418" w:type="dxa"/>
            <w:tcBorders>
              <w:top w:val="nil"/>
              <w:left w:val="nil"/>
              <w:bottom w:val="nil"/>
              <w:right w:val="nil"/>
            </w:tcBorders>
            <w:shd w:val="clear" w:color="auto" w:fill="auto"/>
            <w:noWrap/>
          </w:tcPr>
          <w:p w14:paraId="5E7337F9"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4,0</w:t>
            </w:r>
          </w:p>
        </w:tc>
        <w:tc>
          <w:tcPr>
            <w:tcW w:w="1418" w:type="dxa"/>
            <w:tcBorders>
              <w:top w:val="nil"/>
              <w:left w:val="nil"/>
              <w:bottom w:val="nil"/>
              <w:right w:val="nil"/>
            </w:tcBorders>
            <w:shd w:val="clear" w:color="auto" w:fill="auto"/>
            <w:noWrap/>
          </w:tcPr>
          <w:p w14:paraId="05372AFF"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8,3</w:t>
            </w:r>
          </w:p>
        </w:tc>
        <w:tc>
          <w:tcPr>
            <w:tcW w:w="950" w:type="dxa"/>
            <w:tcBorders>
              <w:top w:val="nil"/>
              <w:left w:val="nil"/>
              <w:bottom w:val="nil"/>
              <w:right w:val="nil"/>
            </w:tcBorders>
            <w:shd w:val="clear" w:color="auto" w:fill="auto"/>
            <w:noWrap/>
          </w:tcPr>
          <w:p w14:paraId="30791C74"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4,3</w:t>
            </w:r>
          </w:p>
        </w:tc>
      </w:tr>
      <w:tr w:rsidR="004F29B4" w:rsidRPr="004F29B4" w14:paraId="66A5C689" w14:textId="77777777" w:rsidTr="004F29B4">
        <w:trPr>
          <w:trHeight w:val="196"/>
        </w:trPr>
        <w:tc>
          <w:tcPr>
            <w:tcW w:w="4536" w:type="dxa"/>
            <w:tcBorders>
              <w:top w:val="nil"/>
              <w:left w:val="nil"/>
              <w:bottom w:val="single" w:sz="4" w:space="0" w:color="808080"/>
              <w:right w:val="nil"/>
            </w:tcBorders>
            <w:shd w:val="clear" w:color="auto" w:fill="auto"/>
            <w:noWrap/>
            <w:vAlign w:val="center"/>
            <w:hideMark/>
          </w:tcPr>
          <w:p w14:paraId="4DB0257F" w14:textId="77777777" w:rsidR="004F29B4" w:rsidRPr="004F29B4" w:rsidRDefault="004F29B4" w:rsidP="004F29B4">
            <w:pPr>
              <w:ind w:firstLineChars="100" w:firstLine="200"/>
              <w:jc w:val="both"/>
              <w:rPr>
                <w:color w:val="262626"/>
                <w:sz w:val="20"/>
                <w:szCs w:val="20"/>
              </w:rPr>
            </w:pPr>
            <w:r w:rsidRPr="004F29B4">
              <w:rPr>
                <w:color w:val="262626"/>
                <w:sz w:val="20"/>
                <w:szCs w:val="20"/>
              </w:rPr>
              <w:t xml:space="preserve">    Внос на стоки и услуги</w:t>
            </w:r>
          </w:p>
        </w:tc>
        <w:tc>
          <w:tcPr>
            <w:tcW w:w="1418" w:type="dxa"/>
            <w:tcBorders>
              <w:top w:val="nil"/>
              <w:left w:val="nil"/>
              <w:bottom w:val="single" w:sz="4" w:space="0" w:color="808080"/>
              <w:right w:val="nil"/>
            </w:tcBorders>
            <w:shd w:val="clear" w:color="auto" w:fill="auto"/>
            <w:noWrap/>
          </w:tcPr>
          <w:p w14:paraId="799B45C9"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5,1</w:t>
            </w:r>
          </w:p>
        </w:tc>
        <w:tc>
          <w:tcPr>
            <w:tcW w:w="1418" w:type="dxa"/>
            <w:tcBorders>
              <w:top w:val="nil"/>
              <w:left w:val="nil"/>
              <w:bottom w:val="single" w:sz="4" w:space="0" w:color="808080"/>
              <w:right w:val="nil"/>
            </w:tcBorders>
            <w:shd w:val="clear" w:color="auto" w:fill="auto"/>
            <w:noWrap/>
          </w:tcPr>
          <w:p w14:paraId="54D12941"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10,5</w:t>
            </w:r>
          </w:p>
        </w:tc>
        <w:tc>
          <w:tcPr>
            <w:tcW w:w="950" w:type="dxa"/>
            <w:tcBorders>
              <w:top w:val="nil"/>
              <w:left w:val="nil"/>
              <w:bottom w:val="single" w:sz="4" w:space="0" w:color="808080"/>
              <w:right w:val="nil"/>
            </w:tcBorders>
            <w:shd w:val="clear" w:color="auto" w:fill="auto"/>
            <w:noWrap/>
          </w:tcPr>
          <w:p w14:paraId="7728788E"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5,4</w:t>
            </w:r>
          </w:p>
        </w:tc>
      </w:tr>
      <w:tr w:rsidR="004F29B4" w:rsidRPr="004F29B4" w14:paraId="45E7712B" w14:textId="77777777" w:rsidTr="004F29B4">
        <w:trPr>
          <w:trHeight w:val="288"/>
        </w:trPr>
        <w:tc>
          <w:tcPr>
            <w:tcW w:w="5954" w:type="dxa"/>
            <w:gridSpan w:val="2"/>
            <w:tcBorders>
              <w:top w:val="nil"/>
              <w:left w:val="nil"/>
              <w:bottom w:val="nil"/>
              <w:right w:val="nil"/>
            </w:tcBorders>
            <w:shd w:val="clear" w:color="auto" w:fill="auto"/>
            <w:noWrap/>
            <w:vAlign w:val="bottom"/>
            <w:hideMark/>
          </w:tcPr>
          <w:p w14:paraId="00BE65CB" w14:textId="77777777" w:rsidR="004F29B4" w:rsidRPr="004F29B4" w:rsidRDefault="004F29B4" w:rsidP="004F29B4">
            <w:pPr>
              <w:jc w:val="both"/>
              <w:rPr>
                <w:b/>
                <w:bCs/>
                <w:color w:val="262626"/>
                <w:sz w:val="20"/>
                <w:szCs w:val="20"/>
              </w:rPr>
            </w:pPr>
            <w:r w:rsidRPr="004F29B4">
              <w:rPr>
                <w:b/>
                <w:bCs/>
                <w:color w:val="262626"/>
                <w:sz w:val="20"/>
                <w:szCs w:val="20"/>
              </w:rPr>
              <w:t>ПАЗАР НА ТРУДА И ЦЕНИ</w:t>
            </w:r>
          </w:p>
        </w:tc>
        <w:tc>
          <w:tcPr>
            <w:tcW w:w="1418" w:type="dxa"/>
            <w:tcBorders>
              <w:top w:val="nil"/>
              <w:left w:val="nil"/>
              <w:bottom w:val="nil"/>
              <w:right w:val="nil"/>
            </w:tcBorders>
            <w:shd w:val="clear" w:color="auto" w:fill="auto"/>
            <w:noWrap/>
            <w:vAlign w:val="bottom"/>
            <w:hideMark/>
          </w:tcPr>
          <w:p w14:paraId="2353BF11" w14:textId="77777777" w:rsidR="004F29B4" w:rsidRPr="004F29B4" w:rsidRDefault="004F29B4" w:rsidP="004F29B4">
            <w:pPr>
              <w:jc w:val="both"/>
              <w:rPr>
                <w:b/>
                <w:bCs/>
                <w:color w:val="0070C0"/>
                <w:sz w:val="20"/>
                <w:szCs w:val="20"/>
              </w:rPr>
            </w:pPr>
          </w:p>
        </w:tc>
        <w:tc>
          <w:tcPr>
            <w:tcW w:w="950" w:type="dxa"/>
            <w:tcBorders>
              <w:top w:val="nil"/>
              <w:left w:val="nil"/>
              <w:bottom w:val="nil"/>
              <w:right w:val="nil"/>
            </w:tcBorders>
            <w:shd w:val="clear" w:color="auto" w:fill="auto"/>
            <w:noWrap/>
            <w:vAlign w:val="bottom"/>
            <w:hideMark/>
          </w:tcPr>
          <w:p w14:paraId="5ED5A9FE" w14:textId="77777777" w:rsidR="004F29B4" w:rsidRPr="004F29B4" w:rsidRDefault="004F29B4" w:rsidP="004F29B4">
            <w:pPr>
              <w:jc w:val="both"/>
              <w:rPr>
                <w:color w:val="0070C0"/>
                <w:sz w:val="20"/>
                <w:szCs w:val="20"/>
              </w:rPr>
            </w:pPr>
          </w:p>
        </w:tc>
      </w:tr>
      <w:tr w:rsidR="004F29B4" w:rsidRPr="004F29B4" w14:paraId="1B8CDC26" w14:textId="77777777" w:rsidTr="004F29B4">
        <w:trPr>
          <w:trHeight w:val="288"/>
        </w:trPr>
        <w:tc>
          <w:tcPr>
            <w:tcW w:w="4536" w:type="dxa"/>
            <w:tcBorders>
              <w:top w:val="single" w:sz="4" w:space="0" w:color="808080"/>
              <w:left w:val="nil"/>
              <w:bottom w:val="nil"/>
              <w:right w:val="nil"/>
            </w:tcBorders>
            <w:shd w:val="clear" w:color="auto" w:fill="auto"/>
            <w:noWrap/>
            <w:vAlign w:val="center"/>
            <w:hideMark/>
          </w:tcPr>
          <w:p w14:paraId="5AED5264" w14:textId="77777777" w:rsidR="004F29B4" w:rsidRPr="004F29B4" w:rsidRDefault="004F29B4" w:rsidP="004F29B4">
            <w:pPr>
              <w:ind w:firstLineChars="100" w:firstLine="200"/>
              <w:jc w:val="both"/>
              <w:rPr>
                <w:color w:val="262626"/>
                <w:sz w:val="20"/>
                <w:szCs w:val="20"/>
              </w:rPr>
            </w:pPr>
            <w:r w:rsidRPr="004F29B4">
              <w:rPr>
                <w:color w:val="262626"/>
                <w:sz w:val="20"/>
                <w:szCs w:val="20"/>
              </w:rPr>
              <w:t>Заетост (СНС) [%]</w:t>
            </w:r>
          </w:p>
        </w:tc>
        <w:tc>
          <w:tcPr>
            <w:tcW w:w="1418" w:type="dxa"/>
            <w:tcBorders>
              <w:top w:val="single" w:sz="4" w:space="0" w:color="808080"/>
              <w:left w:val="nil"/>
              <w:bottom w:val="nil"/>
              <w:right w:val="nil"/>
            </w:tcBorders>
            <w:shd w:val="clear" w:color="auto" w:fill="auto"/>
            <w:noWrap/>
          </w:tcPr>
          <w:p w14:paraId="5D7EA303"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1,7</w:t>
            </w:r>
          </w:p>
        </w:tc>
        <w:tc>
          <w:tcPr>
            <w:tcW w:w="1418" w:type="dxa"/>
            <w:tcBorders>
              <w:top w:val="single" w:sz="4" w:space="0" w:color="808080"/>
              <w:left w:val="nil"/>
              <w:bottom w:val="nil"/>
              <w:right w:val="nil"/>
            </w:tcBorders>
            <w:shd w:val="clear" w:color="auto" w:fill="auto"/>
            <w:noWrap/>
          </w:tcPr>
          <w:p w14:paraId="5E409E61"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1,3</w:t>
            </w:r>
          </w:p>
        </w:tc>
        <w:tc>
          <w:tcPr>
            <w:tcW w:w="950" w:type="dxa"/>
            <w:tcBorders>
              <w:top w:val="single" w:sz="4" w:space="0" w:color="808080"/>
              <w:left w:val="nil"/>
              <w:bottom w:val="nil"/>
              <w:right w:val="nil"/>
            </w:tcBorders>
            <w:shd w:val="clear" w:color="auto" w:fill="auto"/>
            <w:noWrap/>
          </w:tcPr>
          <w:p w14:paraId="7008C57A"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-0,4</w:t>
            </w:r>
          </w:p>
        </w:tc>
      </w:tr>
      <w:tr w:rsidR="004F29B4" w:rsidRPr="004F29B4" w14:paraId="20D37265" w14:textId="77777777" w:rsidTr="004F29B4">
        <w:trPr>
          <w:trHeight w:val="288"/>
        </w:trPr>
        <w:tc>
          <w:tcPr>
            <w:tcW w:w="4536" w:type="dxa"/>
            <w:tcBorders>
              <w:top w:val="nil"/>
              <w:left w:val="nil"/>
              <w:bottom w:val="nil"/>
              <w:right w:val="nil"/>
            </w:tcBorders>
            <w:shd w:val="clear" w:color="auto" w:fill="auto"/>
            <w:noWrap/>
            <w:vAlign w:val="center"/>
            <w:hideMark/>
          </w:tcPr>
          <w:p w14:paraId="05E656FB" w14:textId="77777777" w:rsidR="004F29B4" w:rsidRPr="004F29B4" w:rsidRDefault="004F29B4" w:rsidP="004F29B4">
            <w:pPr>
              <w:ind w:firstLineChars="100" w:firstLine="200"/>
              <w:jc w:val="both"/>
              <w:rPr>
                <w:color w:val="262626"/>
                <w:sz w:val="20"/>
                <w:szCs w:val="20"/>
              </w:rPr>
            </w:pPr>
            <w:r w:rsidRPr="004F29B4">
              <w:rPr>
                <w:color w:val="262626"/>
                <w:sz w:val="20"/>
                <w:szCs w:val="20"/>
              </w:rPr>
              <w:t>Коефициент на безработица (НРС) [%]</w:t>
            </w:r>
          </w:p>
        </w:tc>
        <w:tc>
          <w:tcPr>
            <w:tcW w:w="1418" w:type="dxa"/>
            <w:tcBorders>
              <w:top w:val="nil"/>
              <w:left w:val="nil"/>
              <w:bottom w:val="nil"/>
              <w:right w:val="nil"/>
            </w:tcBorders>
            <w:shd w:val="clear" w:color="auto" w:fill="auto"/>
            <w:noWrap/>
          </w:tcPr>
          <w:p w14:paraId="70A37EFF"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4,5</w:t>
            </w:r>
          </w:p>
        </w:tc>
        <w:tc>
          <w:tcPr>
            <w:tcW w:w="1418" w:type="dxa"/>
            <w:tcBorders>
              <w:top w:val="nil"/>
              <w:left w:val="nil"/>
              <w:bottom w:val="nil"/>
              <w:right w:val="nil"/>
            </w:tcBorders>
            <w:shd w:val="clear" w:color="auto" w:fill="auto"/>
            <w:noWrap/>
          </w:tcPr>
          <w:p w14:paraId="4B4BF618"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4,3</w:t>
            </w:r>
          </w:p>
        </w:tc>
        <w:tc>
          <w:tcPr>
            <w:tcW w:w="950" w:type="dxa"/>
            <w:tcBorders>
              <w:top w:val="nil"/>
              <w:left w:val="nil"/>
              <w:bottom w:val="nil"/>
              <w:right w:val="nil"/>
            </w:tcBorders>
            <w:shd w:val="clear" w:color="auto" w:fill="auto"/>
            <w:noWrap/>
          </w:tcPr>
          <w:p w14:paraId="3C2CE17E"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-0,2</w:t>
            </w:r>
          </w:p>
        </w:tc>
      </w:tr>
      <w:tr w:rsidR="004F29B4" w:rsidRPr="004F29B4" w14:paraId="48D10CE6" w14:textId="77777777" w:rsidTr="004F29B4">
        <w:trPr>
          <w:trHeight w:val="288"/>
        </w:trPr>
        <w:tc>
          <w:tcPr>
            <w:tcW w:w="4536" w:type="dxa"/>
            <w:tcBorders>
              <w:top w:val="nil"/>
              <w:left w:val="nil"/>
              <w:bottom w:val="nil"/>
              <w:right w:val="nil"/>
            </w:tcBorders>
            <w:shd w:val="clear" w:color="auto" w:fill="auto"/>
            <w:noWrap/>
            <w:vAlign w:val="center"/>
            <w:hideMark/>
          </w:tcPr>
          <w:p w14:paraId="6AD85B70" w14:textId="77777777" w:rsidR="004F29B4" w:rsidRPr="004F29B4" w:rsidRDefault="004F29B4" w:rsidP="004F29B4">
            <w:pPr>
              <w:ind w:firstLineChars="100" w:firstLine="200"/>
              <w:jc w:val="both"/>
              <w:rPr>
                <w:color w:val="262626"/>
                <w:sz w:val="20"/>
                <w:szCs w:val="20"/>
              </w:rPr>
            </w:pPr>
            <w:r w:rsidRPr="004F29B4">
              <w:rPr>
                <w:color w:val="262626"/>
                <w:sz w:val="20"/>
                <w:szCs w:val="20"/>
              </w:rPr>
              <w:t>Компенсации на един нает [%]</w:t>
            </w:r>
          </w:p>
        </w:tc>
        <w:tc>
          <w:tcPr>
            <w:tcW w:w="1418" w:type="dxa"/>
            <w:tcBorders>
              <w:top w:val="nil"/>
              <w:left w:val="nil"/>
              <w:bottom w:val="nil"/>
              <w:right w:val="nil"/>
            </w:tcBorders>
            <w:shd w:val="clear" w:color="auto" w:fill="auto"/>
            <w:noWrap/>
          </w:tcPr>
          <w:p w14:paraId="0938D439"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9,2</w:t>
            </w:r>
          </w:p>
        </w:tc>
        <w:tc>
          <w:tcPr>
            <w:tcW w:w="1418" w:type="dxa"/>
            <w:tcBorders>
              <w:top w:val="nil"/>
              <w:left w:val="nil"/>
              <w:bottom w:val="nil"/>
              <w:right w:val="nil"/>
            </w:tcBorders>
            <w:shd w:val="clear" w:color="auto" w:fill="auto"/>
            <w:noWrap/>
          </w:tcPr>
          <w:p w14:paraId="64323DFC"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18,4</w:t>
            </w:r>
          </w:p>
        </w:tc>
        <w:tc>
          <w:tcPr>
            <w:tcW w:w="950" w:type="dxa"/>
            <w:tcBorders>
              <w:top w:val="nil"/>
              <w:left w:val="nil"/>
              <w:bottom w:val="nil"/>
              <w:right w:val="nil"/>
            </w:tcBorders>
            <w:shd w:val="clear" w:color="auto" w:fill="auto"/>
            <w:noWrap/>
          </w:tcPr>
          <w:p w14:paraId="7680DDFC"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9,1</w:t>
            </w:r>
          </w:p>
        </w:tc>
      </w:tr>
      <w:tr w:rsidR="004F29B4" w:rsidRPr="004F29B4" w14:paraId="4E31FFCF" w14:textId="77777777" w:rsidTr="004F29B4">
        <w:trPr>
          <w:trHeight w:val="288"/>
        </w:trPr>
        <w:tc>
          <w:tcPr>
            <w:tcW w:w="4536" w:type="dxa"/>
            <w:tcBorders>
              <w:top w:val="nil"/>
              <w:left w:val="nil"/>
              <w:bottom w:val="nil"/>
              <w:right w:val="nil"/>
            </w:tcBorders>
            <w:shd w:val="clear" w:color="auto" w:fill="auto"/>
            <w:noWrap/>
            <w:vAlign w:val="center"/>
            <w:hideMark/>
          </w:tcPr>
          <w:p w14:paraId="16E8B33E" w14:textId="77777777" w:rsidR="004F29B4" w:rsidRPr="004F29B4" w:rsidRDefault="004F29B4" w:rsidP="004F29B4">
            <w:pPr>
              <w:ind w:firstLineChars="100" w:firstLine="200"/>
              <w:jc w:val="both"/>
              <w:rPr>
                <w:color w:val="262626"/>
                <w:sz w:val="20"/>
                <w:szCs w:val="20"/>
              </w:rPr>
            </w:pPr>
            <w:r w:rsidRPr="004F29B4">
              <w:rPr>
                <w:color w:val="262626"/>
                <w:sz w:val="20"/>
                <w:szCs w:val="20"/>
              </w:rPr>
              <w:t>Дефлатор на БВП [%]</w:t>
            </w:r>
          </w:p>
        </w:tc>
        <w:tc>
          <w:tcPr>
            <w:tcW w:w="1418" w:type="dxa"/>
            <w:tcBorders>
              <w:top w:val="nil"/>
              <w:left w:val="nil"/>
              <w:bottom w:val="nil"/>
              <w:right w:val="nil"/>
            </w:tcBorders>
            <w:shd w:val="clear" w:color="auto" w:fill="auto"/>
            <w:noWrap/>
          </w:tcPr>
          <w:p w14:paraId="78310346"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10,2</w:t>
            </w:r>
          </w:p>
        </w:tc>
        <w:tc>
          <w:tcPr>
            <w:tcW w:w="1418" w:type="dxa"/>
            <w:tcBorders>
              <w:top w:val="nil"/>
              <w:left w:val="nil"/>
              <w:bottom w:val="nil"/>
              <w:right w:val="nil"/>
            </w:tcBorders>
            <w:shd w:val="clear" w:color="auto" w:fill="auto"/>
            <w:noWrap/>
          </w:tcPr>
          <w:p w14:paraId="0B5785A6"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15,1</w:t>
            </w:r>
          </w:p>
        </w:tc>
        <w:tc>
          <w:tcPr>
            <w:tcW w:w="950" w:type="dxa"/>
            <w:tcBorders>
              <w:top w:val="nil"/>
              <w:left w:val="nil"/>
              <w:bottom w:val="nil"/>
              <w:right w:val="nil"/>
            </w:tcBorders>
            <w:shd w:val="clear" w:color="auto" w:fill="auto"/>
            <w:noWrap/>
          </w:tcPr>
          <w:p w14:paraId="37AEF677"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4,9</w:t>
            </w:r>
          </w:p>
        </w:tc>
      </w:tr>
      <w:tr w:rsidR="004F29B4" w:rsidRPr="004F29B4" w14:paraId="68D3043A" w14:textId="77777777" w:rsidTr="004F29B4">
        <w:trPr>
          <w:trHeight w:val="126"/>
        </w:trPr>
        <w:tc>
          <w:tcPr>
            <w:tcW w:w="4536" w:type="dxa"/>
            <w:tcBorders>
              <w:top w:val="nil"/>
              <w:left w:val="nil"/>
              <w:bottom w:val="single" w:sz="4" w:space="0" w:color="808080"/>
              <w:right w:val="nil"/>
            </w:tcBorders>
            <w:shd w:val="clear" w:color="auto" w:fill="auto"/>
            <w:vAlign w:val="center"/>
            <w:hideMark/>
          </w:tcPr>
          <w:p w14:paraId="6F2F7419" w14:textId="77777777" w:rsidR="004F29B4" w:rsidRPr="004F29B4" w:rsidRDefault="004F29B4" w:rsidP="004F29B4">
            <w:pPr>
              <w:ind w:firstLineChars="100" w:firstLine="200"/>
              <w:jc w:val="both"/>
              <w:rPr>
                <w:color w:val="262626"/>
                <w:sz w:val="20"/>
                <w:szCs w:val="20"/>
              </w:rPr>
            </w:pPr>
            <w:r w:rsidRPr="004F29B4">
              <w:rPr>
                <w:color w:val="262626"/>
                <w:sz w:val="20"/>
                <w:szCs w:val="20"/>
              </w:rPr>
              <w:t>Средногодишна инфлация (ХИПЦ) [%]</w:t>
            </w:r>
          </w:p>
        </w:tc>
        <w:tc>
          <w:tcPr>
            <w:tcW w:w="1418" w:type="dxa"/>
            <w:tcBorders>
              <w:top w:val="nil"/>
              <w:left w:val="nil"/>
              <w:bottom w:val="single" w:sz="4" w:space="0" w:color="808080"/>
              <w:right w:val="nil"/>
            </w:tcBorders>
            <w:shd w:val="clear" w:color="auto" w:fill="auto"/>
            <w:noWrap/>
          </w:tcPr>
          <w:p w14:paraId="0A85E35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11,9</w:t>
            </w:r>
          </w:p>
        </w:tc>
        <w:tc>
          <w:tcPr>
            <w:tcW w:w="1418" w:type="dxa"/>
            <w:tcBorders>
              <w:top w:val="nil"/>
              <w:left w:val="nil"/>
              <w:bottom w:val="single" w:sz="4" w:space="0" w:color="808080"/>
              <w:right w:val="nil"/>
            </w:tcBorders>
            <w:shd w:val="clear" w:color="auto" w:fill="auto"/>
            <w:noWrap/>
          </w:tcPr>
          <w:p w14:paraId="4D701910"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13,0</w:t>
            </w:r>
          </w:p>
        </w:tc>
        <w:tc>
          <w:tcPr>
            <w:tcW w:w="950" w:type="dxa"/>
            <w:tcBorders>
              <w:top w:val="nil"/>
              <w:left w:val="nil"/>
              <w:bottom w:val="single" w:sz="4" w:space="0" w:color="808080"/>
              <w:right w:val="nil"/>
            </w:tcBorders>
            <w:shd w:val="clear" w:color="auto" w:fill="auto"/>
            <w:noWrap/>
          </w:tcPr>
          <w:p w14:paraId="607E5014"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1,2</w:t>
            </w:r>
          </w:p>
        </w:tc>
      </w:tr>
      <w:tr w:rsidR="004F29B4" w:rsidRPr="004F29B4" w14:paraId="289F1D52" w14:textId="77777777" w:rsidTr="004F29B4">
        <w:trPr>
          <w:trHeight w:val="288"/>
        </w:trPr>
        <w:tc>
          <w:tcPr>
            <w:tcW w:w="5954" w:type="dxa"/>
            <w:gridSpan w:val="2"/>
            <w:tcBorders>
              <w:top w:val="nil"/>
              <w:left w:val="nil"/>
              <w:bottom w:val="nil"/>
              <w:right w:val="nil"/>
            </w:tcBorders>
            <w:shd w:val="clear" w:color="auto" w:fill="auto"/>
            <w:noWrap/>
            <w:vAlign w:val="bottom"/>
            <w:hideMark/>
          </w:tcPr>
          <w:p w14:paraId="025613AB" w14:textId="77777777" w:rsidR="004F29B4" w:rsidRPr="004F29B4" w:rsidRDefault="004F29B4" w:rsidP="004F29B4">
            <w:pPr>
              <w:jc w:val="both"/>
              <w:rPr>
                <w:b/>
                <w:bCs/>
                <w:color w:val="262626"/>
                <w:sz w:val="20"/>
                <w:szCs w:val="20"/>
              </w:rPr>
            </w:pPr>
            <w:r w:rsidRPr="004F29B4">
              <w:rPr>
                <w:b/>
                <w:bCs/>
                <w:color w:val="262626"/>
                <w:sz w:val="20"/>
                <w:szCs w:val="20"/>
              </w:rPr>
              <w:t>ПЛАТЕЖЕН БАЛАНС</w:t>
            </w:r>
          </w:p>
        </w:tc>
        <w:tc>
          <w:tcPr>
            <w:tcW w:w="1418" w:type="dxa"/>
            <w:tcBorders>
              <w:top w:val="nil"/>
              <w:left w:val="nil"/>
              <w:bottom w:val="nil"/>
              <w:right w:val="nil"/>
            </w:tcBorders>
            <w:shd w:val="clear" w:color="auto" w:fill="auto"/>
            <w:noWrap/>
            <w:vAlign w:val="bottom"/>
            <w:hideMark/>
          </w:tcPr>
          <w:p w14:paraId="3B3D3E7E" w14:textId="77777777" w:rsidR="004F29B4" w:rsidRPr="004F29B4" w:rsidRDefault="004F29B4" w:rsidP="004F29B4">
            <w:pPr>
              <w:jc w:val="both"/>
              <w:rPr>
                <w:b/>
                <w:bCs/>
                <w:color w:val="0070C0"/>
                <w:sz w:val="20"/>
                <w:szCs w:val="20"/>
              </w:rPr>
            </w:pPr>
          </w:p>
        </w:tc>
        <w:tc>
          <w:tcPr>
            <w:tcW w:w="950" w:type="dxa"/>
            <w:tcBorders>
              <w:top w:val="nil"/>
              <w:left w:val="nil"/>
              <w:bottom w:val="nil"/>
              <w:right w:val="nil"/>
            </w:tcBorders>
            <w:shd w:val="clear" w:color="auto" w:fill="auto"/>
            <w:noWrap/>
            <w:vAlign w:val="bottom"/>
            <w:hideMark/>
          </w:tcPr>
          <w:p w14:paraId="37934A88" w14:textId="77777777" w:rsidR="004F29B4" w:rsidRPr="004F29B4" w:rsidRDefault="004F29B4" w:rsidP="004F29B4">
            <w:pPr>
              <w:jc w:val="both"/>
              <w:rPr>
                <w:color w:val="0070C0"/>
                <w:sz w:val="20"/>
                <w:szCs w:val="20"/>
              </w:rPr>
            </w:pPr>
          </w:p>
        </w:tc>
      </w:tr>
      <w:tr w:rsidR="004F29B4" w:rsidRPr="004F29B4" w14:paraId="56E96305" w14:textId="77777777" w:rsidTr="004F29B4">
        <w:trPr>
          <w:trHeight w:val="288"/>
        </w:trPr>
        <w:tc>
          <w:tcPr>
            <w:tcW w:w="4536" w:type="dxa"/>
            <w:tcBorders>
              <w:top w:val="single" w:sz="4" w:space="0" w:color="808080"/>
              <w:left w:val="nil"/>
              <w:bottom w:val="nil"/>
              <w:right w:val="nil"/>
            </w:tcBorders>
            <w:shd w:val="clear" w:color="auto" w:fill="auto"/>
            <w:noWrap/>
            <w:vAlign w:val="center"/>
            <w:hideMark/>
          </w:tcPr>
          <w:p w14:paraId="7B34AB6D" w14:textId="77777777" w:rsidR="004F29B4" w:rsidRPr="004F29B4" w:rsidRDefault="004F29B4" w:rsidP="004F29B4">
            <w:pPr>
              <w:ind w:firstLineChars="100" w:firstLine="200"/>
              <w:jc w:val="both"/>
              <w:rPr>
                <w:color w:val="262626"/>
                <w:sz w:val="20"/>
                <w:szCs w:val="20"/>
              </w:rPr>
            </w:pPr>
            <w:r w:rsidRPr="004F29B4">
              <w:rPr>
                <w:color w:val="262626"/>
                <w:sz w:val="20"/>
                <w:szCs w:val="20"/>
              </w:rPr>
              <w:t>Текуща сметка [% от БВП]</w:t>
            </w:r>
          </w:p>
        </w:tc>
        <w:tc>
          <w:tcPr>
            <w:tcW w:w="1418" w:type="dxa"/>
            <w:tcBorders>
              <w:top w:val="single" w:sz="4" w:space="0" w:color="808080"/>
              <w:left w:val="nil"/>
              <w:bottom w:val="nil"/>
              <w:right w:val="nil"/>
            </w:tcBorders>
            <w:shd w:val="clear" w:color="auto" w:fill="auto"/>
            <w:noWrap/>
          </w:tcPr>
          <w:p w14:paraId="2EA1703B"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-2,4</w:t>
            </w:r>
          </w:p>
        </w:tc>
        <w:tc>
          <w:tcPr>
            <w:tcW w:w="1418" w:type="dxa"/>
            <w:tcBorders>
              <w:top w:val="single" w:sz="4" w:space="0" w:color="808080"/>
              <w:left w:val="nil"/>
              <w:bottom w:val="nil"/>
              <w:right w:val="nil"/>
            </w:tcBorders>
            <w:shd w:val="clear" w:color="auto" w:fill="auto"/>
            <w:noWrap/>
          </w:tcPr>
          <w:p w14:paraId="025B5630"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-0,7</w:t>
            </w:r>
          </w:p>
        </w:tc>
        <w:tc>
          <w:tcPr>
            <w:tcW w:w="950" w:type="dxa"/>
            <w:tcBorders>
              <w:top w:val="single" w:sz="4" w:space="0" w:color="808080"/>
              <w:left w:val="nil"/>
              <w:bottom w:val="nil"/>
              <w:right w:val="nil"/>
            </w:tcBorders>
            <w:shd w:val="clear" w:color="auto" w:fill="auto"/>
            <w:noWrap/>
          </w:tcPr>
          <w:p w14:paraId="05061F3F"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1,8</w:t>
            </w:r>
          </w:p>
        </w:tc>
      </w:tr>
      <w:tr w:rsidR="004F29B4" w:rsidRPr="004F29B4" w14:paraId="533556D0" w14:textId="77777777" w:rsidTr="004F29B4">
        <w:trPr>
          <w:trHeight w:val="288"/>
        </w:trPr>
        <w:tc>
          <w:tcPr>
            <w:tcW w:w="4536" w:type="dxa"/>
            <w:tcBorders>
              <w:top w:val="nil"/>
              <w:left w:val="nil"/>
              <w:bottom w:val="nil"/>
              <w:right w:val="nil"/>
            </w:tcBorders>
            <w:shd w:val="clear" w:color="auto" w:fill="auto"/>
            <w:noWrap/>
            <w:vAlign w:val="center"/>
            <w:hideMark/>
          </w:tcPr>
          <w:p w14:paraId="52888AF3" w14:textId="77777777" w:rsidR="004F29B4" w:rsidRPr="004F29B4" w:rsidRDefault="004F29B4" w:rsidP="004F29B4">
            <w:pPr>
              <w:ind w:firstLineChars="100" w:firstLine="200"/>
              <w:jc w:val="both"/>
              <w:rPr>
                <w:color w:val="262626"/>
                <w:sz w:val="20"/>
                <w:szCs w:val="20"/>
              </w:rPr>
            </w:pPr>
            <w:r w:rsidRPr="004F29B4">
              <w:rPr>
                <w:color w:val="262626"/>
                <w:sz w:val="20"/>
                <w:szCs w:val="20"/>
              </w:rPr>
              <w:t>Търговски баланс [% от БВП]</w:t>
            </w:r>
          </w:p>
        </w:tc>
        <w:tc>
          <w:tcPr>
            <w:tcW w:w="1418" w:type="dxa"/>
            <w:tcBorders>
              <w:top w:val="nil"/>
              <w:left w:val="nil"/>
              <w:bottom w:val="nil"/>
              <w:right w:val="nil"/>
            </w:tcBorders>
            <w:shd w:val="clear" w:color="auto" w:fill="auto"/>
            <w:noWrap/>
          </w:tcPr>
          <w:p w14:paraId="5B477C85"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-6,8</w:t>
            </w:r>
          </w:p>
        </w:tc>
        <w:tc>
          <w:tcPr>
            <w:tcW w:w="1418" w:type="dxa"/>
            <w:tcBorders>
              <w:top w:val="nil"/>
              <w:left w:val="nil"/>
              <w:bottom w:val="nil"/>
              <w:right w:val="nil"/>
            </w:tcBorders>
            <w:shd w:val="clear" w:color="auto" w:fill="auto"/>
            <w:noWrap/>
          </w:tcPr>
          <w:p w14:paraId="6080D7E6"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-5,8</w:t>
            </w:r>
          </w:p>
        </w:tc>
        <w:tc>
          <w:tcPr>
            <w:tcW w:w="950" w:type="dxa"/>
            <w:tcBorders>
              <w:top w:val="nil"/>
              <w:left w:val="nil"/>
              <w:bottom w:val="nil"/>
              <w:right w:val="nil"/>
            </w:tcBorders>
            <w:shd w:val="clear" w:color="auto" w:fill="auto"/>
            <w:noWrap/>
          </w:tcPr>
          <w:p w14:paraId="49E78DB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w:t>
            </w:r>
          </w:p>
        </w:tc>
      </w:tr>
      <w:tr w:rsidR="004F29B4" w:rsidRPr="004F29B4" w14:paraId="2B09B2D8" w14:textId="77777777" w:rsidTr="004F29B4">
        <w:trPr>
          <w:trHeight w:val="288"/>
        </w:trPr>
        <w:tc>
          <w:tcPr>
            <w:tcW w:w="4536" w:type="dxa"/>
            <w:tcBorders>
              <w:top w:val="nil"/>
              <w:left w:val="nil"/>
              <w:bottom w:val="single" w:sz="4" w:space="0" w:color="808080"/>
              <w:right w:val="nil"/>
            </w:tcBorders>
            <w:shd w:val="clear" w:color="auto" w:fill="auto"/>
            <w:vAlign w:val="center"/>
            <w:hideMark/>
          </w:tcPr>
          <w:p w14:paraId="40504A85" w14:textId="77777777" w:rsidR="004F29B4" w:rsidRPr="004F29B4" w:rsidRDefault="004F29B4" w:rsidP="004F29B4">
            <w:pPr>
              <w:ind w:firstLineChars="100" w:firstLine="200"/>
              <w:jc w:val="both"/>
              <w:rPr>
                <w:color w:val="262626"/>
                <w:sz w:val="20"/>
                <w:szCs w:val="20"/>
              </w:rPr>
            </w:pPr>
            <w:r w:rsidRPr="004F29B4">
              <w:rPr>
                <w:color w:val="262626"/>
                <w:sz w:val="20"/>
                <w:szCs w:val="20"/>
              </w:rPr>
              <w:t>Преки чуждестранни инвестиции [% от БВП]</w:t>
            </w:r>
          </w:p>
        </w:tc>
        <w:tc>
          <w:tcPr>
            <w:tcW w:w="1418" w:type="dxa"/>
            <w:tcBorders>
              <w:top w:val="nil"/>
              <w:left w:val="nil"/>
              <w:bottom w:val="single" w:sz="4" w:space="0" w:color="808080"/>
              <w:right w:val="nil"/>
            </w:tcBorders>
            <w:shd w:val="clear" w:color="auto" w:fill="auto"/>
            <w:noWrap/>
          </w:tcPr>
          <w:p w14:paraId="6347ABCD"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2,4</w:t>
            </w:r>
          </w:p>
        </w:tc>
        <w:tc>
          <w:tcPr>
            <w:tcW w:w="1418" w:type="dxa"/>
            <w:tcBorders>
              <w:top w:val="nil"/>
              <w:left w:val="nil"/>
              <w:bottom w:val="single" w:sz="4" w:space="0" w:color="808080"/>
              <w:right w:val="nil"/>
            </w:tcBorders>
            <w:shd w:val="clear" w:color="auto" w:fill="auto"/>
            <w:noWrap/>
          </w:tcPr>
          <w:p w14:paraId="4F96CF5B"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3,6</w:t>
            </w:r>
          </w:p>
        </w:tc>
        <w:tc>
          <w:tcPr>
            <w:tcW w:w="950" w:type="dxa"/>
            <w:tcBorders>
              <w:top w:val="nil"/>
              <w:left w:val="nil"/>
              <w:bottom w:val="single" w:sz="4" w:space="0" w:color="808080"/>
              <w:right w:val="nil"/>
            </w:tcBorders>
            <w:shd w:val="clear" w:color="auto" w:fill="auto"/>
            <w:noWrap/>
          </w:tcPr>
          <w:p w14:paraId="679DC7DF"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1,2</w:t>
            </w:r>
          </w:p>
        </w:tc>
      </w:tr>
      <w:tr w:rsidR="004F29B4" w:rsidRPr="004F29B4" w14:paraId="0BAC5713" w14:textId="77777777" w:rsidTr="004F29B4">
        <w:trPr>
          <w:trHeight w:val="288"/>
        </w:trPr>
        <w:tc>
          <w:tcPr>
            <w:tcW w:w="5954" w:type="dxa"/>
            <w:gridSpan w:val="2"/>
            <w:tcBorders>
              <w:top w:val="nil"/>
              <w:left w:val="nil"/>
              <w:bottom w:val="nil"/>
              <w:right w:val="nil"/>
            </w:tcBorders>
            <w:shd w:val="clear" w:color="auto" w:fill="auto"/>
            <w:noWrap/>
            <w:vAlign w:val="bottom"/>
            <w:hideMark/>
          </w:tcPr>
          <w:p w14:paraId="2E1ED379" w14:textId="77777777" w:rsidR="004F29B4" w:rsidRPr="004F29B4" w:rsidRDefault="004F29B4" w:rsidP="004F29B4">
            <w:pPr>
              <w:jc w:val="both"/>
              <w:rPr>
                <w:b/>
                <w:bCs/>
                <w:color w:val="262626"/>
                <w:sz w:val="20"/>
                <w:szCs w:val="20"/>
              </w:rPr>
            </w:pPr>
            <w:r w:rsidRPr="004F29B4">
              <w:rPr>
                <w:b/>
                <w:bCs/>
                <w:color w:val="262626"/>
                <w:sz w:val="20"/>
                <w:szCs w:val="20"/>
              </w:rPr>
              <w:t>ПАРИЧЕН СЕКТОР</w:t>
            </w:r>
          </w:p>
        </w:tc>
        <w:tc>
          <w:tcPr>
            <w:tcW w:w="1418" w:type="dxa"/>
            <w:tcBorders>
              <w:top w:val="nil"/>
              <w:left w:val="nil"/>
              <w:bottom w:val="nil"/>
              <w:right w:val="nil"/>
            </w:tcBorders>
            <w:shd w:val="clear" w:color="auto" w:fill="auto"/>
            <w:noWrap/>
            <w:vAlign w:val="bottom"/>
            <w:hideMark/>
          </w:tcPr>
          <w:p w14:paraId="6FA39BFA" w14:textId="77777777" w:rsidR="004F29B4" w:rsidRPr="004F29B4" w:rsidRDefault="004F29B4" w:rsidP="004F29B4">
            <w:pPr>
              <w:jc w:val="both"/>
              <w:rPr>
                <w:b/>
                <w:bCs/>
                <w:color w:val="0070C0"/>
                <w:sz w:val="20"/>
                <w:szCs w:val="20"/>
              </w:rPr>
            </w:pPr>
          </w:p>
        </w:tc>
        <w:tc>
          <w:tcPr>
            <w:tcW w:w="950" w:type="dxa"/>
            <w:tcBorders>
              <w:top w:val="nil"/>
              <w:left w:val="nil"/>
              <w:bottom w:val="nil"/>
              <w:right w:val="nil"/>
            </w:tcBorders>
            <w:shd w:val="clear" w:color="auto" w:fill="auto"/>
            <w:noWrap/>
            <w:vAlign w:val="bottom"/>
            <w:hideMark/>
          </w:tcPr>
          <w:p w14:paraId="72A3A98C" w14:textId="77777777" w:rsidR="004F29B4" w:rsidRPr="004F29B4" w:rsidRDefault="004F29B4" w:rsidP="004F29B4">
            <w:pPr>
              <w:jc w:val="both"/>
              <w:rPr>
                <w:color w:val="0070C0"/>
                <w:sz w:val="20"/>
                <w:szCs w:val="20"/>
              </w:rPr>
            </w:pPr>
          </w:p>
        </w:tc>
      </w:tr>
      <w:tr w:rsidR="004F29B4" w:rsidRPr="004F29B4" w14:paraId="109AF233" w14:textId="77777777" w:rsidTr="004F29B4">
        <w:trPr>
          <w:trHeight w:val="288"/>
        </w:trPr>
        <w:tc>
          <w:tcPr>
            <w:tcW w:w="4536" w:type="dxa"/>
            <w:tcBorders>
              <w:top w:val="single" w:sz="4" w:space="0" w:color="808080"/>
              <w:left w:val="nil"/>
              <w:bottom w:val="nil"/>
              <w:right w:val="nil"/>
            </w:tcBorders>
            <w:shd w:val="clear" w:color="auto" w:fill="auto"/>
            <w:noWrap/>
            <w:vAlign w:val="center"/>
            <w:hideMark/>
          </w:tcPr>
          <w:p w14:paraId="6D952713" w14:textId="77777777" w:rsidR="004F29B4" w:rsidRPr="004F29B4" w:rsidRDefault="004F29B4" w:rsidP="004F29B4">
            <w:pPr>
              <w:ind w:firstLineChars="100" w:firstLine="200"/>
              <w:jc w:val="both"/>
              <w:rPr>
                <w:color w:val="262626"/>
                <w:sz w:val="20"/>
                <w:szCs w:val="20"/>
              </w:rPr>
            </w:pPr>
            <w:r w:rsidRPr="004F29B4">
              <w:rPr>
                <w:color w:val="262626"/>
                <w:sz w:val="20"/>
                <w:szCs w:val="20"/>
              </w:rPr>
              <w:t>М3 [%]</w:t>
            </w:r>
          </w:p>
        </w:tc>
        <w:tc>
          <w:tcPr>
            <w:tcW w:w="1418" w:type="dxa"/>
            <w:tcBorders>
              <w:top w:val="single" w:sz="4" w:space="0" w:color="808080"/>
              <w:left w:val="nil"/>
              <w:bottom w:val="nil"/>
              <w:right w:val="nil"/>
            </w:tcBorders>
            <w:shd w:val="clear" w:color="auto" w:fill="auto"/>
            <w:noWrap/>
          </w:tcPr>
          <w:p w14:paraId="0E09066E"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10,3</w:t>
            </w:r>
          </w:p>
        </w:tc>
        <w:tc>
          <w:tcPr>
            <w:tcW w:w="1418" w:type="dxa"/>
            <w:tcBorders>
              <w:top w:val="single" w:sz="4" w:space="0" w:color="808080"/>
              <w:left w:val="nil"/>
              <w:bottom w:val="nil"/>
              <w:right w:val="nil"/>
            </w:tcBorders>
            <w:shd w:val="clear" w:color="auto" w:fill="auto"/>
            <w:noWrap/>
          </w:tcPr>
          <w:p w14:paraId="0B486DA0"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13,2</w:t>
            </w:r>
          </w:p>
        </w:tc>
        <w:tc>
          <w:tcPr>
            <w:tcW w:w="950" w:type="dxa"/>
            <w:tcBorders>
              <w:top w:val="single" w:sz="4" w:space="0" w:color="808080"/>
              <w:left w:val="nil"/>
              <w:bottom w:val="nil"/>
              <w:right w:val="nil"/>
            </w:tcBorders>
            <w:shd w:val="clear" w:color="auto" w:fill="auto"/>
            <w:noWrap/>
          </w:tcPr>
          <w:p w14:paraId="74A2476C"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2,9</w:t>
            </w:r>
          </w:p>
        </w:tc>
      </w:tr>
      <w:tr w:rsidR="004F29B4" w:rsidRPr="004F29B4" w14:paraId="1F93063A" w14:textId="77777777" w:rsidTr="004F29B4">
        <w:trPr>
          <w:trHeight w:val="288"/>
        </w:trPr>
        <w:tc>
          <w:tcPr>
            <w:tcW w:w="4536" w:type="dxa"/>
            <w:tcBorders>
              <w:top w:val="nil"/>
              <w:left w:val="nil"/>
              <w:bottom w:val="nil"/>
              <w:right w:val="nil"/>
            </w:tcBorders>
            <w:shd w:val="clear" w:color="auto" w:fill="auto"/>
            <w:noWrap/>
            <w:vAlign w:val="center"/>
            <w:hideMark/>
          </w:tcPr>
          <w:p w14:paraId="234A3AAA" w14:textId="77777777" w:rsidR="004F29B4" w:rsidRPr="004F29B4" w:rsidRDefault="004F29B4" w:rsidP="004F29B4">
            <w:pPr>
              <w:ind w:firstLineChars="100" w:firstLine="200"/>
              <w:jc w:val="both"/>
              <w:rPr>
                <w:color w:val="262626"/>
                <w:sz w:val="20"/>
                <w:szCs w:val="20"/>
              </w:rPr>
            </w:pPr>
            <w:r w:rsidRPr="004F29B4">
              <w:rPr>
                <w:color w:val="262626"/>
                <w:sz w:val="20"/>
                <w:szCs w:val="20"/>
              </w:rPr>
              <w:t>Вземания от фирми [%]</w:t>
            </w:r>
          </w:p>
        </w:tc>
        <w:tc>
          <w:tcPr>
            <w:tcW w:w="1418" w:type="dxa"/>
            <w:tcBorders>
              <w:top w:val="nil"/>
              <w:left w:val="nil"/>
              <w:bottom w:val="nil"/>
              <w:right w:val="nil"/>
            </w:tcBorders>
            <w:shd w:val="clear" w:color="auto" w:fill="auto"/>
            <w:noWrap/>
          </w:tcPr>
          <w:p w14:paraId="71B93EB5"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5,1</w:t>
            </w:r>
          </w:p>
        </w:tc>
        <w:tc>
          <w:tcPr>
            <w:tcW w:w="1418" w:type="dxa"/>
            <w:tcBorders>
              <w:top w:val="nil"/>
              <w:left w:val="nil"/>
              <w:bottom w:val="nil"/>
              <w:right w:val="nil"/>
            </w:tcBorders>
            <w:shd w:val="clear" w:color="auto" w:fill="auto"/>
            <w:noWrap/>
          </w:tcPr>
          <w:p w14:paraId="6AA7935F"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11,1</w:t>
            </w:r>
          </w:p>
        </w:tc>
        <w:tc>
          <w:tcPr>
            <w:tcW w:w="950" w:type="dxa"/>
            <w:tcBorders>
              <w:top w:val="nil"/>
              <w:left w:val="nil"/>
              <w:bottom w:val="nil"/>
              <w:right w:val="nil"/>
            </w:tcBorders>
            <w:shd w:val="clear" w:color="auto" w:fill="auto"/>
            <w:noWrap/>
          </w:tcPr>
          <w:p w14:paraId="39CD99D3"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6,0</w:t>
            </w:r>
          </w:p>
        </w:tc>
      </w:tr>
      <w:tr w:rsidR="004F29B4" w:rsidRPr="004F29B4" w14:paraId="514F8099" w14:textId="77777777" w:rsidTr="004F29B4">
        <w:trPr>
          <w:trHeight w:val="288"/>
        </w:trPr>
        <w:tc>
          <w:tcPr>
            <w:tcW w:w="4536" w:type="dxa"/>
            <w:tcBorders>
              <w:top w:val="nil"/>
              <w:left w:val="nil"/>
              <w:bottom w:val="single" w:sz="4" w:space="0" w:color="808080"/>
              <w:right w:val="nil"/>
            </w:tcBorders>
            <w:shd w:val="clear" w:color="auto" w:fill="auto"/>
            <w:noWrap/>
            <w:vAlign w:val="center"/>
            <w:hideMark/>
          </w:tcPr>
          <w:p w14:paraId="666298FD" w14:textId="77777777" w:rsidR="004F29B4" w:rsidRPr="004F29B4" w:rsidRDefault="004F29B4" w:rsidP="004F29B4">
            <w:pPr>
              <w:ind w:firstLineChars="100" w:firstLine="200"/>
              <w:jc w:val="both"/>
              <w:rPr>
                <w:color w:val="262626"/>
                <w:sz w:val="20"/>
                <w:szCs w:val="20"/>
              </w:rPr>
            </w:pPr>
            <w:r w:rsidRPr="004F29B4">
              <w:rPr>
                <w:color w:val="262626"/>
                <w:sz w:val="20"/>
                <w:szCs w:val="20"/>
              </w:rPr>
              <w:t>Вземания от домакинства [%]</w:t>
            </w:r>
          </w:p>
        </w:tc>
        <w:tc>
          <w:tcPr>
            <w:tcW w:w="1418" w:type="dxa"/>
            <w:tcBorders>
              <w:top w:val="nil"/>
              <w:left w:val="nil"/>
              <w:bottom w:val="single" w:sz="4" w:space="0" w:color="808080"/>
              <w:right w:val="nil"/>
            </w:tcBorders>
            <w:shd w:val="clear" w:color="auto" w:fill="auto"/>
            <w:noWrap/>
          </w:tcPr>
          <w:p w14:paraId="6F940B68"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10,4</w:t>
            </w:r>
          </w:p>
        </w:tc>
        <w:tc>
          <w:tcPr>
            <w:tcW w:w="1418" w:type="dxa"/>
            <w:tcBorders>
              <w:top w:val="nil"/>
              <w:left w:val="nil"/>
              <w:bottom w:val="single" w:sz="4" w:space="0" w:color="808080"/>
              <w:right w:val="nil"/>
            </w:tcBorders>
            <w:shd w:val="clear" w:color="auto" w:fill="auto"/>
            <w:noWrap/>
          </w:tcPr>
          <w:p w14:paraId="1D868B65"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14,6</w:t>
            </w:r>
          </w:p>
        </w:tc>
        <w:tc>
          <w:tcPr>
            <w:tcW w:w="950" w:type="dxa"/>
            <w:tcBorders>
              <w:top w:val="nil"/>
              <w:left w:val="nil"/>
              <w:bottom w:val="single" w:sz="4" w:space="0" w:color="808080"/>
              <w:right w:val="nil"/>
            </w:tcBorders>
            <w:shd w:val="clear" w:color="auto" w:fill="auto"/>
            <w:noWrap/>
          </w:tcPr>
          <w:p w14:paraId="4D9E69D9" w14:textId="77777777" w:rsidR="004F29B4" w:rsidRPr="004F29B4" w:rsidRDefault="004F29B4" w:rsidP="004F29B4">
            <w:pPr>
              <w:spacing w:after="160" w:line="276" w:lineRule="auto"/>
              <w:jc w:val="right"/>
              <w:rPr>
                <w:color w:val="262626"/>
                <w:sz w:val="20"/>
                <w:szCs w:val="20"/>
                <w:lang w:eastAsia="ja-JP"/>
              </w:rPr>
            </w:pPr>
            <w:r w:rsidRPr="004F29B4">
              <w:rPr>
                <w:color w:val="262626"/>
                <w:sz w:val="20"/>
                <w:szCs w:val="20"/>
                <w:lang w:eastAsia="ja-JP"/>
              </w:rPr>
              <w:t>4,2</w:t>
            </w:r>
          </w:p>
        </w:tc>
      </w:tr>
    </w:tbl>
    <w:p w14:paraId="72055475" w14:textId="77777777" w:rsidR="004F29B4" w:rsidRPr="004F29B4" w:rsidRDefault="004F29B4" w:rsidP="004F29B4">
      <w:pPr>
        <w:ind w:left="3540" w:firstLine="708"/>
        <w:contextualSpacing/>
        <w:jc w:val="both"/>
        <w:rPr>
          <w:color w:val="262626"/>
          <w:sz w:val="20"/>
        </w:rPr>
      </w:pPr>
      <w:r w:rsidRPr="004F29B4">
        <w:rPr>
          <w:color w:val="262626"/>
          <w:sz w:val="20"/>
        </w:rPr>
        <w:t>Източници: НСИ, БНБ, МФ, Евростат, МВФ, СБ</w:t>
      </w:r>
    </w:p>
    <w:p w14:paraId="5185F567" w14:textId="77777777" w:rsidR="004F29B4" w:rsidRPr="004F29B4" w:rsidRDefault="004F29B4" w:rsidP="004F29B4">
      <w:pPr>
        <w:ind w:left="3540" w:firstLine="708"/>
        <w:contextualSpacing/>
        <w:jc w:val="both"/>
        <w:rPr>
          <w:color w:val="262626"/>
          <w:sz w:val="20"/>
        </w:rPr>
      </w:pPr>
    </w:p>
    <w:p w14:paraId="1B2455A6" w14:textId="77777777" w:rsidR="004F29B4" w:rsidRPr="004F29B4" w:rsidRDefault="004F29B4" w:rsidP="004F29B4">
      <w:pPr>
        <w:ind w:firstLine="720"/>
        <w:jc w:val="both"/>
      </w:pPr>
      <w:r w:rsidRPr="004F29B4">
        <w:t>През 2022 г. растежът на заетостта (съгласно дефиницията на ЕСС 2010) бе с 0,4 пр. п пункта по-нисък от прогнозирания в актуализирания вариант на бюджета от май 2022 г. Основната причина за това е по-ниския брой на украински бежанци, които бяха интегрирани на българския пазар на труда през втората половина на годината. Допускането бе, че към края на 2022 г. около 35 хиляди украинци ще бъдат заети в български фирми и предприятия, докато в действителност техния брой бе около 7 хиляди души. Отчетената стойност на коефициента на безработица е много близък до прогнозирания коефициент (с 0.2 пр. п. по-нисък от него).</w:t>
      </w:r>
    </w:p>
    <w:p w14:paraId="5BF683FD" w14:textId="77777777" w:rsidR="004F29B4" w:rsidRPr="004F29B4" w:rsidRDefault="004F29B4" w:rsidP="004F29B4">
      <w:pPr>
        <w:ind w:firstLine="720"/>
        <w:jc w:val="both"/>
      </w:pPr>
      <w:r w:rsidRPr="004F29B4">
        <w:t>По-съществено разминаване се наблюдаваше по отношение на компенсацията на един нает, като заложения номиналния темп на показателя бе с 9,1 пр. п. по-нисък спрямо отчетните данни. Последното отразяваше ревизията на данните, очакванията за по-ниска икономическа активност, по-нисък принос на публичния сектор, както и липсата на ефект по линия на интеграцията на украинските бежанци.</w:t>
      </w:r>
    </w:p>
    <w:p w14:paraId="1B327414" w14:textId="77777777" w:rsidR="004F29B4" w:rsidRPr="004F29B4" w:rsidRDefault="004F29B4" w:rsidP="004F29B4">
      <w:pPr>
        <w:suppressAutoHyphens/>
        <w:ind w:firstLine="720"/>
        <w:jc w:val="both"/>
      </w:pPr>
      <w:r w:rsidRPr="004F29B4">
        <w:t>Развитието на войната в Украйна промени съществено очакванията в средносрочен период за международните цени на основните суровини, което доведе и до ускорение на инфлацията над очакваното. Разликата между прогноза и отчетено изменение на ХИПЦ в страната беше по-малка по отношение на средногодишната инфлация в сравнение с тази в края на 2022 г., което се свързва най-вече с наблюдаваното по-късно забавяне на годишния темп на инфлация. Най-съществено различие имаше по отношение на прогнозата за поскъпването на енергийните стоки, като може да бъде обяснено най-вече със същественото поскъпване на природен газ и твърди горива на международните пазари, което и при двете суровини бе почти два пъти над очакваното.</w:t>
      </w:r>
    </w:p>
    <w:p w14:paraId="799BDDB5" w14:textId="77777777" w:rsidR="004F29B4" w:rsidRPr="004F29B4" w:rsidRDefault="004F29B4" w:rsidP="004F29B4">
      <w:pPr>
        <w:ind w:firstLine="720"/>
        <w:jc w:val="both"/>
      </w:pPr>
      <w:r w:rsidRPr="004F29B4">
        <w:t xml:space="preserve">По отношение на платежния баланс, през 2022 г. бе отчетен дефицит по текущата сметка от 0,7 % от БВП, докато в актуализираната прогноза от 2022 г. бе очаквана отрицателна стойност от 2,4 %. При търговията със стоки влошаването на баланса, изразено като съотношение спрямо БВП, бе по-слабо от очакваното. Реализираният износ бе малко по-нисък от прогнозирания, като бе отчетено по-високо количествено нарастване, при малко по-ниски от очакваното цени. По-високият реален растеж бе породен от високата икономическата активност в ЕС, въпреки войната в Украйна и шока в енергийния сектор, което се отрази в по-благоприятно външно търсене. Наред с това, в създалата се среда страната ни реализира значителен  износ на минерални горива (вкл. нефтопродукти и електроенергия). Вносът също нарасна по-значително в количествено отношение, докато ценовия ефект бе по-слаб от прогнозния. Реализираното ниво на внос на стоки съответстваше на прогнозата.  Отчетеният баланс при търговията с услугите бе по-нисък от прогнозирания, основно повлиян от по-силното вътрешно търсене, като номиналните темпове както на износа, така и на вноса изпревариха очакванията, отразявайки по-високите ценови нараствания. Излишъкът при търговията със стоки и услуги бе 0,5% от БВП или с 0,4 пр. п. по-висок спрямо прогнозния. Общото салдо на доходните статии през годината достигна дефицит от 1,2 % от БВП, спрямо очаквани 2,6 %. Отклонението спрямо прогнозата се дължи почти изцяло на реализирания по-малък дефицит при първичния доход, при подценени очаквания за входящите потоци </w:t>
      </w:r>
      <w:r w:rsidRPr="004F29B4">
        <w:rPr>
          <w:i/>
        </w:rPr>
        <w:t>друг първичен доход</w:t>
      </w:r>
      <w:r w:rsidRPr="004F29B4">
        <w:t>.</w:t>
      </w:r>
    </w:p>
    <w:p w14:paraId="6B955CAA" w14:textId="77777777" w:rsidR="004F29B4" w:rsidRPr="004F29B4" w:rsidRDefault="004F29B4" w:rsidP="004F29B4">
      <w:pPr>
        <w:ind w:firstLine="720"/>
        <w:jc w:val="both"/>
      </w:pPr>
      <w:r w:rsidRPr="004F29B4">
        <w:t xml:space="preserve">Кредитът за неправителствения сектор през 2022 г. се ускори в по-голяма степен спрямо макроикономическата прогноза, използвана за разработване на проекта на Закон за изменение и допълнение на Закона за държавния бюджет на Република България за 2022 г. Това се дължи на по-консервативно допускане в прогнозата по отношение на растежа на кредита за нефинансови предприятия, предвид неблагоприятните перспективи пред частните инвестиции. </w:t>
      </w:r>
    </w:p>
    <w:p w14:paraId="5C10E5F5" w14:textId="77777777" w:rsidR="004F29B4" w:rsidRPr="004F29B4" w:rsidRDefault="004F29B4" w:rsidP="004F29B4">
      <w:pPr>
        <w:ind w:firstLine="567"/>
        <w:jc w:val="both"/>
      </w:pPr>
      <w:r w:rsidRPr="004F29B4">
        <w:t>Кредитът за домакинствата също се ускори в по-голяма степен от прогнозираното. Основен принос за това имаха жилищните кредити, подкрепени от средата на ниски лихвени проценти и продължаващото нарастване на цените на жилищата. Високата инфлация през 2022 г. и завишените инфлационни очаквания също допринесоха за по-високото търсене на жилища като алтернативна форма за инвестиция или за съхранение на стойността. Потребителските кредити също се повишиха повече спрямо очакваното, което съответства и на по-високия спрямо прогнозата отчетен ръст на частното потребление.</w:t>
      </w:r>
    </w:p>
    <w:p w14:paraId="0F52E01E" w14:textId="77777777" w:rsidR="004F29B4" w:rsidRPr="004F29B4" w:rsidRDefault="004F29B4" w:rsidP="004F29B4">
      <w:pPr>
        <w:ind w:firstLine="567"/>
        <w:jc w:val="both"/>
      </w:pPr>
    </w:p>
    <w:p w14:paraId="796C98E4" w14:textId="4F7B50E0" w:rsidR="004F29B4" w:rsidRPr="004F29B4" w:rsidRDefault="004F29B4" w:rsidP="00BD39E0">
      <w:pPr>
        <w:keepNext/>
        <w:numPr>
          <w:ilvl w:val="0"/>
          <w:numId w:val="64"/>
        </w:numPr>
        <w:tabs>
          <w:tab w:val="num" w:pos="7590"/>
        </w:tabs>
        <w:spacing w:after="160" w:line="276" w:lineRule="auto"/>
        <w:ind w:left="426" w:hanging="425"/>
        <w:jc w:val="both"/>
        <w:outlineLvl w:val="0"/>
        <w:rPr>
          <w:b/>
          <w:bCs/>
        </w:rPr>
      </w:pPr>
      <w:bookmarkStart w:id="22" w:name="_Toc146037877"/>
      <w:r w:rsidRPr="004F29B4">
        <w:rPr>
          <w:b/>
          <w:bCs/>
        </w:rPr>
        <w:t>Оценка на въздействието на политиката на разходите в бюджетния сектор върху развитието на националната икономика</w:t>
      </w:r>
      <w:bookmarkEnd w:id="22"/>
      <w:r w:rsidRPr="004F29B4">
        <w:rPr>
          <w:b/>
          <w:bCs/>
        </w:rPr>
        <w:t xml:space="preserve">   </w:t>
      </w:r>
    </w:p>
    <w:p w14:paraId="5632534B" w14:textId="77777777" w:rsidR="004F29B4" w:rsidRPr="004F29B4" w:rsidRDefault="004F29B4" w:rsidP="004F29B4">
      <w:pPr>
        <w:ind w:firstLine="567"/>
        <w:jc w:val="both"/>
        <w:rPr>
          <w:color w:val="262626"/>
        </w:rPr>
      </w:pPr>
      <w:r w:rsidRPr="004F29B4">
        <w:rPr>
          <w:color w:val="262626"/>
        </w:rPr>
        <w:t>През 2022 г. растежът на публичното потребление и приносът му към нарастването на БВП се увеличи в сравнение с 2021 г. Разходите на правителството за потребление нараснаха с 16,9 % в номинално изражение и с 6,5 % в реално, като приносът им за растежа на икономиката бе 1,2 пр. п. при 0,1 пр. п. през 2021 г. Публичните инвестиции спаднаха и бяха с отрицателен принос за растежа на БВП.</w:t>
      </w:r>
    </w:p>
    <w:p w14:paraId="63B256CF" w14:textId="77777777" w:rsidR="004F29B4" w:rsidRPr="004F29B4" w:rsidRDefault="004F29B4" w:rsidP="004F29B4">
      <w:pPr>
        <w:ind w:firstLine="567"/>
        <w:jc w:val="both"/>
        <w:rPr>
          <w:color w:val="262626"/>
        </w:rPr>
      </w:pPr>
      <w:r w:rsidRPr="004F29B4">
        <w:rPr>
          <w:color w:val="262626"/>
        </w:rPr>
        <w:t>От страна на доходите, номиналното нарастване на разполагаемия доход на домакинствата  през 2022 г. възлезе на 20,8 %. Нарастването на заплатите в публичния сектор, както и социалните плащания за пенсии, помощи и обезщетения на домакинствата допринесоха за растежа на доходите и съответно подкрепиха нарастването на потреблението и БВП през годината. Компенсациите на наетите в сектор „Държавно управление; образование; хуманно здравеопазване и социална работа“ нараснаха с 11,5 % и допринесоха с 2,3 пр. п. към номиналния растеж на разполагаемия доход през годината. Приносът на пенсиите за растежа се увеличи - от 3,3 пр. п. през 2021 г. на 4 пр. п. през 2022 г. Това нарастване се дължеше на увеличението на пенсиите от 25 декември 2021 г., 1 юли 2022 г., и 1 октомври 2022 г.</w:t>
      </w:r>
    </w:p>
    <w:p w14:paraId="384659A8" w14:textId="4BB938FC" w:rsidR="004F29B4" w:rsidRDefault="004F29B4" w:rsidP="007C7CE3">
      <w:pPr>
        <w:keepNext/>
        <w:jc w:val="both"/>
        <w:rPr>
          <w:b/>
          <w:bCs/>
          <w:color w:val="0070C0"/>
          <w:lang w:eastAsia="en-US"/>
        </w:rPr>
      </w:pPr>
      <w:bookmarkStart w:id="23" w:name="_Toc136273289"/>
      <w:bookmarkStart w:id="24" w:name="_Toc136273484"/>
      <w:r w:rsidRPr="004F29B4">
        <w:rPr>
          <w:color w:val="262626"/>
        </w:rPr>
        <w:t>Програмата „60/40“ бе активна до края на месец юни 2022 г. През първата половина на 2022 г. програмата постепенно намали своята активност поради постепенното облекчаване на ограничителните мерси за бизнеса. Само за 2022 г. плащанията по програмата бяха в размер на около 290,2 млн. лв. (от тях 162,1 млн. лв. средства от бюджетни сметки и 128,1 млн. лв. – от сметки за чужди средства) и бяха защитени около 78 хиляди работни места (при около 3500 работодатели), като най-голям е относителният дял на работните места от сектор „Хотелиерство и ресторантьорство“.</w:t>
      </w:r>
      <w:bookmarkEnd w:id="23"/>
      <w:bookmarkEnd w:id="24"/>
    </w:p>
    <w:p w14:paraId="4E8303CD" w14:textId="77777777" w:rsidR="002A485B" w:rsidRPr="007B48E9" w:rsidRDefault="002A485B" w:rsidP="002A485B">
      <w:pPr>
        <w:suppressAutoHyphens/>
        <w:ind w:firstLine="709"/>
        <w:jc w:val="both"/>
        <w:rPr>
          <w:color w:val="0070C0"/>
        </w:rPr>
      </w:pPr>
      <w:bookmarkStart w:id="25" w:name="_Toc136519946"/>
      <w:bookmarkStart w:id="26" w:name="_Toc136597714"/>
      <w:bookmarkStart w:id="27" w:name="_Toc136601617"/>
      <w:bookmarkStart w:id="28" w:name="_Toc166304014"/>
      <w:bookmarkStart w:id="29" w:name="_Toc166381574"/>
      <w:bookmarkStart w:id="30" w:name="_Toc167005089"/>
      <w:bookmarkStart w:id="31" w:name="_Toc261276558"/>
      <w:bookmarkStart w:id="32" w:name="_Toc324863391"/>
      <w:bookmarkEnd w:id="3"/>
      <w:bookmarkEnd w:id="8"/>
      <w:bookmarkEnd w:id="9"/>
    </w:p>
    <w:p w14:paraId="6A0EB8F5" w14:textId="705F58A6" w:rsidR="00666D9F" w:rsidRPr="009B714A" w:rsidRDefault="00666D9F" w:rsidP="005E207C">
      <w:pPr>
        <w:pStyle w:val="Heading1"/>
        <w:pageBreakBefore/>
      </w:pPr>
      <w:bookmarkStart w:id="33" w:name="_Toc146037878"/>
      <w:r w:rsidRPr="009B714A">
        <w:t xml:space="preserve">ІІ. </w:t>
      </w:r>
      <w:bookmarkEnd w:id="25"/>
      <w:bookmarkEnd w:id="26"/>
      <w:bookmarkEnd w:id="27"/>
      <w:bookmarkEnd w:id="28"/>
      <w:bookmarkEnd w:id="29"/>
      <w:bookmarkEnd w:id="30"/>
      <w:bookmarkEnd w:id="31"/>
      <w:bookmarkEnd w:id="32"/>
      <w:r w:rsidR="0076076E" w:rsidRPr="009B714A">
        <w:t>ФИСКАЛНИ РАЗВИТИЯ ПРЕЗ 20</w:t>
      </w:r>
      <w:r w:rsidR="00281B2C" w:rsidRPr="009B714A">
        <w:t>2</w:t>
      </w:r>
      <w:r w:rsidR="009B714A" w:rsidRPr="004D5FFC">
        <w:rPr>
          <w:lang w:val="ru-RU"/>
        </w:rPr>
        <w:t>2</w:t>
      </w:r>
      <w:r w:rsidR="0076076E" w:rsidRPr="009B714A">
        <w:t xml:space="preserve"> г.</w:t>
      </w:r>
      <w:bookmarkEnd w:id="33"/>
    </w:p>
    <w:p w14:paraId="51DA8B4F" w14:textId="77777777" w:rsidR="005E207C" w:rsidRPr="007B48E9" w:rsidRDefault="005E207C" w:rsidP="005E207C">
      <w:pPr>
        <w:rPr>
          <w:color w:val="0070C0"/>
          <w:lang w:eastAsia="en-US"/>
        </w:rPr>
      </w:pPr>
    </w:p>
    <w:p w14:paraId="481F3CA7" w14:textId="77777777" w:rsidR="00666D9F" w:rsidRPr="007B48E9" w:rsidRDefault="00666D9F" w:rsidP="00964429">
      <w:pPr>
        <w:jc w:val="center"/>
        <w:rPr>
          <w:b/>
          <w:bCs/>
          <w:color w:val="0070C0"/>
          <w:sz w:val="12"/>
          <w:szCs w:val="12"/>
        </w:rPr>
      </w:pPr>
    </w:p>
    <w:p w14:paraId="71669C2C" w14:textId="35738024" w:rsidR="002F5D4C" w:rsidRPr="002512EB" w:rsidRDefault="0018471B" w:rsidP="004D74B5">
      <w:pPr>
        <w:keepNext/>
        <w:numPr>
          <w:ilvl w:val="0"/>
          <w:numId w:val="6"/>
        </w:numPr>
        <w:spacing w:after="120"/>
        <w:outlineLvl w:val="0"/>
        <w:rPr>
          <w:b/>
          <w:bCs/>
          <w:lang w:eastAsia="en-US"/>
        </w:rPr>
      </w:pPr>
      <w:bookmarkStart w:id="34" w:name="_Toc136519947"/>
      <w:bookmarkStart w:id="35" w:name="_Toc136597715"/>
      <w:bookmarkStart w:id="36" w:name="_Toc136601618"/>
      <w:bookmarkStart w:id="37" w:name="_Toc166304015"/>
      <w:bookmarkStart w:id="38" w:name="_Toc166381575"/>
      <w:bookmarkStart w:id="39" w:name="_Toc167005090"/>
      <w:bookmarkStart w:id="40" w:name="_Toc261276559"/>
      <w:bookmarkStart w:id="41" w:name="_Toc324863392"/>
      <w:bookmarkStart w:id="42" w:name="_Toc357527067"/>
      <w:bookmarkStart w:id="43" w:name="_Toc230007041"/>
      <w:bookmarkStart w:id="44" w:name="_Toc324863393"/>
      <w:bookmarkStart w:id="45" w:name="_Toc393728051"/>
      <w:bookmarkStart w:id="46" w:name="_Toc462146100"/>
      <w:bookmarkStart w:id="47" w:name="_Toc357527069"/>
      <w:bookmarkStart w:id="48" w:name="_Toc146037879"/>
      <w:r w:rsidRPr="002512EB">
        <w:rPr>
          <w:b/>
          <w:bCs/>
          <w:lang w:eastAsia="en-US"/>
        </w:rPr>
        <w:t>Бюджетна рамка и фискални развития</w:t>
      </w:r>
      <w:bookmarkEnd w:id="48"/>
      <w:r w:rsidRPr="002512EB">
        <w:rPr>
          <w:b/>
          <w:bCs/>
          <w:lang w:eastAsia="en-US"/>
        </w:rPr>
        <w:t xml:space="preserve"> </w:t>
      </w:r>
      <w:bookmarkEnd w:id="34"/>
      <w:bookmarkEnd w:id="35"/>
      <w:bookmarkEnd w:id="36"/>
      <w:bookmarkEnd w:id="37"/>
      <w:bookmarkEnd w:id="38"/>
      <w:bookmarkEnd w:id="39"/>
      <w:bookmarkEnd w:id="40"/>
      <w:bookmarkEnd w:id="41"/>
      <w:bookmarkEnd w:id="42"/>
    </w:p>
    <w:p w14:paraId="0606CE9B" w14:textId="50410945" w:rsidR="00A02919" w:rsidRPr="00D91531" w:rsidRDefault="00A02919" w:rsidP="001D7CC7">
      <w:pPr>
        <w:tabs>
          <w:tab w:val="num" w:pos="0"/>
        </w:tabs>
        <w:autoSpaceDE w:val="0"/>
        <w:autoSpaceDN w:val="0"/>
        <w:adjustRightInd w:val="0"/>
        <w:ind w:firstLine="709"/>
        <w:jc w:val="both"/>
        <w:rPr>
          <w:color w:val="000000" w:themeColor="text1"/>
        </w:rPr>
      </w:pPr>
      <w:bookmarkStart w:id="49" w:name="_Toc525125575"/>
      <w:bookmarkEnd w:id="43"/>
      <w:bookmarkEnd w:id="44"/>
      <w:bookmarkEnd w:id="45"/>
      <w:bookmarkEnd w:id="46"/>
      <w:r w:rsidRPr="00D91531">
        <w:rPr>
          <w:color w:val="000000" w:themeColor="text1"/>
        </w:rPr>
        <w:t xml:space="preserve">Фискалните развития през 2022 г. бяха доминирани в голяма степен от множество фактори, които не бе възможно да бъдат оценени в пълнота на етапа на планиране. Заключителният етап на бюджетната процедура за 2022 г. бе забавен и за разлика от предходните години календарната година започна без приет от Народното събрание бюджет. До встъпването в длъжност на новото редовно правителство </w:t>
      </w:r>
      <w:r>
        <w:rPr>
          <w:color w:val="000000" w:themeColor="text1"/>
        </w:rPr>
        <w:t xml:space="preserve">на премиера Петков </w:t>
      </w:r>
      <w:r w:rsidRPr="00D91531">
        <w:rPr>
          <w:color w:val="000000" w:themeColor="text1"/>
        </w:rPr>
        <w:t>в средата на декември 2021 г. не бе внесен проект на годишен закон за бюджета за 2022 г., което съответно забави неговото приемане. За периода 01 януари - 25 февруари 2022 г. нямаше приет от Народното събрание Закон за държавния бюджет на Република България за 2022 г., поради което събирането на приходи и извършването на разходи и предоставянето на трансфери по държавния бюджет се извършваше съгласно хипотезата на чл. 87, ал. 1 на ЗПФ и при действието на Закона за прилагане на разпоредбите на ЗДБРБ за 2021 г., ЗБДОО за 2021 г. и ЗБНЗОК за 2021 г. (т.н. „удължителен“ закон - ДВ, бр. 8 от 2022</w:t>
      </w:r>
      <w:r w:rsidR="000757F2">
        <w:rPr>
          <w:color w:val="000000" w:themeColor="text1"/>
        </w:rPr>
        <w:t> </w:t>
      </w:r>
      <w:r w:rsidRPr="00D91531">
        <w:rPr>
          <w:color w:val="000000" w:themeColor="text1"/>
        </w:rPr>
        <w:t>г.). През месец януари редовното правителство внесе законопроект за държавния бюджет на Република България за 2022 г., който бе одобрен от народното събрание в края на февруари. Заложената фискална цел за годината бе дефицитът по КФП да не надвиши 4,1 % от прогнозния БВП, което бе съобразено с текущото състояние на икономиката и очакванията за развитието на пандемията. По този начин се предвиждаше продължение на фискалните стимули в периода на възстановяване на икономиката след постепенн</w:t>
      </w:r>
      <w:r>
        <w:rPr>
          <w:color w:val="000000" w:themeColor="text1"/>
        </w:rPr>
        <w:t xml:space="preserve">ото затихване на пандемията и </w:t>
      </w:r>
      <w:r w:rsidRPr="00D91531">
        <w:rPr>
          <w:color w:val="000000" w:themeColor="text1"/>
        </w:rPr>
        <w:t>по</w:t>
      </w:r>
      <w:r>
        <w:rPr>
          <w:color w:val="000000" w:themeColor="text1"/>
        </w:rPr>
        <w:t>етапно</w:t>
      </w:r>
      <w:r w:rsidRPr="00D91531">
        <w:rPr>
          <w:color w:val="000000" w:themeColor="text1"/>
        </w:rPr>
        <w:t xml:space="preserve"> подобрение и нормализиране на бюджетната позиция през следващите няколко години.</w:t>
      </w:r>
    </w:p>
    <w:p w14:paraId="4E30BA1E" w14:textId="77777777" w:rsidR="00A02919" w:rsidRDefault="00A02919" w:rsidP="001D7CC7">
      <w:pPr>
        <w:tabs>
          <w:tab w:val="num" w:pos="0"/>
        </w:tabs>
        <w:autoSpaceDE w:val="0"/>
        <w:autoSpaceDN w:val="0"/>
        <w:adjustRightInd w:val="0"/>
        <w:ind w:firstLine="709"/>
        <w:jc w:val="both"/>
        <w:rPr>
          <w:color w:val="000000" w:themeColor="text1"/>
        </w:rPr>
      </w:pPr>
      <w:r w:rsidRPr="000D7C8F">
        <w:rPr>
          <w:color w:val="000000" w:themeColor="text1"/>
        </w:rPr>
        <w:t xml:space="preserve">Поредицата от шокове върху пазарите на енергоносители, горива и суровини и нарушените вериги за доставка след избухването на военните действия в Украйна промениха икономическите перспективи и създадоха безпрецедентни рискове за редица сектори на икономиката. От друга страна, тези шокове доведоха и до допълнително ускоряване на инфлацията при голяма част от стоките, което застрашава хората с ниски доходи и увеличава значително групата на лицата с доходи под линията на бедност. </w:t>
      </w:r>
      <w:r>
        <w:rPr>
          <w:color w:val="000000" w:themeColor="text1"/>
        </w:rPr>
        <w:t>Ц</w:t>
      </w:r>
      <w:r w:rsidRPr="00FA317F">
        <w:rPr>
          <w:color w:val="000000" w:themeColor="text1"/>
        </w:rPr>
        <w:t xml:space="preserve">ените на енергоносителите, и в частност на електроенергията, продължиха устойчиво да нарастват, като тази тенденция се влоши значително след избухването на военните действия в Украйна. Поради това се наложи програмите за компенсиране на небитовите потребители на електрическа енергия и природен газ, прилагани през последното тримесечие на 2021 г., да бъдат доразвити и да продължат да се прилагат и през </w:t>
      </w:r>
      <w:r>
        <w:rPr>
          <w:color w:val="000000" w:themeColor="text1"/>
        </w:rPr>
        <w:t xml:space="preserve">първото полугодие на 2022 г. </w:t>
      </w:r>
      <w:r w:rsidRPr="00FA317F">
        <w:rPr>
          <w:color w:val="000000" w:themeColor="text1"/>
        </w:rPr>
        <w:t>Удължаването на програмите бе в рамките на разходните тавани по годишния закон за бюджета, като компенсаторните плащания се извършваха чрез разходи по бюджета на „Фонд сигурност на електроенергийната система“</w:t>
      </w:r>
      <w:r w:rsidRPr="008C1D6A">
        <w:rPr>
          <w:color w:val="000000"/>
        </w:rPr>
        <w:t xml:space="preserve"> </w:t>
      </w:r>
      <w:r>
        <w:rPr>
          <w:color w:val="000000"/>
        </w:rPr>
        <w:t xml:space="preserve"> (ФСЕС)</w:t>
      </w:r>
      <w:r w:rsidRPr="00FA317F">
        <w:rPr>
          <w:color w:val="000000" w:themeColor="text1"/>
        </w:rPr>
        <w:t>, включително и за сметка на допълнителни приходи.</w:t>
      </w:r>
      <w:r>
        <w:rPr>
          <w:color w:val="000000" w:themeColor="text1"/>
        </w:rPr>
        <w:t xml:space="preserve"> </w:t>
      </w:r>
    </w:p>
    <w:p w14:paraId="3E60F860" w14:textId="0FF83631" w:rsidR="00A02919" w:rsidRDefault="00A02919" w:rsidP="001D7CC7">
      <w:pPr>
        <w:ind w:firstLine="709"/>
        <w:jc w:val="both"/>
        <w:rPr>
          <w:color w:val="000000"/>
        </w:rPr>
      </w:pPr>
      <w:r w:rsidRPr="00F930FD">
        <w:rPr>
          <w:color w:val="000000"/>
        </w:rPr>
        <w:t>В начал</w:t>
      </w:r>
      <w:r>
        <w:rPr>
          <w:color w:val="000000"/>
        </w:rPr>
        <w:t>ото на месец юни п</w:t>
      </w:r>
      <w:r w:rsidRPr="00F930FD">
        <w:rPr>
          <w:color w:val="000000"/>
        </w:rPr>
        <w:t>равителство</w:t>
      </w:r>
      <w:r>
        <w:rPr>
          <w:color w:val="000000"/>
        </w:rPr>
        <w:t>то на премиера Петков</w:t>
      </w:r>
      <w:r w:rsidRPr="00F930FD">
        <w:rPr>
          <w:color w:val="000000"/>
        </w:rPr>
        <w:t xml:space="preserve"> изготви и внесе в Народното събрание проект на Закон за изменение и допълнение на </w:t>
      </w:r>
      <w:r>
        <w:rPr>
          <w:color w:val="000000"/>
        </w:rPr>
        <w:t>З</w:t>
      </w:r>
      <w:r w:rsidRPr="00F930FD">
        <w:rPr>
          <w:color w:val="000000"/>
        </w:rPr>
        <w:t xml:space="preserve">акона за държавния бюджет на Република България за 2022 г. (ЗИД на ЗДБРБ за 2022 г.). Предложен бе спешен пакет от антикризисни мерки, насочени към преодоляване на негативните последствия от нарастващия инфлационен натиск върху най-засегнатите групи от обществото и бизнеса. Целта бе да се подкрепят българските граждани и бизнеса в условията на безпрецедентна криза, породена от войната в Украйна и да се смекчат шоковете, породени от високите цени на енергоносителите и суровините, за уязвимите групи от обществото и за икономиката на България. </w:t>
      </w:r>
      <w:r w:rsidR="00582784" w:rsidRPr="00582784">
        <w:rPr>
          <w:color w:val="000000"/>
        </w:rPr>
        <w:t>Законът бе приет от Народното събрание</w:t>
      </w:r>
      <w:r w:rsidRPr="00F930FD">
        <w:rPr>
          <w:color w:val="000000"/>
        </w:rPr>
        <w:t>в края на м</w:t>
      </w:r>
      <w:r>
        <w:rPr>
          <w:color w:val="000000"/>
        </w:rPr>
        <w:t>есец</w:t>
      </w:r>
      <w:r w:rsidRPr="00F930FD">
        <w:rPr>
          <w:color w:val="000000"/>
        </w:rPr>
        <w:t xml:space="preserve"> юни и обнародван в началото на месец юли (ДВ, бр. № 52 от 5.07.2022 г.)</w:t>
      </w:r>
      <w:r w:rsidRPr="004A2E93">
        <w:rPr>
          <w:color w:val="000000"/>
          <w:lang w:val="ru-RU"/>
        </w:rPr>
        <w:t xml:space="preserve">, </w:t>
      </w:r>
      <w:r>
        <w:rPr>
          <w:color w:val="000000"/>
        </w:rPr>
        <w:t xml:space="preserve">фискалната цел за годината на касова основа бе запазена на равнището от началото на годината – дефицит в размер на 4,1 на сто от прогнозния БВП. </w:t>
      </w:r>
    </w:p>
    <w:p w14:paraId="29254ECC" w14:textId="77777777" w:rsidR="00A02919" w:rsidRPr="00F930FD" w:rsidRDefault="00A02919" w:rsidP="001D7CC7">
      <w:pPr>
        <w:ind w:firstLine="709"/>
        <w:jc w:val="both"/>
        <w:rPr>
          <w:color w:val="000000"/>
        </w:rPr>
      </w:pPr>
      <w:r>
        <w:rPr>
          <w:color w:val="000000"/>
        </w:rPr>
        <w:t>Приетите антикризисни мерки в областта на данъчната политика включваха въвеждането от месец юли 2022 г. на намалена ставка на ДДС от 9 % за централно отопление и за природен газ, нулева ставка за доставките на хляб и на брашно, както и освобождаване от облагане с акциз на природния газ и втечнения нефтен газ (</w:t>
      </w:r>
      <w:r>
        <w:rPr>
          <w:color w:val="000000"/>
          <w:lang w:val="en-US"/>
        </w:rPr>
        <w:t>LPG</w:t>
      </w:r>
      <w:r>
        <w:rPr>
          <w:color w:val="000000"/>
        </w:rPr>
        <w:t xml:space="preserve">), използвани като моторно гориво, и на електрическата енергия. </w:t>
      </w:r>
      <w:r w:rsidRPr="00B1120B">
        <w:rPr>
          <w:color w:val="000000"/>
        </w:rPr>
        <w:t>По прогнозни данни ефектът от действието на посочените мерки за 2022  г. се оценява</w:t>
      </w:r>
      <w:r>
        <w:rPr>
          <w:color w:val="000000"/>
        </w:rPr>
        <w:t>ше</w:t>
      </w:r>
      <w:r w:rsidRPr="00B1120B">
        <w:rPr>
          <w:color w:val="000000"/>
        </w:rPr>
        <w:t xml:space="preserve"> на около </w:t>
      </w:r>
      <w:r>
        <w:rPr>
          <w:color w:val="000000"/>
        </w:rPr>
        <w:t>222</w:t>
      </w:r>
      <w:r w:rsidRPr="00B1120B">
        <w:rPr>
          <w:color w:val="000000"/>
        </w:rPr>
        <w:t>,</w:t>
      </w:r>
      <w:r>
        <w:rPr>
          <w:color w:val="000000"/>
        </w:rPr>
        <w:t>5</w:t>
      </w:r>
      <w:r w:rsidRPr="00B1120B">
        <w:rPr>
          <w:color w:val="000000"/>
        </w:rPr>
        <w:t xml:space="preserve"> млн. лв. по-малко данъчни приходи</w:t>
      </w:r>
      <w:r>
        <w:rPr>
          <w:color w:val="000000"/>
        </w:rPr>
        <w:t xml:space="preserve"> за оставащите месеци до края на календарната 2022 г</w:t>
      </w:r>
      <w:r w:rsidRPr="00B1120B">
        <w:rPr>
          <w:color w:val="000000"/>
        </w:rPr>
        <w:t>.</w:t>
      </w:r>
    </w:p>
    <w:p w14:paraId="174CAC5F" w14:textId="77777777" w:rsidR="00A02919" w:rsidRPr="004006FD" w:rsidRDefault="00A02919" w:rsidP="001D7CC7">
      <w:pPr>
        <w:ind w:firstLine="709"/>
        <w:jc w:val="both"/>
        <w:rPr>
          <w:color w:val="000000"/>
        </w:rPr>
      </w:pPr>
      <w:r w:rsidRPr="00F930FD">
        <w:rPr>
          <w:color w:val="000000"/>
        </w:rPr>
        <w:t xml:space="preserve">Освен пакета антикризисни мерки в приходната и разходната част на бюджета в хода на обсъждането на актуализацията на бюджета бе адресиран и друг основен проблем пред бизнеса – високите цени на електрическата енергия за потребителите извън регулирания пазар. По време на процедурата по гласуването на законопроекта бяха направени редица предложения от народни представители за промени, с които да се регламентира конкретен механизъм за изплащане на компенсации към небитовите потребители на електрическа енергия за сметка на целеви вноски от публичните предприятия от сектор енергетика със 100 на сто държавно участие в капитала. В окончателният текст е записано, че размерът и срокът за внасяне на целевите вноски ще се определя от Министерския съвет, като средствата ще постъпват по бюджета на </w:t>
      </w:r>
      <w:r>
        <w:rPr>
          <w:color w:val="000000"/>
        </w:rPr>
        <w:t xml:space="preserve">ФСЕС </w:t>
      </w:r>
      <w:r w:rsidRPr="00F930FD">
        <w:rPr>
          <w:color w:val="000000"/>
        </w:rPr>
        <w:t xml:space="preserve">и ще служат за изплащане на компенсации на небитовите потребители на електрическа енергия. </w:t>
      </w:r>
      <w:r>
        <w:rPr>
          <w:color w:val="000000"/>
        </w:rPr>
        <w:t>Изплащаните от Фонда компенсации са</w:t>
      </w:r>
      <w:r w:rsidRPr="00F930FD">
        <w:rPr>
          <w:color w:val="000000"/>
        </w:rPr>
        <w:t xml:space="preserve"> в размер на 100 на сто от разликата между средната цена на сегмента „ден напред“ на „БНЕБ“ ЕАД за съответния месец и базова цена от 250 лв./MWh. Предвидено е механизмът да се прилага за пер</w:t>
      </w:r>
      <w:r>
        <w:rPr>
          <w:color w:val="000000"/>
        </w:rPr>
        <w:t xml:space="preserve">иода 01.07.2022 г. </w:t>
      </w:r>
      <w:r w:rsidRPr="004006FD">
        <w:rPr>
          <w:color w:val="000000"/>
        </w:rPr>
        <w:t>– 31.12.2022 г. Следва обаче да се има предвид, че разчети за предложените промени в приходите и разходите на ФСЕС не са включени в годишния план към ЗДБРБ за 2022 г., тъй като промените бяха направени с предложения на народни представители без конкретни оценки, които да бъдат обвързани в консолидираната рамка по приходите и разходите по КФП. Поради тази причина приходите и разходите за изплащане на компенсации за небитовите потребители на електрическа енергия (в размер на 3,2 млрд. лв. за периода юли-декември 2022</w:t>
      </w:r>
      <w:r>
        <w:rPr>
          <w:color w:val="000000"/>
        </w:rPr>
        <w:t> </w:t>
      </w:r>
      <w:r w:rsidRPr="004006FD">
        <w:rPr>
          <w:color w:val="000000"/>
        </w:rPr>
        <w:t xml:space="preserve">г.) са с еднократен извънреден характер и за постигане на съпоставимост с годишния разчет към ЗДБРБ за 2022 г. следва да бъдат елиминирани. </w:t>
      </w:r>
    </w:p>
    <w:p w14:paraId="737D7E31" w14:textId="77777777" w:rsidR="00A02919" w:rsidRPr="00DB3FAA" w:rsidRDefault="00A02919" w:rsidP="00A02919">
      <w:pPr>
        <w:spacing w:before="360"/>
        <w:jc w:val="both"/>
        <w:rPr>
          <w:b/>
          <w:color w:val="000000" w:themeColor="text1"/>
          <w:u w:val="single"/>
        </w:rPr>
      </w:pPr>
      <w:bookmarkStart w:id="50" w:name="_Toc326165882"/>
      <w:bookmarkStart w:id="51" w:name="_Toc326165985"/>
      <w:bookmarkStart w:id="52" w:name="_Toc326226584"/>
      <w:bookmarkStart w:id="53" w:name="_Toc326165884"/>
      <w:bookmarkStart w:id="54" w:name="_Toc326165987"/>
      <w:bookmarkStart w:id="55" w:name="_Toc326226586"/>
      <w:bookmarkStart w:id="56" w:name="_Toc326165886"/>
      <w:bookmarkStart w:id="57" w:name="_Toc326165989"/>
      <w:bookmarkStart w:id="58" w:name="_Toc326226588"/>
      <w:bookmarkStart w:id="59" w:name="_Toc326165888"/>
      <w:bookmarkStart w:id="60" w:name="_Toc326165991"/>
      <w:bookmarkStart w:id="61" w:name="_Toc326226590"/>
      <w:bookmarkStart w:id="62" w:name="_Toc326165889"/>
      <w:bookmarkStart w:id="63" w:name="_Toc326165992"/>
      <w:bookmarkStart w:id="64" w:name="_Toc326226591"/>
      <w:bookmarkStart w:id="65" w:name="_Toc326165890"/>
      <w:bookmarkStart w:id="66" w:name="_Toc326165993"/>
      <w:bookmarkStart w:id="67" w:name="_Toc326226592"/>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Pr="00DB3FAA">
        <w:rPr>
          <w:b/>
          <w:color w:val="000000" w:themeColor="text1"/>
          <w:u w:val="single"/>
        </w:rPr>
        <w:t>Основни акценти във връзка с текущото наблюдение на изпълнението на консолидираната фискална програма за 202</w:t>
      </w:r>
      <w:r>
        <w:rPr>
          <w:b/>
          <w:color w:val="000000" w:themeColor="text1"/>
          <w:u w:val="single"/>
        </w:rPr>
        <w:t>2</w:t>
      </w:r>
      <w:r w:rsidRPr="00DB3FAA">
        <w:rPr>
          <w:b/>
          <w:color w:val="000000" w:themeColor="text1"/>
          <w:u w:val="single"/>
        </w:rPr>
        <w:t xml:space="preserve"> г.</w:t>
      </w:r>
    </w:p>
    <w:p w14:paraId="305F1B28" w14:textId="77777777" w:rsidR="00A02919" w:rsidRDefault="00A02919" w:rsidP="00A02919">
      <w:pPr>
        <w:spacing w:after="120"/>
        <w:jc w:val="both"/>
        <w:rPr>
          <w:color w:val="000000" w:themeColor="text1"/>
        </w:rPr>
      </w:pPr>
    </w:p>
    <w:p w14:paraId="4BA1A306" w14:textId="43E1497E" w:rsidR="00A02919" w:rsidRDefault="00A02919" w:rsidP="00FB30EE">
      <w:pPr>
        <w:ind w:firstLine="709"/>
        <w:jc w:val="both"/>
        <w:rPr>
          <w:color w:val="000000" w:themeColor="text1"/>
        </w:rPr>
      </w:pPr>
      <w:r w:rsidRPr="00FA317F">
        <w:rPr>
          <w:color w:val="000000" w:themeColor="text1"/>
        </w:rPr>
        <w:t>Изпълнението на държавния бюджет до деня на приемането от Народното събрание на Закона за държавния бюджет на Република България за 2022 г. (ЗДБРБ за 2022 г.) се извършваше по реда на чл. 87, ал. 1 от ЗПФ</w:t>
      </w:r>
      <w:r>
        <w:rPr>
          <w:color w:val="000000" w:themeColor="text1"/>
        </w:rPr>
        <w:t xml:space="preserve"> </w:t>
      </w:r>
      <w:r>
        <w:t xml:space="preserve">и при действието </w:t>
      </w:r>
      <w:r>
        <w:rPr>
          <w:color w:val="000000" w:themeColor="text1"/>
        </w:rPr>
        <w:t>„удължителния“ закон.</w:t>
      </w:r>
      <w:r w:rsidRPr="00FA317F">
        <w:rPr>
          <w:color w:val="000000" w:themeColor="text1"/>
        </w:rPr>
        <w:t xml:space="preserve"> </w:t>
      </w:r>
      <w:r>
        <w:rPr>
          <w:color w:val="000000" w:themeColor="text1"/>
        </w:rPr>
        <w:t>С</w:t>
      </w:r>
      <w:r w:rsidRPr="00FA317F">
        <w:rPr>
          <w:color w:val="000000" w:themeColor="text1"/>
        </w:rPr>
        <w:t xml:space="preserve">ъбирането на приходите се извършваше в съответствие с действащите закони, а извършването на разходи и предоставянето на трансфери бе </w:t>
      </w:r>
      <w:r>
        <w:rPr>
          <w:color w:val="000000" w:themeColor="text1"/>
        </w:rPr>
        <w:t xml:space="preserve">в съответствие с разпоредбите на „удължителния“ закон при условията на действието на чл. 87, ал. 1 на ЗПФ. </w:t>
      </w:r>
      <w:r w:rsidRPr="00FA317F">
        <w:rPr>
          <w:color w:val="000000" w:themeColor="text1"/>
        </w:rPr>
        <w:t xml:space="preserve">Това заедно с намаляващия натиск на пандемията оказа задържащ ефект върху разходите, като общо разходите по КФП за първото тримесечие на 2022 г. останаха номинално близки до отчетените за същия период на предходната година (номинален ръст от едва 0,9 на сто). Това също така забави и изпълнението на планираните разходи по чл. 1, ал. 5 от ЗДБРБ за 2022 г. </w:t>
      </w:r>
    </w:p>
    <w:p w14:paraId="12F800B0" w14:textId="15161C36" w:rsidR="00A02919" w:rsidRDefault="00A02919" w:rsidP="00FB30EE">
      <w:pPr>
        <w:ind w:firstLine="709"/>
        <w:jc w:val="both"/>
        <w:rPr>
          <w:color w:val="000000" w:themeColor="text1"/>
        </w:rPr>
      </w:pPr>
      <w:r>
        <w:rPr>
          <w:color w:val="000000" w:themeColor="text1"/>
        </w:rPr>
        <w:t>Почти едновременно с влизането в сила на ЗДБРБ за 2022 г. (ДВ, бр. 18 от 04.03.2022</w:t>
      </w:r>
      <w:r w:rsidR="007D454E">
        <w:rPr>
          <w:color w:val="000000" w:themeColor="text1"/>
        </w:rPr>
        <w:t> </w:t>
      </w:r>
      <w:r>
        <w:rPr>
          <w:color w:val="000000" w:themeColor="text1"/>
        </w:rPr>
        <w:t xml:space="preserve">г.) настъпи събитие, което не бе възможно да бъде предвидено при изготвянето на законопроекта през месец януари – в края на месец февруари 2022 г. Руската федерация предприе агресивни военни действия в Украйна. През следващите месеци започнаха да се проявяват силно преките и косвените ефекти от избухването на този военен конфликт, като по линия на приходите, така и по линия на разходите. В тази връзка бе наложително бюджетната рамка за годината да се адаптира към променената вътрешна и външна среда, като се предвидят адекватни </w:t>
      </w:r>
      <w:r>
        <w:rPr>
          <w:color w:val="000000"/>
        </w:rPr>
        <w:t xml:space="preserve">мерки, насочени към </w:t>
      </w:r>
      <w:r w:rsidRPr="00F930FD">
        <w:rPr>
          <w:color w:val="000000"/>
        </w:rPr>
        <w:t>смекча</w:t>
      </w:r>
      <w:r>
        <w:rPr>
          <w:color w:val="000000"/>
        </w:rPr>
        <w:t>ване на</w:t>
      </w:r>
      <w:r w:rsidRPr="00F930FD">
        <w:rPr>
          <w:color w:val="000000"/>
        </w:rPr>
        <w:t xml:space="preserve"> шоковете, породени от високите цени на енергоносителите и суровините за уязвимите групи от обществото и за икономиката на България</w:t>
      </w:r>
      <w:r>
        <w:rPr>
          <w:color w:val="000000"/>
        </w:rPr>
        <w:t>. В отговор на тези предизвикателства правителството на премиера Петков изготви и внесе в Народното събрание ЗИД на ЗДБРБ за 2022 г., където бе включен спешен антикризисен пакет от мерки в приходите и разходите при запазване на фискалната цел дефицита по КФП да не надвиши 4,1 % от прогнозния БВП. Законопроектът бе окончателно приет от Народното събрание в края на месец юни (ДВ, бр. 52 от 05.07.2022</w:t>
      </w:r>
      <w:r w:rsidR="000757F2">
        <w:rPr>
          <w:color w:val="000000"/>
        </w:rPr>
        <w:t> </w:t>
      </w:r>
      <w:r>
        <w:rPr>
          <w:color w:val="000000"/>
        </w:rPr>
        <w:t>г.).</w:t>
      </w:r>
    </w:p>
    <w:p w14:paraId="4F3F1BCE" w14:textId="77777777" w:rsidR="00A02919" w:rsidRPr="00A916AC" w:rsidRDefault="00A02919" w:rsidP="00FB30EE">
      <w:pPr>
        <w:ind w:firstLine="709"/>
        <w:jc w:val="both"/>
      </w:pPr>
      <w:r w:rsidRPr="00114F9C">
        <w:rPr>
          <w:color w:val="000000" w:themeColor="text1"/>
        </w:rPr>
        <w:t>Приходната страна на бюджета бе повлияна от една страна от по-високия от планирания реал</w:t>
      </w:r>
      <w:r>
        <w:rPr>
          <w:color w:val="000000" w:themeColor="text1"/>
        </w:rPr>
        <w:t>е</w:t>
      </w:r>
      <w:r w:rsidRPr="00114F9C">
        <w:rPr>
          <w:color w:val="000000" w:themeColor="text1"/>
        </w:rPr>
        <w:t>н растеж на БВП,</w:t>
      </w:r>
      <w:r>
        <w:rPr>
          <w:color w:val="000000" w:themeColor="text1"/>
        </w:rPr>
        <w:t xml:space="preserve"> и от друга</w:t>
      </w:r>
      <w:r w:rsidRPr="004A2E93">
        <w:rPr>
          <w:color w:val="000000" w:themeColor="text1"/>
          <w:lang w:val="ru-RU"/>
        </w:rPr>
        <w:t xml:space="preserve"> </w:t>
      </w:r>
      <w:r>
        <w:rPr>
          <w:color w:val="000000" w:themeColor="text1"/>
        </w:rPr>
        <w:t>от</w:t>
      </w:r>
      <w:r w:rsidRPr="00114F9C">
        <w:rPr>
          <w:color w:val="000000" w:themeColor="text1"/>
        </w:rPr>
        <w:t xml:space="preserve"> безпрецедентната за последните години инфлация. </w:t>
      </w:r>
      <w:r>
        <w:rPr>
          <w:color w:val="000000" w:themeColor="text1"/>
        </w:rPr>
        <w:t>Значителният ръст на цените на енергоносителите и храните доведе до верижно поскъпване на много стоки, в които те формират значителна част от себестойността на продукцията, което респективно ускори значително инфлацията. Заедно с това вътрешното търсене се запази силно, което бе движено както от ускореният ръст на компенсацията на заетите в публичния и частния сектор, така и от по-високото публично потребление. Поради тези фактори, въпреки избухването на военните действия в Украйна,</w:t>
      </w:r>
      <w:r w:rsidRPr="00114F9C">
        <w:rPr>
          <w:color w:val="000000" w:themeColor="text1"/>
        </w:rPr>
        <w:t xml:space="preserve"> приходи не бяха засегнати, а продължиха да нарастват с добри темпове. Това, заедно с подобряващите се индикатори на пазара на труда и запазващото се вътрешно търсене</w:t>
      </w:r>
      <w:r>
        <w:rPr>
          <w:color w:val="000000" w:themeColor="text1"/>
        </w:rPr>
        <w:t xml:space="preserve"> свидетелства</w:t>
      </w:r>
      <w:r w:rsidRPr="00114F9C">
        <w:rPr>
          <w:color w:val="000000" w:themeColor="text1"/>
        </w:rPr>
        <w:t>, че бизнесът успява</w:t>
      </w:r>
      <w:r>
        <w:rPr>
          <w:color w:val="000000" w:themeColor="text1"/>
        </w:rPr>
        <w:t>ше в голяма степен</w:t>
      </w:r>
      <w:r w:rsidRPr="00114F9C">
        <w:rPr>
          <w:color w:val="000000" w:themeColor="text1"/>
        </w:rPr>
        <w:t xml:space="preserve"> да се адаптира към променената среда. Нещо повече, през месец май, юли и август по данни на Евростат индустриалното производство в България отчита най-голям растеж на годишна база (съответно 20,</w:t>
      </w:r>
      <w:r>
        <w:rPr>
          <w:color w:val="000000" w:themeColor="text1"/>
        </w:rPr>
        <w:t>5</w:t>
      </w:r>
      <w:r w:rsidRPr="00114F9C">
        <w:rPr>
          <w:color w:val="000000" w:themeColor="text1"/>
        </w:rPr>
        <w:t xml:space="preserve"> на сто за май, 1</w:t>
      </w:r>
      <w:r>
        <w:rPr>
          <w:color w:val="000000" w:themeColor="text1"/>
        </w:rPr>
        <w:t>8</w:t>
      </w:r>
      <w:r w:rsidRPr="00114F9C">
        <w:rPr>
          <w:color w:val="000000" w:themeColor="text1"/>
        </w:rPr>
        <w:t>,</w:t>
      </w:r>
      <w:r>
        <w:rPr>
          <w:color w:val="000000" w:themeColor="text1"/>
        </w:rPr>
        <w:t>0</w:t>
      </w:r>
      <w:r w:rsidRPr="00114F9C">
        <w:rPr>
          <w:color w:val="000000" w:themeColor="text1"/>
        </w:rPr>
        <w:t xml:space="preserve"> на сто за юли и 16,5 на сто за август) сред всички държави-членки на ЕС. </w:t>
      </w:r>
      <w:r>
        <w:rPr>
          <w:color w:val="000000" w:themeColor="text1"/>
        </w:rPr>
        <w:t xml:space="preserve">Това показва, че бизнесът запазва и подобрява конкурентното си предимство, включително и поради щедрата програма за изплащане на компенсации на потребителите на електрическа енергия извън регулирания пазар. </w:t>
      </w:r>
      <w:r w:rsidRPr="00A916AC">
        <w:t>Задълбочаващият се инфлационен натиск обаче индикира, че на вътрешния пазар основната част от тежестта върху цената на продукцията от високите цени на енергоносителите бе прехвърлена към крайните потребители, въпреки програмите за изплащане на компенсации. Подобен извод може да се направи и от значително подобрените финансови резултати на фирмите през 2022 г., които внесоха рекорден по размер авансов корпоративен данък. Това може да се дължи до известна степен на липсата на фокус на мерките за подпомагане, което води до свръх компенсиране на някои от компаниите и изкривява финансовите им показатели.</w:t>
      </w:r>
    </w:p>
    <w:p w14:paraId="431A8CB2" w14:textId="4CAF615A" w:rsidR="00A02919" w:rsidRPr="00885CB4" w:rsidRDefault="00A02919" w:rsidP="00FB30EE">
      <w:pPr>
        <w:ind w:firstLine="709"/>
        <w:jc w:val="both"/>
        <w:rPr>
          <w:color w:val="000000" w:themeColor="text1"/>
        </w:rPr>
      </w:pPr>
      <w:r w:rsidRPr="00286B90">
        <w:rPr>
          <w:color w:val="000000" w:themeColor="text1"/>
        </w:rPr>
        <w:t>Приходите, помощите и даренията по консолид</w:t>
      </w:r>
      <w:r>
        <w:rPr>
          <w:color w:val="000000" w:themeColor="text1"/>
        </w:rPr>
        <w:t>ираната фискална програма за</w:t>
      </w:r>
      <w:r w:rsidRPr="00286B90">
        <w:rPr>
          <w:color w:val="000000" w:themeColor="text1"/>
        </w:rPr>
        <w:t xml:space="preserve"> 2022</w:t>
      </w:r>
      <w:r w:rsidR="009B4C82">
        <w:rPr>
          <w:color w:val="000000" w:themeColor="text1"/>
          <w:lang w:val="en-US"/>
        </w:rPr>
        <w:t> </w:t>
      </w:r>
      <w:r w:rsidRPr="00286B90">
        <w:rPr>
          <w:color w:val="000000" w:themeColor="text1"/>
        </w:rPr>
        <w:t xml:space="preserve">г. са в размер на </w:t>
      </w:r>
      <w:r>
        <w:rPr>
          <w:color w:val="000000" w:themeColor="text1"/>
        </w:rPr>
        <w:t>64,8</w:t>
      </w:r>
      <w:r w:rsidRPr="00286B90">
        <w:rPr>
          <w:color w:val="000000" w:themeColor="text1"/>
        </w:rPr>
        <w:t xml:space="preserve"> </w:t>
      </w:r>
      <w:r>
        <w:rPr>
          <w:color w:val="000000" w:themeColor="text1"/>
        </w:rPr>
        <w:t>млрд</w:t>
      </w:r>
      <w:r w:rsidRPr="00286B90">
        <w:rPr>
          <w:color w:val="000000" w:themeColor="text1"/>
        </w:rPr>
        <w:t>. лв., вкл.</w:t>
      </w:r>
      <w:r>
        <w:rPr>
          <w:color w:val="000000" w:themeColor="text1"/>
        </w:rPr>
        <w:t xml:space="preserve"> 3,2</w:t>
      </w:r>
      <w:r w:rsidRPr="00286B90">
        <w:rPr>
          <w:color w:val="000000" w:themeColor="text1"/>
        </w:rPr>
        <w:t xml:space="preserve"> млрд. лв. приходи с еднократен извънреден характер, които не са включен</w:t>
      </w:r>
      <w:r>
        <w:rPr>
          <w:color w:val="000000" w:themeColor="text1"/>
        </w:rPr>
        <w:t>и в разчетите към ЗДБРБ за 2022 </w:t>
      </w:r>
      <w:r w:rsidRPr="00286B90">
        <w:rPr>
          <w:color w:val="000000" w:themeColor="text1"/>
        </w:rPr>
        <w:t>г.</w:t>
      </w:r>
      <w:r>
        <w:rPr>
          <w:color w:val="000000" w:themeColor="text1"/>
        </w:rPr>
        <w:t xml:space="preserve"> </w:t>
      </w:r>
      <w:r w:rsidRPr="00FA317F">
        <w:rPr>
          <w:color w:val="000000" w:themeColor="text1"/>
        </w:rPr>
        <w:t xml:space="preserve">Параметрите по изпълнението на приходите </w:t>
      </w:r>
      <w:r>
        <w:rPr>
          <w:color w:val="000000" w:themeColor="text1"/>
        </w:rPr>
        <w:t xml:space="preserve">за 2022 г. на съпоставима база с разчетите към ЗДБРБ за 2022 г. </w:t>
      </w:r>
      <w:r w:rsidRPr="00FA317F">
        <w:rPr>
          <w:color w:val="000000" w:themeColor="text1"/>
        </w:rPr>
        <w:t>при елиминиране въздействието на постъпления с еднократен характер, са близки до планираните за годината, като данъчните и осигурителните приходи надвишават плана за годината с 1,5 на сто. От страна на разходите се отчита по-слабо от планираното усвояване на разходите по сметките за средства от ЕС и държавния бюджет, като през първото тримесечие на годината се наблюдаваше известно задържане на разходите, последвано от плавно нарастване през следващите три тримесечия. Въпреки това голяма част от проектите, заложени за реализиране чрез европейските програми и фондове и чрез капиталовата програма в държавния бюджет не бяха реализирани в рамките на годината, което съответно се отрази в по-слабо от планираното усвояване на капиталовите разходи.</w:t>
      </w:r>
      <w:r>
        <w:rPr>
          <w:color w:val="000000" w:themeColor="text1"/>
        </w:rPr>
        <w:t xml:space="preserve"> </w:t>
      </w:r>
    </w:p>
    <w:p w14:paraId="6C9460DA" w14:textId="1FE7E1D9" w:rsidR="00A02919" w:rsidRPr="004217DD" w:rsidRDefault="00A02919" w:rsidP="009B4C82">
      <w:pPr>
        <w:ind w:firstLine="709"/>
        <w:jc w:val="both"/>
        <w:rPr>
          <w:color w:val="000000" w:themeColor="text1"/>
        </w:rPr>
      </w:pPr>
      <w:r>
        <w:rPr>
          <w:color w:val="000000" w:themeColor="text1"/>
        </w:rPr>
        <w:t>В частта на данъчно-осигурителните приходи добри са параметрите по изпълнението на приходите от осигурителни вноски, където се отчита преизпълнение на плана за годината с 2,6 на сто. При преките данъци изпълнението също превишава разчетите към ЗДБРБ с 9,7</w:t>
      </w:r>
      <w:r w:rsidR="000757F2">
        <w:rPr>
          <w:color w:val="000000" w:themeColor="text1"/>
        </w:rPr>
        <w:t> </w:t>
      </w:r>
      <w:r>
        <w:rPr>
          <w:color w:val="000000" w:themeColor="text1"/>
        </w:rPr>
        <w:t xml:space="preserve">на сто, за което принос имат, както корпоративните данъци, така и данъците върху доходите на физическите лица. При косвените данъци се отчита неизпълнение на разчетите за годината, основно поради по-ниските постъпления от ДДС от ВОП и акцизи. Въпреки това преизпълнението в частта на преките данъци и приходите от осигурителни вноски напълно компенсира по-ниските постъпления от косвени данъци, с което данъчно-осигурителните </w:t>
      </w:r>
      <w:r w:rsidRPr="004217DD">
        <w:rPr>
          <w:color w:val="000000" w:themeColor="text1"/>
        </w:rPr>
        <w:t>приходи превишават плана за годината.</w:t>
      </w:r>
    </w:p>
    <w:p w14:paraId="13548362" w14:textId="77777777" w:rsidR="00A02919" w:rsidRPr="004217DD" w:rsidRDefault="00A02919" w:rsidP="009B4C82">
      <w:pPr>
        <w:ind w:firstLine="709"/>
        <w:jc w:val="both"/>
        <w:rPr>
          <w:color w:val="000000" w:themeColor="text1"/>
        </w:rPr>
      </w:pPr>
      <w:r w:rsidRPr="004217DD">
        <w:rPr>
          <w:color w:val="000000" w:themeColor="text1"/>
        </w:rPr>
        <w:t>Неданъчните приходи са в размер на 12,0 млрд. лв. (вкл. 3,2 млрд. лв. еднократни извънредни приходи) и се формират основно от приходи от държавни, общински и съдебни такси, приходи и доходи от собственост, вкл. вноски от приходи от държавни и общински предприятия, приходи от концесии, приходи от продажба на квоти за емисии на парникови газове и други. На съпоставима база при елиминиране на въздействието на еднократни извънредни приходи, неданъчните приходи по КФП за 2022 г. са в размер на 8,</w:t>
      </w:r>
      <w:r>
        <w:rPr>
          <w:color w:val="000000" w:themeColor="text1"/>
        </w:rPr>
        <w:t>8</w:t>
      </w:r>
      <w:r w:rsidRPr="004217DD">
        <w:rPr>
          <w:color w:val="000000" w:themeColor="text1"/>
        </w:rPr>
        <w:t xml:space="preserve"> млрд. лв., което представлява преизпълнение на го</w:t>
      </w:r>
      <w:r>
        <w:rPr>
          <w:color w:val="000000" w:themeColor="text1"/>
        </w:rPr>
        <w:t>дишния разчет с 19,8 на сто (1,</w:t>
      </w:r>
      <w:r w:rsidRPr="004217DD">
        <w:rPr>
          <w:color w:val="000000" w:themeColor="text1"/>
        </w:rPr>
        <w:t>5 млрд. лв.).</w:t>
      </w:r>
    </w:p>
    <w:p w14:paraId="2C410791" w14:textId="77777777" w:rsidR="00A02919" w:rsidRPr="00AB44E4" w:rsidRDefault="00A02919" w:rsidP="009B4C82">
      <w:pPr>
        <w:ind w:firstLine="709"/>
        <w:jc w:val="both"/>
        <w:rPr>
          <w:color w:val="000000" w:themeColor="text1"/>
        </w:rPr>
      </w:pPr>
      <w:r>
        <w:rPr>
          <w:color w:val="000000" w:themeColor="text1"/>
        </w:rPr>
        <w:t>Постъпленията в</w:t>
      </w:r>
      <w:r w:rsidRPr="004217DD">
        <w:rPr>
          <w:color w:val="000000" w:themeColor="text1"/>
        </w:rPr>
        <w:t xml:space="preserve"> частта на помощите и даренията са по-ниски от разчетените със ЗДБРБ за</w:t>
      </w:r>
      <w:r w:rsidRPr="00754320">
        <w:rPr>
          <w:color w:val="000000" w:themeColor="text1"/>
        </w:rPr>
        <w:t xml:space="preserve"> 2022 г. с 0,2 млрд. лв., което се дължи на по-ниското усвояване на разходите по сметките за средства от ЕС, респективно по-ниският размер на възстановените разходи от ЕК</w:t>
      </w:r>
      <w:r>
        <w:rPr>
          <w:color w:val="000000" w:themeColor="text1"/>
        </w:rPr>
        <w:t>.</w:t>
      </w:r>
    </w:p>
    <w:p w14:paraId="55CC0BA8" w14:textId="77777777" w:rsidR="00A02919" w:rsidRPr="00AB44E4" w:rsidRDefault="00A02919" w:rsidP="009B4C82">
      <w:pPr>
        <w:ind w:firstLine="709"/>
        <w:jc w:val="both"/>
        <w:rPr>
          <w:color w:val="000000" w:themeColor="text1"/>
        </w:rPr>
      </w:pPr>
      <w:r w:rsidRPr="00AB44E4">
        <w:rPr>
          <w:color w:val="000000" w:themeColor="text1"/>
        </w:rPr>
        <w:t xml:space="preserve">Разходите по КФП (вкл. вноската на Република България в бюджета на ЕС) за 2022 г. са в размер на </w:t>
      </w:r>
      <w:r>
        <w:rPr>
          <w:color w:val="000000" w:themeColor="text1"/>
        </w:rPr>
        <w:t>66,1</w:t>
      </w:r>
      <w:r w:rsidRPr="00AB44E4">
        <w:rPr>
          <w:color w:val="000000" w:themeColor="text1"/>
        </w:rPr>
        <w:t xml:space="preserve"> м</w:t>
      </w:r>
      <w:r>
        <w:rPr>
          <w:color w:val="000000" w:themeColor="text1"/>
        </w:rPr>
        <w:t>лрд</w:t>
      </w:r>
      <w:r w:rsidRPr="00AB44E4">
        <w:rPr>
          <w:color w:val="000000" w:themeColor="text1"/>
        </w:rPr>
        <w:t>. лв., вкл. 3,</w:t>
      </w:r>
      <w:r>
        <w:rPr>
          <w:color w:val="000000" w:themeColor="text1"/>
        </w:rPr>
        <w:t>2</w:t>
      </w:r>
      <w:r w:rsidRPr="00AB44E4">
        <w:rPr>
          <w:color w:val="000000" w:themeColor="text1"/>
        </w:rPr>
        <w:t xml:space="preserve"> млрд. лв. разходи с еднократен извънреден характер, които не са включени в разчетите към ЗДБРБ за 2022 г. </w:t>
      </w:r>
      <w:r>
        <w:rPr>
          <w:color w:val="000000" w:themeColor="text1"/>
        </w:rPr>
        <w:t>на съпоставима база след като</w:t>
      </w:r>
      <w:r w:rsidRPr="00AB44E4">
        <w:rPr>
          <w:color w:val="000000" w:themeColor="text1"/>
        </w:rPr>
        <w:t xml:space="preserve"> се елиминира въздействието на еднократните извънредни разходи по бюджета на </w:t>
      </w:r>
      <w:r>
        <w:rPr>
          <w:color w:val="000000" w:themeColor="text1"/>
        </w:rPr>
        <w:t>ФСЕС</w:t>
      </w:r>
      <w:r w:rsidRPr="00A1312F">
        <w:rPr>
          <w:color w:val="000000" w:themeColor="text1"/>
        </w:rPr>
        <w:t>, разходите по КФП за 2022</w:t>
      </w:r>
      <w:r>
        <w:rPr>
          <w:color w:val="000000" w:themeColor="text1"/>
        </w:rPr>
        <w:t xml:space="preserve"> г.</w:t>
      </w:r>
      <w:r w:rsidRPr="00A1312F">
        <w:rPr>
          <w:color w:val="000000" w:themeColor="text1"/>
        </w:rPr>
        <w:t xml:space="preserve"> са в размер на 62,9 млрд. лв.,</w:t>
      </w:r>
      <w:r w:rsidRPr="00AB44E4">
        <w:rPr>
          <w:color w:val="000000" w:themeColor="text1"/>
        </w:rPr>
        <w:t xml:space="preserve"> което представлява 95,</w:t>
      </w:r>
      <w:r>
        <w:rPr>
          <w:color w:val="000000" w:themeColor="text1"/>
        </w:rPr>
        <w:t>5</w:t>
      </w:r>
      <w:r w:rsidRPr="00AB44E4">
        <w:rPr>
          <w:color w:val="000000" w:themeColor="text1"/>
        </w:rPr>
        <w:t xml:space="preserve"> % от разчета към ЗДБРБ за 2022 г.</w:t>
      </w:r>
      <w:r>
        <w:rPr>
          <w:color w:val="000000" w:themeColor="text1"/>
        </w:rPr>
        <w:t xml:space="preserve"> </w:t>
      </w:r>
      <w:r w:rsidRPr="00AB44E4">
        <w:rPr>
          <w:color w:val="000000" w:themeColor="text1"/>
        </w:rPr>
        <w:t xml:space="preserve">Най-съществено забавяне при усвояването на планираните разходи има при разходите по сметките за средства от ЕС. Основен принос за това има ниското усвояване на разходите по Плана за възстановяване и устойчивост (ПВУ) и някои оперативни програми от програмния период 2021-2027 г., като по-ниски от планираните са и разходите и предоставените трансфери по държавния бюджет. Разходите и предоставените трансфери по сметките за средства от ЕС са с около 2,7 млрд. лв. по-ниски от планираните с разчетите за годината. През месец декември постъпи първият транш по ПВУ за България в размер на около 2,7 млрд. лв., но данните сочат, че ефективно усвоените разходи по ПВУ са едва 0,1 млрд. лв. </w:t>
      </w:r>
      <w:r w:rsidRPr="00AB44E4">
        <w:rPr>
          <w:rFonts w:eastAsia="Batang"/>
          <w:bCs/>
          <w:color w:val="000000" w:themeColor="text1"/>
        </w:rPr>
        <w:t>Причините за това са следните:</w:t>
      </w:r>
    </w:p>
    <w:p w14:paraId="0FE81EE6" w14:textId="77777777" w:rsidR="00A02919" w:rsidRPr="00AB44E4" w:rsidRDefault="00A02919" w:rsidP="00754372">
      <w:pPr>
        <w:pStyle w:val="ListParagraph"/>
        <w:numPr>
          <w:ilvl w:val="0"/>
          <w:numId w:val="78"/>
        </w:numPr>
        <w:autoSpaceDE w:val="0"/>
        <w:autoSpaceDN w:val="0"/>
        <w:adjustRightInd w:val="0"/>
        <w:spacing w:before="120" w:line="360" w:lineRule="auto"/>
        <w:ind w:left="714" w:hanging="357"/>
        <w:contextualSpacing w:val="0"/>
        <w:jc w:val="both"/>
        <w:rPr>
          <w:rFonts w:eastAsia="Batang"/>
          <w:b/>
          <w:bCs/>
          <w:i/>
          <w:color w:val="000000" w:themeColor="text1"/>
        </w:rPr>
      </w:pPr>
      <w:r w:rsidRPr="00AB44E4">
        <w:rPr>
          <w:rFonts w:eastAsia="Batang"/>
          <w:b/>
          <w:bCs/>
          <w:i/>
          <w:color w:val="000000" w:themeColor="text1"/>
        </w:rPr>
        <w:t>по Механизма за възстановяване и устойчивост:</w:t>
      </w:r>
    </w:p>
    <w:p w14:paraId="56F6227D" w14:textId="77777777" w:rsidR="00A02919" w:rsidRPr="00AB44E4" w:rsidRDefault="00A02919" w:rsidP="00754372">
      <w:pPr>
        <w:pStyle w:val="ListParagraph"/>
        <w:numPr>
          <w:ilvl w:val="0"/>
          <w:numId w:val="77"/>
        </w:numPr>
        <w:ind w:left="419" w:hanging="357"/>
        <w:contextualSpacing w:val="0"/>
        <w:jc w:val="both"/>
        <w:rPr>
          <w:color w:val="000000" w:themeColor="text1"/>
        </w:rPr>
      </w:pPr>
      <w:r w:rsidRPr="00AB44E4">
        <w:rPr>
          <w:color w:val="000000" w:themeColor="text1"/>
        </w:rPr>
        <w:t>закъснялото приемане и съответно стартиране на изпълнението на Националния план за възстановяване и устойчивост (НПВУ);</w:t>
      </w:r>
    </w:p>
    <w:p w14:paraId="3B95F372" w14:textId="77777777" w:rsidR="00A02919" w:rsidRPr="00AB44E4" w:rsidRDefault="00A02919" w:rsidP="00754372">
      <w:pPr>
        <w:pStyle w:val="ListParagraph"/>
        <w:numPr>
          <w:ilvl w:val="0"/>
          <w:numId w:val="77"/>
        </w:numPr>
        <w:contextualSpacing w:val="0"/>
        <w:jc w:val="both"/>
        <w:rPr>
          <w:color w:val="000000" w:themeColor="text1"/>
        </w:rPr>
      </w:pPr>
      <w:r w:rsidRPr="00AB44E4">
        <w:rPr>
          <w:color w:val="000000" w:themeColor="text1"/>
        </w:rPr>
        <w:t>липсата на готовност за изпълнение на част от инвестициите от крайните получатели и недостатъчния административен капацитет, особено при отговорни ведомства, които не са изпълнявали функции на органи по усвояването на средства от ЕС;</w:t>
      </w:r>
    </w:p>
    <w:p w14:paraId="02A934AF" w14:textId="77777777" w:rsidR="00A02919" w:rsidRPr="00AB44E4" w:rsidRDefault="00A02919" w:rsidP="00754372">
      <w:pPr>
        <w:pStyle w:val="ListParagraph"/>
        <w:numPr>
          <w:ilvl w:val="0"/>
          <w:numId w:val="77"/>
        </w:numPr>
        <w:contextualSpacing w:val="0"/>
        <w:jc w:val="both"/>
        <w:rPr>
          <w:color w:val="000000" w:themeColor="text1"/>
        </w:rPr>
      </w:pPr>
      <w:r w:rsidRPr="00AB44E4">
        <w:rPr>
          <w:color w:val="000000" w:themeColor="text1"/>
        </w:rPr>
        <w:t>закъсняло стартиране на процедурите за избор на изпълнител по ЗОП.</w:t>
      </w:r>
    </w:p>
    <w:p w14:paraId="3056D001" w14:textId="77777777" w:rsidR="00A02919" w:rsidRPr="00AB44E4" w:rsidRDefault="00A02919" w:rsidP="00754372">
      <w:pPr>
        <w:pStyle w:val="ListParagraph"/>
        <w:numPr>
          <w:ilvl w:val="0"/>
          <w:numId w:val="78"/>
        </w:numPr>
        <w:spacing w:before="120" w:line="360" w:lineRule="auto"/>
        <w:ind w:hanging="357"/>
        <w:contextualSpacing w:val="0"/>
        <w:jc w:val="both"/>
        <w:rPr>
          <w:b/>
          <w:i/>
          <w:color w:val="000000" w:themeColor="text1"/>
        </w:rPr>
      </w:pPr>
      <w:r w:rsidRPr="00AB44E4">
        <w:rPr>
          <w:b/>
          <w:i/>
          <w:color w:val="000000" w:themeColor="text1"/>
        </w:rPr>
        <w:t>по проектите от програмен период 2021-2027 г.:</w:t>
      </w:r>
    </w:p>
    <w:p w14:paraId="0D767336" w14:textId="046B22E9" w:rsidR="00A02919" w:rsidRPr="00AB44E4" w:rsidRDefault="00A02919" w:rsidP="00EF256F">
      <w:pPr>
        <w:pStyle w:val="ListParagraph"/>
        <w:numPr>
          <w:ilvl w:val="0"/>
          <w:numId w:val="77"/>
        </w:numPr>
        <w:contextualSpacing w:val="0"/>
        <w:jc w:val="both"/>
        <w:rPr>
          <w:color w:val="000000" w:themeColor="text1"/>
        </w:rPr>
      </w:pPr>
      <w:r w:rsidRPr="00AB44E4">
        <w:rPr>
          <w:color w:val="000000" w:themeColor="text1"/>
        </w:rPr>
        <w:t xml:space="preserve">закъснялото одобрение от ЕК на програми, които ще се изпълняват през програмен период 2021-2027 – първите три програми (ПРЧР 2021-2027, програма Образование и ПХОМП) бяха одобрени в края на месец август, голяма част от останалите програми бяха одобрени в края на месец септември и началото на месец октомври, </w:t>
      </w:r>
      <w:r>
        <w:rPr>
          <w:color w:val="000000" w:themeColor="text1"/>
        </w:rPr>
        <w:t>а програма „</w:t>
      </w:r>
      <w:r w:rsidRPr="00AB2463">
        <w:rPr>
          <w:color w:val="000000" w:themeColor="text1"/>
        </w:rPr>
        <w:t>Научни изследвания, иновации и дигитализация за</w:t>
      </w:r>
      <w:r>
        <w:rPr>
          <w:color w:val="000000" w:themeColor="text1"/>
        </w:rPr>
        <w:t xml:space="preserve"> </w:t>
      </w:r>
      <w:r w:rsidRPr="00AB2463">
        <w:rPr>
          <w:color w:val="000000" w:themeColor="text1"/>
        </w:rPr>
        <w:t>интелигентна трансформация</w:t>
      </w:r>
      <w:r>
        <w:rPr>
          <w:color w:val="000000" w:themeColor="text1"/>
        </w:rPr>
        <w:t xml:space="preserve">“ и програма „Развитие на регионите“ </w:t>
      </w:r>
      <w:r w:rsidR="00EF256F" w:rsidRPr="00EF256F">
        <w:rPr>
          <w:color w:val="000000" w:themeColor="text1"/>
        </w:rPr>
        <w:t>(без Фонда за справедлив преход)</w:t>
      </w:r>
      <w:r w:rsidR="00EF256F" w:rsidRPr="003E4FBF">
        <w:rPr>
          <w:color w:val="000000" w:themeColor="text1"/>
          <w:lang w:val="ru-RU"/>
        </w:rPr>
        <w:t xml:space="preserve"> </w:t>
      </w:r>
      <w:r w:rsidRPr="00EF256F">
        <w:rPr>
          <w:color w:val="000000" w:themeColor="text1"/>
        </w:rPr>
        <w:t>–</w:t>
      </w:r>
      <w:r>
        <w:rPr>
          <w:color w:val="000000" w:themeColor="text1"/>
        </w:rPr>
        <w:t xml:space="preserve"> в края на месец декември 2022 г.</w:t>
      </w:r>
    </w:p>
    <w:p w14:paraId="142E959E" w14:textId="77777777" w:rsidR="00A02919" w:rsidRPr="0013791D" w:rsidRDefault="00A02919" w:rsidP="00A02919">
      <w:pPr>
        <w:spacing w:after="120"/>
        <w:jc w:val="both"/>
        <w:rPr>
          <w:color w:val="000000" w:themeColor="text1"/>
          <w:sz w:val="8"/>
          <w:szCs w:val="8"/>
        </w:rPr>
      </w:pPr>
    </w:p>
    <w:p w14:paraId="5A2E8E50" w14:textId="77777777" w:rsidR="00A02919" w:rsidRPr="00113720" w:rsidRDefault="00A02919" w:rsidP="00A02919">
      <w:pPr>
        <w:spacing w:after="120"/>
        <w:ind w:firstLine="709"/>
        <w:jc w:val="both"/>
        <w:rPr>
          <w:b/>
          <w:bCs/>
          <w:i/>
          <w:iCs/>
          <w:color w:val="0070C0"/>
          <w:u w:val="single"/>
        </w:rPr>
      </w:pPr>
      <w:r w:rsidRPr="00113720">
        <w:rPr>
          <w:b/>
          <w:bCs/>
          <w:i/>
          <w:iCs/>
          <w:color w:val="000000" w:themeColor="text1"/>
          <w:u w:val="single"/>
        </w:rPr>
        <w:t>Бюджетна позиция на страната за 202</w:t>
      </w:r>
      <w:r>
        <w:rPr>
          <w:b/>
          <w:bCs/>
          <w:i/>
          <w:iCs/>
          <w:color w:val="000000" w:themeColor="text1"/>
          <w:u w:val="single"/>
        </w:rPr>
        <w:t>2</w:t>
      </w:r>
      <w:r w:rsidRPr="00113720">
        <w:rPr>
          <w:b/>
          <w:bCs/>
          <w:i/>
          <w:iCs/>
          <w:color w:val="000000" w:themeColor="text1"/>
          <w:u w:val="single"/>
        </w:rPr>
        <w:t xml:space="preserve"> г</w:t>
      </w:r>
      <w:r w:rsidRPr="00113720">
        <w:rPr>
          <w:b/>
          <w:bCs/>
          <w:i/>
          <w:iCs/>
          <w:color w:val="0070C0"/>
          <w:u w:val="single"/>
        </w:rPr>
        <w:t>.</w:t>
      </w:r>
    </w:p>
    <w:p w14:paraId="47166A94" w14:textId="77777777" w:rsidR="00A02919" w:rsidRPr="00113720" w:rsidRDefault="00A02919" w:rsidP="007A3E56">
      <w:pPr>
        <w:ind w:firstLine="709"/>
        <w:jc w:val="both"/>
        <w:rPr>
          <w:b/>
          <w:bCs/>
          <w:color w:val="000000" w:themeColor="text1"/>
        </w:rPr>
      </w:pPr>
      <w:r w:rsidRPr="00113720">
        <w:rPr>
          <w:b/>
          <w:bCs/>
          <w:color w:val="000000" w:themeColor="text1"/>
        </w:rPr>
        <w:t>Бюджетно салдо по държавния бюджет</w:t>
      </w:r>
    </w:p>
    <w:p w14:paraId="42038F99" w14:textId="77777777" w:rsidR="00A02919" w:rsidRPr="00113720" w:rsidRDefault="00A02919" w:rsidP="00A02919">
      <w:pPr>
        <w:ind w:firstLine="709"/>
        <w:jc w:val="both"/>
        <w:rPr>
          <w:bCs/>
          <w:color w:val="000000" w:themeColor="text1"/>
          <w:sz w:val="12"/>
          <w:szCs w:val="12"/>
        </w:rPr>
      </w:pPr>
    </w:p>
    <w:p w14:paraId="1DA8C6A3" w14:textId="77777777" w:rsidR="00A02919" w:rsidRPr="00D57A36" w:rsidRDefault="00A02919" w:rsidP="00A02919">
      <w:pPr>
        <w:ind w:firstLine="709"/>
        <w:jc w:val="both"/>
        <w:rPr>
          <w:bCs/>
          <w:iCs/>
          <w:color w:val="000000" w:themeColor="text1"/>
        </w:rPr>
      </w:pPr>
      <w:r w:rsidRPr="00D57A36">
        <w:rPr>
          <w:bCs/>
          <w:color w:val="000000" w:themeColor="text1"/>
        </w:rPr>
        <w:t>На база на данните от годишните отчети за касовото изпълнение на бюджета на</w:t>
      </w:r>
      <w:r w:rsidRPr="00D57A36">
        <w:rPr>
          <w:bCs/>
          <w:iCs/>
          <w:color w:val="000000" w:themeColor="text1"/>
        </w:rPr>
        <w:t xml:space="preserve"> първостепенните разпоредители с бюджет салдото по държавния бюджет за 202</w:t>
      </w:r>
      <w:r>
        <w:rPr>
          <w:bCs/>
          <w:iCs/>
          <w:color w:val="000000" w:themeColor="text1"/>
        </w:rPr>
        <w:t>2</w:t>
      </w:r>
      <w:r w:rsidRPr="00D57A36">
        <w:rPr>
          <w:bCs/>
          <w:iCs/>
          <w:color w:val="000000" w:themeColor="text1"/>
        </w:rPr>
        <w:t xml:space="preserve"> г. е отрицателно в размер на </w:t>
      </w:r>
      <w:r>
        <w:rPr>
          <w:bCs/>
          <w:iCs/>
          <w:color w:val="000000" w:themeColor="text1"/>
        </w:rPr>
        <w:t>5 695,7</w:t>
      </w:r>
      <w:r w:rsidRPr="00D57A36">
        <w:rPr>
          <w:bCs/>
          <w:iCs/>
          <w:color w:val="000000" w:themeColor="text1"/>
        </w:rPr>
        <w:t xml:space="preserve"> </w:t>
      </w:r>
      <w:r>
        <w:rPr>
          <w:bCs/>
          <w:iCs/>
          <w:color w:val="000000" w:themeColor="text1"/>
        </w:rPr>
        <w:t>млн. лв. (-3,4</w:t>
      </w:r>
      <w:r w:rsidRPr="00D57A36">
        <w:rPr>
          <w:bCs/>
          <w:iCs/>
          <w:color w:val="000000" w:themeColor="text1"/>
        </w:rPr>
        <w:t xml:space="preserve"> % от БВП), което съпоставено със заложения размер за дефицита по държавния бюджет в актуализ</w:t>
      </w:r>
      <w:r>
        <w:rPr>
          <w:bCs/>
          <w:iCs/>
          <w:color w:val="000000" w:themeColor="text1"/>
        </w:rPr>
        <w:t>ираните разчети по ЗДБРБ за 2022</w:t>
      </w:r>
      <w:r w:rsidRPr="00D57A36">
        <w:rPr>
          <w:bCs/>
          <w:iCs/>
          <w:color w:val="000000" w:themeColor="text1"/>
        </w:rPr>
        <w:t xml:space="preserve"> г. (</w:t>
      </w:r>
      <w:r>
        <w:rPr>
          <w:bCs/>
          <w:iCs/>
          <w:color w:val="000000" w:themeColor="text1"/>
        </w:rPr>
        <w:t>7</w:t>
      </w:r>
      <w:r>
        <w:rPr>
          <w:bCs/>
          <w:iCs/>
          <w:color w:val="000000" w:themeColor="text1"/>
          <w:lang w:val="en-US"/>
        </w:rPr>
        <w:t> </w:t>
      </w:r>
      <w:r>
        <w:rPr>
          <w:bCs/>
          <w:iCs/>
          <w:color w:val="000000" w:themeColor="text1"/>
        </w:rPr>
        <w:t>623,6</w:t>
      </w:r>
      <w:r w:rsidRPr="00D57A36">
        <w:rPr>
          <w:bCs/>
          <w:iCs/>
          <w:color w:val="000000" w:themeColor="text1"/>
        </w:rPr>
        <w:t xml:space="preserve"> млн. лв.) представлява подобрение с </w:t>
      </w:r>
      <w:r>
        <w:rPr>
          <w:bCs/>
          <w:iCs/>
          <w:color w:val="000000" w:themeColor="text1"/>
        </w:rPr>
        <w:t>1 927,9</w:t>
      </w:r>
      <w:r w:rsidRPr="00D57A36">
        <w:rPr>
          <w:bCs/>
          <w:iCs/>
          <w:color w:val="000000" w:themeColor="text1"/>
        </w:rPr>
        <w:t xml:space="preserve"> млн. лева.</w:t>
      </w:r>
    </w:p>
    <w:p w14:paraId="6ED91DD3" w14:textId="77777777" w:rsidR="00A02919" w:rsidRPr="00D57A36" w:rsidRDefault="00A02919" w:rsidP="00A02919">
      <w:pPr>
        <w:spacing w:before="120"/>
        <w:ind w:firstLine="709"/>
        <w:jc w:val="both"/>
        <w:rPr>
          <w:b/>
          <w:bCs/>
          <w:color w:val="000000" w:themeColor="text1"/>
        </w:rPr>
      </w:pPr>
      <w:r w:rsidRPr="00D57A36">
        <w:rPr>
          <w:b/>
          <w:bCs/>
          <w:color w:val="000000" w:themeColor="text1"/>
        </w:rPr>
        <w:t>Бюджетно салдо по консолидираната фискална програма</w:t>
      </w:r>
    </w:p>
    <w:p w14:paraId="0CB850C4" w14:textId="649A6F8C" w:rsidR="00A02919" w:rsidRPr="004D2DAA" w:rsidRDefault="00A02919" w:rsidP="00A02919">
      <w:pPr>
        <w:ind w:firstLine="709"/>
        <w:jc w:val="both"/>
        <w:rPr>
          <w:iCs/>
          <w:color w:val="000000" w:themeColor="text1"/>
        </w:rPr>
      </w:pPr>
      <w:r w:rsidRPr="00D57A36">
        <w:rPr>
          <w:bCs/>
          <w:color w:val="000000" w:themeColor="text1"/>
        </w:rPr>
        <w:t>Салдото по консолидираната фискална програма на касова основа за 202</w:t>
      </w:r>
      <w:r>
        <w:rPr>
          <w:bCs/>
          <w:color w:val="000000" w:themeColor="text1"/>
        </w:rPr>
        <w:t>2 г. е отрицателно в размер на 1 323,</w:t>
      </w:r>
      <w:r w:rsidR="00911994" w:rsidRPr="00F26A14">
        <w:rPr>
          <w:bCs/>
          <w:color w:val="000000" w:themeColor="text1"/>
          <w:lang w:val="ru-RU"/>
        </w:rPr>
        <w:t>6</w:t>
      </w:r>
      <w:r w:rsidRPr="00D57A36">
        <w:rPr>
          <w:bCs/>
          <w:color w:val="000000" w:themeColor="text1"/>
        </w:rPr>
        <w:t xml:space="preserve"> млн. лева. Отнесен към БВП, дефицитът по КФП за</w:t>
      </w:r>
      <w:r w:rsidRPr="00113720">
        <w:rPr>
          <w:bCs/>
          <w:color w:val="000000" w:themeColor="text1"/>
        </w:rPr>
        <w:t xml:space="preserve"> </w:t>
      </w:r>
      <w:r w:rsidR="00987469" w:rsidRPr="00113720">
        <w:rPr>
          <w:bCs/>
          <w:color w:val="000000" w:themeColor="text1"/>
        </w:rPr>
        <w:t>202</w:t>
      </w:r>
      <w:r w:rsidR="00987469">
        <w:rPr>
          <w:bCs/>
          <w:color w:val="000000" w:themeColor="text1"/>
        </w:rPr>
        <w:t>2</w:t>
      </w:r>
      <w:r w:rsidR="00987469" w:rsidRPr="00113720">
        <w:rPr>
          <w:iCs/>
          <w:color w:val="000000" w:themeColor="text1"/>
        </w:rPr>
        <w:t> </w:t>
      </w:r>
      <w:r>
        <w:rPr>
          <w:bCs/>
          <w:color w:val="000000" w:themeColor="text1"/>
        </w:rPr>
        <w:t>г. представлява 0,8</w:t>
      </w:r>
      <w:r w:rsidRPr="00113720">
        <w:rPr>
          <w:bCs/>
          <w:color w:val="000000" w:themeColor="text1"/>
        </w:rPr>
        <w:t xml:space="preserve"> % от БВП. </w:t>
      </w:r>
      <w:r w:rsidRPr="00113720">
        <w:rPr>
          <w:iCs/>
          <w:color w:val="000000" w:themeColor="text1"/>
        </w:rPr>
        <w:t>За сравнение в актуализи</w:t>
      </w:r>
      <w:r>
        <w:rPr>
          <w:iCs/>
          <w:color w:val="000000" w:themeColor="text1"/>
        </w:rPr>
        <w:t>раните разчети към ЗДБРБ за 2022</w:t>
      </w:r>
      <w:r w:rsidRPr="00113720">
        <w:rPr>
          <w:iCs/>
          <w:color w:val="000000" w:themeColor="text1"/>
        </w:rPr>
        <w:t xml:space="preserve"> г. е заложен дефицит за годината в размер на </w:t>
      </w:r>
      <w:r>
        <w:rPr>
          <w:iCs/>
          <w:color w:val="000000" w:themeColor="text1"/>
        </w:rPr>
        <w:t>6</w:t>
      </w:r>
      <w:r>
        <w:rPr>
          <w:iCs/>
          <w:color w:val="000000" w:themeColor="text1"/>
          <w:lang w:val="en-US"/>
        </w:rPr>
        <w:t> </w:t>
      </w:r>
      <w:r>
        <w:rPr>
          <w:iCs/>
          <w:color w:val="000000" w:themeColor="text1"/>
        </w:rPr>
        <w:t>228,4</w:t>
      </w:r>
      <w:r w:rsidRPr="00113720">
        <w:rPr>
          <w:iCs/>
          <w:color w:val="000000" w:themeColor="text1"/>
        </w:rPr>
        <w:t xml:space="preserve"> млн. лв., което означава, че спрямо заложеното в програмата за годината се отчита номинално подобрен</w:t>
      </w:r>
      <w:r>
        <w:rPr>
          <w:iCs/>
          <w:color w:val="000000" w:themeColor="text1"/>
        </w:rPr>
        <w:t>ие на бюджетното салдо с над 4,9</w:t>
      </w:r>
      <w:r w:rsidRPr="00113720">
        <w:rPr>
          <w:iCs/>
          <w:color w:val="000000" w:themeColor="text1"/>
        </w:rPr>
        <w:t xml:space="preserve"> млрд. лв. </w:t>
      </w:r>
      <w:r w:rsidRPr="00113720">
        <w:rPr>
          <w:color w:val="000000" w:themeColor="text1"/>
        </w:rPr>
        <w:t xml:space="preserve">Бюджетното салдо по КФП за годината на касова основа е в рамките на предвиденото ограничение във фискалното правило по чл. 27, ал. 4 на ЗПФ, а именно, </w:t>
      </w:r>
      <w:r w:rsidRPr="00113720">
        <w:t>годишният бюджетен дефицит по КФП, изчислен на касова основа, да не надвишава 3 на сто от БВП</w:t>
      </w:r>
      <w:r w:rsidRPr="00113720">
        <w:rPr>
          <w:color w:val="000000" w:themeColor="text1"/>
        </w:rPr>
        <w:t>.</w:t>
      </w:r>
    </w:p>
    <w:p w14:paraId="15FF1605" w14:textId="77777777" w:rsidR="00A02919" w:rsidRPr="0013791D" w:rsidRDefault="00A02919" w:rsidP="00A21A79">
      <w:pPr>
        <w:spacing w:before="120"/>
        <w:ind w:firstLine="709"/>
        <w:jc w:val="both"/>
        <w:rPr>
          <w:b/>
          <w:color w:val="000000" w:themeColor="text1"/>
        </w:rPr>
      </w:pPr>
      <w:r w:rsidRPr="0013791D">
        <w:rPr>
          <w:b/>
          <w:color w:val="000000" w:themeColor="text1"/>
        </w:rPr>
        <w:t>Салдо на сектор „Държавно управление” въз основа на методологията на Европейската система от национални и регионални сметки (ЕСС 2010)</w:t>
      </w:r>
    </w:p>
    <w:p w14:paraId="75FC74BC" w14:textId="5BD97399" w:rsidR="00A02919" w:rsidRPr="002A58BA" w:rsidRDefault="00A02919" w:rsidP="00A02919">
      <w:pPr>
        <w:ind w:firstLine="709"/>
        <w:jc w:val="both"/>
        <w:rPr>
          <w:bCs/>
          <w:color w:val="000000" w:themeColor="text1"/>
        </w:rPr>
      </w:pPr>
      <w:r>
        <w:rPr>
          <w:bCs/>
          <w:color w:val="000000" w:themeColor="text1"/>
        </w:rPr>
        <w:t>Икономическото възстановяване след шока от избухването на пандемията през 2020</w:t>
      </w:r>
      <w:r w:rsidR="00754372">
        <w:rPr>
          <w:bCs/>
          <w:color w:val="000000" w:themeColor="text1"/>
          <w:lang w:val="en-US"/>
        </w:rPr>
        <w:t> </w:t>
      </w:r>
      <w:r>
        <w:rPr>
          <w:bCs/>
          <w:color w:val="000000" w:themeColor="text1"/>
        </w:rPr>
        <w:t xml:space="preserve">г. </w:t>
      </w:r>
      <w:r w:rsidRPr="002A58BA">
        <w:rPr>
          <w:bCs/>
          <w:color w:val="000000" w:themeColor="text1"/>
        </w:rPr>
        <w:t xml:space="preserve">продължи и през 2022 г. Това се изразяваше в силно представяне на индустриалното производство, ръст на потреблението и износа и запазване на заетостта, което заедно с инфлацията благоприятстваше постъпленията в бюджета. От друга страна, редица фактори влияеха негативно върху разходната страна на бюджета. Това бяха продължилата през първото тримесечие на 2022 г. извънредна епидемична обстановка и свързаните с нея разходи за борба с COVID-19, както и шоковете на пазарите на горива и енергоносители, наложили незабавната намеса на държавата с мерки за намаляване на негативните последици върху бизнеса и уязвимите групи от населението. Социалните разходи и компенсацията на наетите нараснаха значително поради високият ръст на цените и двуцифрената инфлация през по-голямата част от годината. Въпреки големия фискален ефект от тези неблагоприятни въздействия България успя да запази салдото на сектор „Държавно управление“ през 2022 г. на нивото от 2,8 %, което съответства на изисканата от Пакта за стабилност и растеж, референтна стойност </w:t>
      </w:r>
      <w:r w:rsidR="00042D0D">
        <w:rPr>
          <w:bCs/>
          <w:color w:val="000000" w:themeColor="text1"/>
        </w:rPr>
        <w:t>от</w:t>
      </w:r>
      <w:r w:rsidRPr="002A58BA">
        <w:rPr>
          <w:bCs/>
          <w:color w:val="000000" w:themeColor="text1"/>
        </w:rPr>
        <w:t xml:space="preserve"> 3 %. Същевременно в сравнение със заложената цел в предходната Конвергентна програма – дефицит от 5,3 %, данните от априлските Нотификационни таблици за дефицита и дълга на България отчитат подобрение на бюджетното салдо на сектор „Държавно управление“ с 2,5 пр. п., което се дължи на увеличение в частта на приходите с 0,5 пр. п., докато в разходната част се отчита свиване на разходите с 2,0 пр. п. спрямо първоначалните прогнози.</w:t>
      </w:r>
    </w:p>
    <w:p w14:paraId="2749E6BC" w14:textId="77777777" w:rsidR="00A02919" w:rsidRPr="00D41D35" w:rsidRDefault="00A02919" w:rsidP="00A02919">
      <w:pPr>
        <w:spacing w:after="120"/>
        <w:ind w:firstLine="709"/>
        <w:jc w:val="both"/>
        <w:rPr>
          <w:color w:val="548DD4" w:themeColor="text2" w:themeTint="99"/>
          <w:sz w:val="2"/>
          <w:szCs w:val="2"/>
        </w:rPr>
      </w:pPr>
    </w:p>
    <w:p w14:paraId="59257377" w14:textId="77777777" w:rsidR="00A02919" w:rsidRPr="00F9519C" w:rsidRDefault="00A02919" w:rsidP="00A02919">
      <w:pPr>
        <w:pStyle w:val="Caption"/>
        <w:ind w:firstLine="709"/>
        <w:rPr>
          <w:color w:val="000000" w:themeColor="text1"/>
          <w:lang w:val="bg-BG"/>
        </w:rPr>
      </w:pPr>
      <w:r w:rsidRPr="00F9519C">
        <w:rPr>
          <w:color w:val="000000" w:themeColor="text1"/>
          <w:lang w:val="bg-BG"/>
        </w:rPr>
        <w:t>Граф. 3-1 Бюджетен баланс (ЕСС 2010, % от БВП)</w:t>
      </w:r>
    </w:p>
    <w:p w14:paraId="0CCB8CC7" w14:textId="581E463C" w:rsidR="00A02919" w:rsidRPr="00D41D35" w:rsidRDefault="000E451F" w:rsidP="00A02919">
      <w:pPr>
        <w:contextualSpacing/>
        <w:rPr>
          <w:color w:val="548DD4" w:themeColor="text2" w:themeTint="99"/>
        </w:rPr>
      </w:pPr>
      <w:r>
        <w:rPr>
          <w:noProof/>
          <w:color w:val="548DD4" w:themeColor="text2" w:themeTint="99"/>
        </w:rPr>
        <w:drawing>
          <wp:inline distT="0" distB="0" distL="0" distR="0" wp14:anchorId="41DCEFD6" wp14:editId="1202BE59">
            <wp:extent cx="5773420" cy="24263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3420" cy="2426335"/>
                    </a:xfrm>
                    <a:prstGeom prst="rect">
                      <a:avLst/>
                    </a:prstGeom>
                    <a:noFill/>
                  </pic:spPr>
                </pic:pic>
              </a:graphicData>
            </a:graphic>
          </wp:inline>
        </w:drawing>
      </w:r>
    </w:p>
    <w:p w14:paraId="77E45B06" w14:textId="77777777" w:rsidR="00A02919" w:rsidRPr="00F9519C" w:rsidRDefault="00A02919" w:rsidP="00A02919">
      <w:pPr>
        <w:pStyle w:val="a2"/>
        <w:ind w:firstLine="709"/>
        <w:rPr>
          <w:color w:val="000000" w:themeColor="text1"/>
        </w:rPr>
      </w:pPr>
      <w:r w:rsidRPr="00D41D35">
        <w:rPr>
          <w:color w:val="548DD4" w:themeColor="text2" w:themeTint="99"/>
        </w:rPr>
        <w:tab/>
      </w:r>
      <w:r w:rsidRPr="00D41D35">
        <w:rPr>
          <w:color w:val="548DD4" w:themeColor="text2" w:themeTint="99"/>
        </w:rPr>
        <w:tab/>
      </w:r>
      <w:r w:rsidRPr="00D41D35">
        <w:rPr>
          <w:color w:val="548DD4" w:themeColor="text2" w:themeTint="99"/>
        </w:rPr>
        <w:tab/>
      </w:r>
      <w:r w:rsidRPr="00D41D35">
        <w:rPr>
          <w:color w:val="548DD4" w:themeColor="text2" w:themeTint="99"/>
        </w:rPr>
        <w:tab/>
      </w:r>
      <w:r w:rsidRPr="00D41D35">
        <w:rPr>
          <w:color w:val="548DD4" w:themeColor="text2" w:themeTint="99"/>
        </w:rPr>
        <w:tab/>
      </w:r>
      <w:r w:rsidRPr="00D41D35">
        <w:rPr>
          <w:color w:val="548DD4" w:themeColor="text2" w:themeTint="99"/>
        </w:rPr>
        <w:tab/>
      </w:r>
      <w:r w:rsidRPr="00D41D35">
        <w:rPr>
          <w:color w:val="548DD4" w:themeColor="text2" w:themeTint="99"/>
        </w:rPr>
        <w:tab/>
      </w:r>
      <w:r w:rsidRPr="00D41D35">
        <w:rPr>
          <w:color w:val="548DD4" w:themeColor="text2" w:themeTint="99"/>
        </w:rPr>
        <w:tab/>
      </w:r>
      <w:r w:rsidRPr="00D41D35">
        <w:rPr>
          <w:color w:val="548DD4" w:themeColor="text2" w:themeTint="99"/>
        </w:rPr>
        <w:tab/>
      </w:r>
      <w:r w:rsidRPr="00F9519C">
        <w:rPr>
          <w:color w:val="000000" w:themeColor="text1"/>
        </w:rPr>
        <w:t>Източник: Евростат</w:t>
      </w:r>
    </w:p>
    <w:p w14:paraId="0E84DFE2" w14:textId="77777777" w:rsidR="00A02919" w:rsidRPr="00D41D35" w:rsidRDefault="00A02919" w:rsidP="00A02919">
      <w:pPr>
        <w:ind w:left="720" w:firstLine="709"/>
        <w:rPr>
          <w:color w:val="548DD4" w:themeColor="text2" w:themeTint="99"/>
          <w:sz w:val="8"/>
          <w:szCs w:val="8"/>
        </w:rPr>
      </w:pPr>
    </w:p>
    <w:p w14:paraId="1A8D8764" w14:textId="77777777" w:rsidR="00A02919" w:rsidRPr="00F9519C" w:rsidRDefault="00A02919" w:rsidP="00A02919">
      <w:pPr>
        <w:ind w:firstLine="709"/>
        <w:jc w:val="both"/>
        <w:rPr>
          <w:bCs/>
          <w:color w:val="000000" w:themeColor="text1"/>
        </w:rPr>
      </w:pPr>
      <w:r w:rsidRPr="00F9519C">
        <w:rPr>
          <w:bCs/>
          <w:color w:val="000000" w:themeColor="text1"/>
        </w:rPr>
        <w:t xml:space="preserve">На база на публикуваните в края на април данни на Евростат за дефицита и дълга на държавите членки през 2022 г. се отчита подобрение по отношение на осреднените стойности за дефицита и дълга на държавите от ЕС. Осреднената стойност на дефицита за държавите членки на ЕС за 2022 г. се равнява на 3,4 % от БВП при отчетен дефицит в размер на 4,8 % от БВП за 2021 г., но все още значително надвишава нивото на показателя за 2019 г. - 0,6 % от БВП, преди избухването на пандемията от COVID-19. За страните от еврозоната осреднената стойност на дефицита на сектор „Държавно управление“ за 2022 г. възлиза на 3,6 % от БВП при 5,3 % от БВП дефицит за 2021 г. </w:t>
      </w:r>
    </w:p>
    <w:p w14:paraId="428FDA33" w14:textId="77777777" w:rsidR="00A02919" w:rsidRDefault="00A02919" w:rsidP="00A02919">
      <w:pPr>
        <w:ind w:firstLine="709"/>
        <w:jc w:val="both"/>
        <w:rPr>
          <w:bCs/>
          <w:color w:val="000000" w:themeColor="text1"/>
        </w:rPr>
      </w:pPr>
      <w:r w:rsidRPr="00F9519C">
        <w:rPr>
          <w:bCs/>
          <w:color w:val="000000" w:themeColor="text1"/>
        </w:rPr>
        <w:t>По отношение на дълга, България е втора след Естония с най-нисък дълг на сектор „Държавно управление“ в ЕС за 2022 г. – 22,9 % от БВП. Тринадесет държави членки надвишават референтната стойност от 60 % от БВП в Пакта за стабилност и растеж, като средно за ЕС дългът се свива с 4,0 пр. п. на годишна база до 84,0 % от БВП за 2022 година.</w:t>
      </w:r>
    </w:p>
    <w:p w14:paraId="23B2AC53" w14:textId="77777777" w:rsidR="00A02919" w:rsidRPr="00F9519C" w:rsidRDefault="00A02919" w:rsidP="00A02919">
      <w:pPr>
        <w:ind w:firstLine="709"/>
        <w:jc w:val="both"/>
        <w:rPr>
          <w:bCs/>
          <w:color w:val="000000" w:themeColor="text1"/>
          <w:sz w:val="12"/>
          <w:szCs w:val="12"/>
        </w:rPr>
      </w:pPr>
    </w:p>
    <w:p w14:paraId="18899ECE" w14:textId="77777777" w:rsidR="00A02919" w:rsidRPr="004468D1" w:rsidRDefault="00A02919" w:rsidP="007A3E56">
      <w:pPr>
        <w:ind w:firstLine="709"/>
        <w:jc w:val="both"/>
        <w:rPr>
          <w:b/>
          <w:bCs/>
          <w:color w:val="000000" w:themeColor="text1"/>
        </w:rPr>
      </w:pPr>
      <w:r w:rsidRPr="004468D1">
        <w:rPr>
          <w:b/>
          <w:bCs/>
          <w:color w:val="000000" w:themeColor="text1"/>
        </w:rPr>
        <w:t>Фискален резерв</w:t>
      </w:r>
    </w:p>
    <w:p w14:paraId="729E1694" w14:textId="77777777" w:rsidR="00A02919" w:rsidRPr="004468D1" w:rsidRDefault="00A02919" w:rsidP="00A02919">
      <w:pPr>
        <w:spacing w:after="120"/>
        <w:ind w:firstLine="709"/>
        <w:jc w:val="both"/>
        <w:rPr>
          <w:bCs/>
          <w:color w:val="000000" w:themeColor="text1"/>
        </w:rPr>
      </w:pPr>
      <w:r w:rsidRPr="004468D1">
        <w:rPr>
          <w:bCs/>
          <w:color w:val="000000" w:themeColor="text1"/>
        </w:rPr>
        <w:t>Фискалният резерв</w:t>
      </w:r>
      <w:r w:rsidRPr="004468D1">
        <w:rPr>
          <w:bCs/>
          <w:color w:val="000000" w:themeColor="text1"/>
          <w:vertAlign w:val="superscript"/>
        </w:rPr>
        <w:footnoteReference w:id="4"/>
      </w:r>
      <w:r w:rsidRPr="004468D1">
        <w:rPr>
          <w:bCs/>
          <w:color w:val="000000" w:themeColor="text1"/>
        </w:rPr>
        <w:t xml:space="preserve"> към 31.12.2022 г. е </w:t>
      </w:r>
      <w:r w:rsidRPr="004468D1">
        <w:rPr>
          <w:b/>
          <w:bCs/>
          <w:color w:val="000000" w:themeColor="text1"/>
          <w:lang w:val="ru-RU"/>
        </w:rPr>
        <w:t>13,4 млрд. лв.</w:t>
      </w:r>
      <w:r w:rsidRPr="004468D1">
        <w:rPr>
          <w:bCs/>
          <w:color w:val="000000" w:themeColor="text1"/>
          <w:lang w:val="ru-RU"/>
        </w:rPr>
        <w:t>, в т.ч. 12,1 млрд. лв. депозити на фискалния резерв в БНБ и банки и 1,3 млрд. лв. вземания от фондовете на Европейския съюз за сертифицирани разходи, аванси и други</w:t>
      </w:r>
      <w:r w:rsidRPr="004468D1">
        <w:rPr>
          <w:bCs/>
          <w:color w:val="000000" w:themeColor="text1"/>
        </w:rPr>
        <w:t xml:space="preserve">. Фискалният резерв към края на годината е над определения в чл. 66 на ЗДБРБ за 2022 г. минимален размер от 4,5 млрд. лева. </w:t>
      </w:r>
    </w:p>
    <w:p w14:paraId="35D5327D" w14:textId="77777777" w:rsidR="00A02919" w:rsidRPr="004468D1" w:rsidRDefault="00A02919" w:rsidP="007A3E56">
      <w:pPr>
        <w:ind w:firstLine="709"/>
        <w:jc w:val="both"/>
        <w:rPr>
          <w:b/>
          <w:bCs/>
          <w:color w:val="000000" w:themeColor="text1"/>
        </w:rPr>
      </w:pPr>
      <w:r w:rsidRPr="004468D1">
        <w:rPr>
          <w:b/>
          <w:bCs/>
          <w:color w:val="000000" w:themeColor="text1"/>
        </w:rPr>
        <w:t>Нетни постъпления от ЕС</w:t>
      </w:r>
    </w:p>
    <w:p w14:paraId="4EFEAFAA" w14:textId="06839A4F" w:rsidR="00A02919" w:rsidRPr="004468D1" w:rsidRDefault="00A02919" w:rsidP="007A3E56">
      <w:pPr>
        <w:ind w:firstLine="709"/>
        <w:jc w:val="both"/>
        <w:rPr>
          <w:bCs/>
          <w:color w:val="000000" w:themeColor="text1"/>
        </w:rPr>
      </w:pPr>
      <w:r w:rsidRPr="004468D1">
        <w:rPr>
          <w:bCs/>
          <w:color w:val="000000" w:themeColor="text1"/>
        </w:rPr>
        <w:t>Общият размер на касовите постъпления от ЕС (от Структурните и Кохезионния фондове, от ЕЗФРСР и ЕФР, от средства за директни плащания към земеделските производители и плащания по пазарни мерки и др.) за 2022 г. е 7 5</w:t>
      </w:r>
      <w:r w:rsidR="00911994" w:rsidRPr="00F26A14">
        <w:rPr>
          <w:bCs/>
          <w:color w:val="000000" w:themeColor="text1"/>
          <w:lang w:val="ru-RU"/>
        </w:rPr>
        <w:t>90</w:t>
      </w:r>
      <w:r w:rsidRPr="004468D1">
        <w:rPr>
          <w:bCs/>
          <w:color w:val="000000" w:themeColor="text1"/>
        </w:rPr>
        <w:t>,</w:t>
      </w:r>
      <w:r w:rsidR="00911994" w:rsidRPr="00F26A14">
        <w:rPr>
          <w:bCs/>
          <w:color w:val="000000" w:themeColor="text1"/>
          <w:lang w:val="ru-RU"/>
        </w:rPr>
        <w:t>0</w:t>
      </w:r>
      <w:r w:rsidRPr="004468D1">
        <w:rPr>
          <w:bCs/>
          <w:color w:val="000000" w:themeColor="text1"/>
        </w:rPr>
        <w:t> млн. лв. Нетните постъпления от ЕС към 31.12.2022 г. (касови постъпления от ЕС, намалени с вноската в общия бюджет на ЕС) са положителни в размер на 5 8</w:t>
      </w:r>
      <w:r w:rsidR="00911994" w:rsidRPr="00F26A14">
        <w:rPr>
          <w:bCs/>
          <w:color w:val="000000" w:themeColor="text1"/>
          <w:lang w:val="ru-RU"/>
        </w:rPr>
        <w:t>84</w:t>
      </w:r>
      <w:r w:rsidRPr="004468D1">
        <w:rPr>
          <w:bCs/>
          <w:color w:val="000000" w:themeColor="text1"/>
        </w:rPr>
        <w:t>,</w:t>
      </w:r>
      <w:r w:rsidR="00911994" w:rsidRPr="00F26A14">
        <w:rPr>
          <w:bCs/>
          <w:color w:val="000000" w:themeColor="text1"/>
          <w:lang w:val="ru-RU"/>
        </w:rPr>
        <w:t>9</w:t>
      </w:r>
      <w:r w:rsidRPr="004468D1">
        <w:rPr>
          <w:bCs/>
          <w:color w:val="000000" w:themeColor="text1"/>
        </w:rPr>
        <w:t xml:space="preserve"> млн. лева. </w:t>
      </w:r>
    </w:p>
    <w:p w14:paraId="1BA5E6D3" w14:textId="77777777" w:rsidR="00A02919" w:rsidRPr="004468D1" w:rsidRDefault="00A02919" w:rsidP="007A3E56">
      <w:pPr>
        <w:spacing w:before="120"/>
        <w:ind w:firstLine="709"/>
        <w:jc w:val="both"/>
        <w:rPr>
          <w:b/>
          <w:bCs/>
          <w:color w:val="000000" w:themeColor="text1"/>
        </w:rPr>
      </w:pPr>
      <w:r w:rsidRPr="004468D1">
        <w:rPr>
          <w:b/>
          <w:bCs/>
          <w:color w:val="000000" w:themeColor="text1"/>
        </w:rPr>
        <w:t>Размер на държавния дълг</w:t>
      </w:r>
    </w:p>
    <w:p w14:paraId="4694ECDE" w14:textId="77777777" w:rsidR="00A02919" w:rsidRDefault="00A02919" w:rsidP="007A3E56">
      <w:pPr>
        <w:ind w:firstLine="709"/>
        <w:jc w:val="both"/>
        <w:rPr>
          <w:bCs/>
          <w:color w:val="000000" w:themeColor="text1"/>
        </w:rPr>
      </w:pPr>
      <w:r w:rsidRPr="004468D1">
        <w:rPr>
          <w:bCs/>
          <w:color w:val="000000" w:themeColor="text1"/>
        </w:rPr>
        <w:t>Предвидените законови ограничения по отношение на държавния дълг за 2022 г. са спазени, като номиналният размер на държавния дълг към 31.12.2022 г. е 3</w:t>
      </w:r>
      <w:r>
        <w:rPr>
          <w:bCs/>
          <w:color w:val="000000" w:themeColor="text1"/>
        </w:rPr>
        <w:t>6</w:t>
      </w:r>
      <w:r w:rsidRPr="004468D1">
        <w:rPr>
          <w:bCs/>
          <w:color w:val="000000" w:themeColor="text1"/>
        </w:rPr>
        <w:t>,</w:t>
      </w:r>
      <w:r>
        <w:rPr>
          <w:bCs/>
          <w:color w:val="000000" w:themeColor="text1"/>
        </w:rPr>
        <w:t>1</w:t>
      </w:r>
      <w:r w:rsidRPr="004468D1">
        <w:rPr>
          <w:bCs/>
          <w:color w:val="000000" w:themeColor="text1"/>
        </w:rPr>
        <w:t xml:space="preserve"> млрд. лв., или под прага на предвиденото в ЗДБРБ дългово ограничение от 38,5 млрд. лв., съгласно чл. 67 от ЗДБРБ за 2022 г.</w:t>
      </w:r>
    </w:p>
    <w:p w14:paraId="2BD53939" w14:textId="77777777" w:rsidR="0092579B" w:rsidRDefault="0092579B" w:rsidP="007A3E56">
      <w:pPr>
        <w:ind w:firstLine="709"/>
        <w:jc w:val="both"/>
        <w:rPr>
          <w:bCs/>
          <w:color w:val="000000" w:themeColor="text1"/>
        </w:rPr>
      </w:pPr>
    </w:p>
    <w:p w14:paraId="2E01119B" w14:textId="77777777" w:rsidR="0092579B" w:rsidRPr="004468D1" w:rsidRDefault="0092579B" w:rsidP="007A3E56">
      <w:pPr>
        <w:ind w:firstLine="709"/>
        <w:jc w:val="both"/>
        <w:rPr>
          <w:bCs/>
          <w:color w:val="000000" w:themeColor="text1"/>
        </w:rPr>
      </w:pPr>
    </w:p>
    <w:p w14:paraId="5A4FCDAC" w14:textId="77777777" w:rsidR="00A02919" w:rsidRPr="004468D1" w:rsidRDefault="00A02919" w:rsidP="00A02919">
      <w:pPr>
        <w:spacing w:after="120"/>
        <w:ind w:firstLine="720"/>
        <w:jc w:val="both"/>
        <w:rPr>
          <w:b/>
          <w:bCs/>
          <w:i/>
          <w:iCs/>
          <w:color w:val="000000" w:themeColor="text1"/>
          <w:u w:val="single"/>
        </w:rPr>
      </w:pPr>
      <w:r w:rsidRPr="004468D1">
        <w:rPr>
          <w:b/>
          <w:bCs/>
          <w:i/>
          <w:iCs/>
          <w:color w:val="000000" w:themeColor="text1"/>
          <w:u w:val="single"/>
        </w:rPr>
        <w:t>Основни показатели за сектор „Държавно управление“ за 202</w:t>
      </w:r>
      <w:r>
        <w:rPr>
          <w:b/>
          <w:bCs/>
          <w:i/>
          <w:iCs/>
          <w:color w:val="000000" w:themeColor="text1"/>
          <w:u w:val="single"/>
        </w:rPr>
        <w:t>2</w:t>
      </w:r>
      <w:r w:rsidRPr="004468D1">
        <w:rPr>
          <w:b/>
          <w:bCs/>
          <w:i/>
          <w:iCs/>
          <w:color w:val="000000" w:themeColor="text1"/>
          <w:u w:val="single"/>
        </w:rPr>
        <w:t xml:space="preserve"> г.</w:t>
      </w:r>
    </w:p>
    <w:p w14:paraId="42923532" w14:textId="77777777" w:rsidR="00A02919" w:rsidRPr="00D41D35" w:rsidRDefault="00A02919" w:rsidP="00A02919">
      <w:pPr>
        <w:spacing w:after="120"/>
        <w:rPr>
          <w:color w:val="548DD4" w:themeColor="text2" w:themeTint="99"/>
          <w:sz w:val="8"/>
          <w:szCs w:val="8"/>
        </w:rPr>
      </w:pPr>
    </w:p>
    <w:p w14:paraId="7E0FA6B6" w14:textId="77777777" w:rsidR="00A02919" w:rsidRDefault="00A02919" w:rsidP="00A02919">
      <w:pPr>
        <w:spacing w:after="120"/>
        <w:ind w:firstLine="709"/>
        <w:jc w:val="both"/>
        <w:rPr>
          <w:bCs/>
          <w:color w:val="000000" w:themeColor="text1"/>
        </w:rPr>
      </w:pPr>
      <w:r>
        <w:rPr>
          <w:bCs/>
          <w:color w:val="000000" w:themeColor="text1"/>
        </w:rPr>
        <w:t>Съпоставено с</w:t>
      </w:r>
      <w:r w:rsidRPr="009B5733">
        <w:rPr>
          <w:bCs/>
          <w:color w:val="000000" w:themeColor="text1"/>
        </w:rPr>
        <w:t>ъс заложената цел в Конвергентна програма на Република България 202</w:t>
      </w:r>
      <w:r>
        <w:rPr>
          <w:bCs/>
          <w:color w:val="000000" w:themeColor="text1"/>
        </w:rPr>
        <w:t>2</w:t>
      </w:r>
      <w:r w:rsidRPr="009B5733">
        <w:rPr>
          <w:bCs/>
          <w:color w:val="000000" w:themeColor="text1"/>
        </w:rPr>
        <w:t>-202</w:t>
      </w:r>
      <w:r>
        <w:rPr>
          <w:bCs/>
          <w:color w:val="000000" w:themeColor="text1"/>
        </w:rPr>
        <w:t>4 г. – дефицит от 5,3</w:t>
      </w:r>
      <w:r w:rsidRPr="009B5733">
        <w:rPr>
          <w:bCs/>
          <w:color w:val="000000" w:themeColor="text1"/>
        </w:rPr>
        <w:t xml:space="preserve"> % от БВП, данните от априлските Нотификационни таблици за дефицита и дълга на България отчитат подобрение на бюджетното салдо на сектор „Държавно управление“ с </w:t>
      </w:r>
      <w:r>
        <w:rPr>
          <w:bCs/>
          <w:color w:val="000000" w:themeColor="text1"/>
        </w:rPr>
        <w:t>2,5</w:t>
      </w:r>
      <w:r w:rsidRPr="009B5733">
        <w:rPr>
          <w:bCs/>
          <w:color w:val="000000" w:themeColor="text1"/>
        </w:rPr>
        <w:t xml:space="preserve"> пр.п., което се дължи на по-</w:t>
      </w:r>
      <w:r>
        <w:rPr>
          <w:bCs/>
          <w:color w:val="000000" w:themeColor="text1"/>
        </w:rPr>
        <w:t xml:space="preserve">ниско от планираното усвояване на разходите, докато </w:t>
      </w:r>
      <w:r w:rsidRPr="009B5733">
        <w:rPr>
          <w:bCs/>
          <w:color w:val="000000" w:themeColor="text1"/>
        </w:rPr>
        <w:t>възстановяване в частта на приходите</w:t>
      </w:r>
      <w:r>
        <w:rPr>
          <w:bCs/>
          <w:color w:val="000000" w:themeColor="text1"/>
        </w:rPr>
        <w:t xml:space="preserve"> продължава но с </w:t>
      </w:r>
      <w:r w:rsidRPr="009B5733">
        <w:rPr>
          <w:bCs/>
          <w:color w:val="000000" w:themeColor="text1"/>
        </w:rPr>
        <w:t>по-умерен</w:t>
      </w:r>
      <w:r>
        <w:rPr>
          <w:bCs/>
          <w:color w:val="000000" w:themeColor="text1"/>
        </w:rPr>
        <w:t xml:space="preserve"> темп</w:t>
      </w:r>
      <w:r w:rsidRPr="009B5733">
        <w:rPr>
          <w:bCs/>
          <w:color w:val="000000" w:themeColor="text1"/>
        </w:rPr>
        <w:t>.</w:t>
      </w:r>
    </w:p>
    <w:p w14:paraId="7A0D2F3D" w14:textId="77777777" w:rsidR="0092579B" w:rsidRDefault="0092579B" w:rsidP="00A02919">
      <w:pPr>
        <w:spacing w:after="120"/>
        <w:ind w:firstLine="709"/>
        <w:jc w:val="both"/>
        <w:rPr>
          <w:bCs/>
          <w:color w:val="000000" w:themeColor="text1"/>
        </w:rPr>
      </w:pPr>
    </w:p>
    <w:p w14:paraId="66DA1F62" w14:textId="2594673C" w:rsidR="0092579B" w:rsidRDefault="0092579B" w:rsidP="00A02919">
      <w:pPr>
        <w:spacing w:after="120"/>
        <w:ind w:firstLine="709"/>
        <w:jc w:val="both"/>
        <w:rPr>
          <w:bCs/>
          <w:color w:val="000000" w:themeColor="text1"/>
        </w:rPr>
      </w:pPr>
    </w:p>
    <w:p w14:paraId="494932AD" w14:textId="77777777" w:rsidR="00BC5B4D" w:rsidRDefault="00BC5B4D" w:rsidP="00A02919">
      <w:pPr>
        <w:spacing w:after="120"/>
        <w:ind w:firstLine="709"/>
        <w:jc w:val="both"/>
        <w:rPr>
          <w:bCs/>
          <w:color w:val="000000" w:themeColor="text1"/>
        </w:rPr>
      </w:pPr>
    </w:p>
    <w:p w14:paraId="58F2E5EA" w14:textId="77777777" w:rsidR="0092579B" w:rsidRDefault="0092579B" w:rsidP="00A02919">
      <w:pPr>
        <w:spacing w:after="120"/>
        <w:ind w:firstLine="709"/>
        <w:jc w:val="both"/>
        <w:rPr>
          <w:bCs/>
          <w:color w:val="000000" w:themeColor="text1"/>
        </w:rPr>
      </w:pPr>
    </w:p>
    <w:p w14:paraId="796B30C0" w14:textId="77777777" w:rsidR="0092579B" w:rsidRDefault="0092579B" w:rsidP="00A02919">
      <w:pPr>
        <w:spacing w:after="120"/>
        <w:ind w:firstLine="709"/>
        <w:jc w:val="both"/>
        <w:rPr>
          <w:bCs/>
          <w:color w:val="000000" w:themeColor="text1"/>
        </w:rPr>
      </w:pPr>
    </w:p>
    <w:p w14:paraId="203A216D" w14:textId="77777777" w:rsidR="0092579B" w:rsidRPr="009B5733" w:rsidRDefault="0092579B" w:rsidP="00A02919">
      <w:pPr>
        <w:spacing w:after="120"/>
        <w:ind w:firstLine="709"/>
        <w:jc w:val="both"/>
        <w:rPr>
          <w:bCs/>
          <w:color w:val="000000" w:themeColor="text1"/>
        </w:rPr>
      </w:pPr>
    </w:p>
    <w:p w14:paraId="397B955F" w14:textId="77777777" w:rsidR="00A02919" w:rsidRPr="00D41D35" w:rsidRDefault="00A02919" w:rsidP="00A02919">
      <w:pPr>
        <w:spacing w:after="120"/>
        <w:ind w:firstLine="567"/>
        <w:jc w:val="both"/>
        <w:rPr>
          <w:bCs/>
          <w:color w:val="548DD4" w:themeColor="text2" w:themeTint="99"/>
          <w:sz w:val="4"/>
          <w:szCs w:val="4"/>
        </w:rPr>
      </w:pPr>
    </w:p>
    <w:tbl>
      <w:tblPr>
        <w:tblW w:w="7774" w:type="dxa"/>
        <w:jc w:val="center"/>
        <w:tblCellMar>
          <w:left w:w="0" w:type="dxa"/>
          <w:right w:w="0" w:type="dxa"/>
        </w:tblCellMar>
        <w:tblLook w:val="04A0" w:firstRow="1" w:lastRow="0" w:firstColumn="1" w:lastColumn="0" w:noHBand="0" w:noVBand="1"/>
      </w:tblPr>
      <w:tblGrid>
        <w:gridCol w:w="4596"/>
        <w:gridCol w:w="1481"/>
        <w:gridCol w:w="978"/>
        <w:gridCol w:w="719"/>
      </w:tblGrid>
      <w:tr w:rsidR="00A02919" w:rsidRPr="00F46451" w14:paraId="73A7DCD9" w14:textId="77777777" w:rsidTr="00062E5C">
        <w:trPr>
          <w:trHeight w:val="315"/>
          <w:jc w:val="center"/>
        </w:trPr>
        <w:tc>
          <w:tcPr>
            <w:tcW w:w="4596" w:type="dxa"/>
            <w:vMerge w:val="restart"/>
            <w:tcBorders>
              <w:top w:val="double" w:sz="6" w:space="0" w:color="943634"/>
              <w:left w:val="double" w:sz="6" w:space="0" w:color="943634"/>
              <w:bottom w:val="double" w:sz="6" w:space="0" w:color="943634"/>
              <w:right w:val="double" w:sz="6" w:space="0" w:color="943634"/>
            </w:tcBorders>
            <w:shd w:val="clear" w:color="auto" w:fill="943634"/>
            <w:tcMar>
              <w:top w:w="0" w:type="dxa"/>
              <w:left w:w="70" w:type="dxa"/>
              <w:bottom w:w="0" w:type="dxa"/>
              <w:right w:w="70" w:type="dxa"/>
            </w:tcMar>
            <w:vAlign w:val="center"/>
            <w:hideMark/>
          </w:tcPr>
          <w:p w14:paraId="551E1DB9" w14:textId="77777777" w:rsidR="00A02919" w:rsidRPr="00F46451" w:rsidRDefault="00A02919" w:rsidP="00062E5C">
            <w:pPr>
              <w:spacing w:line="276" w:lineRule="auto"/>
              <w:jc w:val="center"/>
              <w:rPr>
                <w:b/>
                <w:bCs/>
                <w:color w:val="FFFFFF" w:themeColor="background1"/>
                <w:sz w:val="22"/>
                <w:szCs w:val="22"/>
                <w:lang w:eastAsia="en-US"/>
              </w:rPr>
            </w:pPr>
            <w:r w:rsidRPr="00F46451">
              <w:rPr>
                <w:b/>
                <w:bCs/>
                <w:color w:val="FFFFFF" w:themeColor="background1"/>
                <w:lang w:eastAsia="en-US"/>
              </w:rPr>
              <w:t>Основни показатели за сектор „Държавно управление“</w:t>
            </w:r>
          </w:p>
        </w:tc>
        <w:tc>
          <w:tcPr>
            <w:tcW w:w="1481" w:type="dxa"/>
            <w:vMerge w:val="restart"/>
            <w:tcBorders>
              <w:top w:val="double" w:sz="6" w:space="0" w:color="943634"/>
              <w:left w:val="nil"/>
              <w:bottom w:val="double" w:sz="6" w:space="0" w:color="943634"/>
              <w:right w:val="double" w:sz="6" w:space="0" w:color="943634"/>
            </w:tcBorders>
            <w:shd w:val="clear" w:color="auto" w:fill="943634"/>
            <w:tcMar>
              <w:top w:w="0" w:type="dxa"/>
              <w:left w:w="70" w:type="dxa"/>
              <w:bottom w:w="0" w:type="dxa"/>
              <w:right w:w="70" w:type="dxa"/>
            </w:tcMar>
            <w:vAlign w:val="center"/>
            <w:hideMark/>
          </w:tcPr>
          <w:p w14:paraId="7F673598" w14:textId="77777777" w:rsidR="00A02919" w:rsidRPr="00F46451" w:rsidRDefault="00A02919" w:rsidP="00062E5C">
            <w:pPr>
              <w:spacing w:line="276" w:lineRule="auto"/>
              <w:jc w:val="center"/>
              <w:rPr>
                <w:b/>
                <w:bCs/>
                <w:color w:val="FFFFFF" w:themeColor="background1"/>
                <w:sz w:val="22"/>
                <w:szCs w:val="22"/>
                <w:lang w:eastAsia="en-US"/>
              </w:rPr>
            </w:pPr>
            <w:r w:rsidRPr="00F46451">
              <w:rPr>
                <w:b/>
                <w:bCs/>
                <w:color w:val="FFFFFF" w:themeColor="background1"/>
                <w:lang w:eastAsia="en-US"/>
              </w:rPr>
              <w:t>EСС 2010</w:t>
            </w:r>
          </w:p>
        </w:tc>
        <w:tc>
          <w:tcPr>
            <w:tcW w:w="978" w:type="dxa"/>
            <w:tcBorders>
              <w:top w:val="double" w:sz="6" w:space="0" w:color="943634"/>
              <w:left w:val="nil"/>
              <w:bottom w:val="double" w:sz="6" w:space="0" w:color="943634"/>
              <w:right w:val="double" w:sz="6" w:space="0" w:color="943634"/>
            </w:tcBorders>
            <w:shd w:val="clear" w:color="auto" w:fill="943634"/>
            <w:tcMar>
              <w:top w:w="0" w:type="dxa"/>
              <w:left w:w="70" w:type="dxa"/>
              <w:bottom w:w="0" w:type="dxa"/>
              <w:right w:w="70" w:type="dxa"/>
            </w:tcMar>
            <w:vAlign w:val="center"/>
            <w:hideMark/>
          </w:tcPr>
          <w:p w14:paraId="357FFDEF" w14:textId="77777777" w:rsidR="00A02919" w:rsidRPr="00F46451" w:rsidRDefault="00A02919" w:rsidP="00062E5C">
            <w:pPr>
              <w:spacing w:line="276" w:lineRule="auto"/>
              <w:jc w:val="center"/>
              <w:rPr>
                <w:b/>
                <w:bCs/>
                <w:color w:val="FFFFFF" w:themeColor="background1"/>
                <w:sz w:val="22"/>
                <w:szCs w:val="22"/>
                <w:lang w:eastAsia="en-US"/>
              </w:rPr>
            </w:pPr>
            <w:r w:rsidRPr="00F46451">
              <w:rPr>
                <w:b/>
                <w:bCs/>
                <w:color w:val="FFFFFF" w:themeColor="background1"/>
                <w:lang w:eastAsia="en-US"/>
              </w:rPr>
              <w:t>202</w:t>
            </w:r>
            <w:r>
              <w:rPr>
                <w:b/>
                <w:bCs/>
                <w:color w:val="FFFFFF" w:themeColor="background1"/>
                <w:lang w:val="en-US" w:eastAsia="en-US"/>
              </w:rPr>
              <w:t>2</w:t>
            </w:r>
          </w:p>
        </w:tc>
        <w:tc>
          <w:tcPr>
            <w:tcW w:w="719" w:type="dxa"/>
            <w:tcBorders>
              <w:top w:val="double" w:sz="6" w:space="0" w:color="943634"/>
              <w:left w:val="nil"/>
              <w:bottom w:val="double" w:sz="6" w:space="0" w:color="943634"/>
              <w:right w:val="double" w:sz="6" w:space="0" w:color="943634"/>
            </w:tcBorders>
            <w:shd w:val="clear" w:color="auto" w:fill="943634"/>
            <w:tcMar>
              <w:top w:w="0" w:type="dxa"/>
              <w:left w:w="70" w:type="dxa"/>
              <w:bottom w:w="0" w:type="dxa"/>
              <w:right w:w="70" w:type="dxa"/>
            </w:tcMar>
            <w:vAlign w:val="center"/>
            <w:hideMark/>
          </w:tcPr>
          <w:p w14:paraId="0A3D7B17" w14:textId="77777777" w:rsidR="00A02919" w:rsidRPr="00F46451" w:rsidRDefault="00A02919" w:rsidP="00062E5C">
            <w:pPr>
              <w:spacing w:line="276" w:lineRule="auto"/>
              <w:jc w:val="center"/>
              <w:rPr>
                <w:b/>
                <w:bCs/>
                <w:color w:val="FFFFFF" w:themeColor="background1"/>
                <w:sz w:val="22"/>
                <w:szCs w:val="22"/>
                <w:lang w:eastAsia="en-US"/>
              </w:rPr>
            </w:pPr>
            <w:r w:rsidRPr="00F46451">
              <w:rPr>
                <w:b/>
                <w:bCs/>
                <w:color w:val="FFFFFF" w:themeColor="background1"/>
                <w:lang w:eastAsia="en-US"/>
              </w:rPr>
              <w:t>202</w:t>
            </w:r>
            <w:r>
              <w:rPr>
                <w:b/>
                <w:bCs/>
                <w:color w:val="FFFFFF" w:themeColor="background1"/>
                <w:lang w:val="en-US" w:eastAsia="en-US"/>
              </w:rPr>
              <w:t>2</w:t>
            </w:r>
          </w:p>
        </w:tc>
      </w:tr>
      <w:tr w:rsidR="00A02919" w:rsidRPr="00F46451" w14:paraId="33D8B177" w14:textId="77777777" w:rsidTr="00062E5C">
        <w:trPr>
          <w:trHeight w:val="309"/>
          <w:jc w:val="center"/>
        </w:trPr>
        <w:tc>
          <w:tcPr>
            <w:tcW w:w="0" w:type="auto"/>
            <w:vMerge/>
            <w:tcBorders>
              <w:top w:val="double" w:sz="6" w:space="0" w:color="943634"/>
              <w:left w:val="double" w:sz="6" w:space="0" w:color="943634"/>
              <w:bottom w:val="double" w:sz="6" w:space="0" w:color="943634"/>
              <w:right w:val="double" w:sz="6" w:space="0" w:color="943634"/>
            </w:tcBorders>
            <w:vAlign w:val="center"/>
            <w:hideMark/>
          </w:tcPr>
          <w:p w14:paraId="09D05337" w14:textId="77777777" w:rsidR="00A02919" w:rsidRPr="00F46451" w:rsidRDefault="00A02919" w:rsidP="00062E5C">
            <w:pPr>
              <w:rPr>
                <w:b/>
                <w:bCs/>
                <w:color w:val="FFFFFF" w:themeColor="background1"/>
                <w:sz w:val="22"/>
                <w:szCs w:val="22"/>
                <w:lang w:eastAsia="en-US"/>
              </w:rPr>
            </w:pPr>
          </w:p>
        </w:tc>
        <w:tc>
          <w:tcPr>
            <w:tcW w:w="0" w:type="auto"/>
            <w:vMerge/>
            <w:tcBorders>
              <w:top w:val="double" w:sz="6" w:space="0" w:color="943634"/>
              <w:left w:val="nil"/>
              <w:bottom w:val="double" w:sz="6" w:space="0" w:color="943634"/>
              <w:right w:val="double" w:sz="6" w:space="0" w:color="943634"/>
            </w:tcBorders>
            <w:vAlign w:val="center"/>
            <w:hideMark/>
          </w:tcPr>
          <w:p w14:paraId="18152B7E" w14:textId="77777777" w:rsidR="00A02919" w:rsidRPr="00F46451" w:rsidRDefault="00A02919" w:rsidP="00062E5C">
            <w:pPr>
              <w:rPr>
                <w:b/>
                <w:bCs/>
                <w:color w:val="FFFFFF" w:themeColor="background1"/>
                <w:sz w:val="22"/>
                <w:szCs w:val="22"/>
                <w:lang w:eastAsia="en-US"/>
              </w:rPr>
            </w:pPr>
          </w:p>
        </w:tc>
        <w:tc>
          <w:tcPr>
            <w:tcW w:w="978" w:type="dxa"/>
            <w:tcBorders>
              <w:top w:val="nil"/>
              <w:left w:val="nil"/>
              <w:bottom w:val="double" w:sz="6" w:space="0" w:color="943634"/>
              <w:right w:val="double" w:sz="6" w:space="0" w:color="943634"/>
            </w:tcBorders>
            <w:shd w:val="clear" w:color="auto" w:fill="943634"/>
            <w:tcMar>
              <w:top w:w="0" w:type="dxa"/>
              <w:left w:w="70" w:type="dxa"/>
              <w:bottom w:w="0" w:type="dxa"/>
              <w:right w:w="70" w:type="dxa"/>
            </w:tcMar>
            <w:vAlign w:val="center"/>
            <w:hideMark/>
          </w:tcPr>
          <w:p w14:paraId="7F323153" w14:textId="77777777" w:rsidR="00A02919" w:rsidRPr="0013791D" w:rsidRDefault="00A02919" w:rsidP="00062E5C">
            <w:pPr>
              <w:spacing w:line="276" w:lineRule="auto"/>
              <w:rPr>
                <w:b/>
                <w:bCs/>
                <w:color w:val="FFFFFF" w:themeColor="background1"/>
                <w:sz w:val="18"/>
                <w:szCs w:val="18"/>
                <w:lang w:eastAsia="en-US"/>
              </w:rPr>
            </w:pPr>
            <w:r w:rsidRPr="0013791D">
              <w:rPr>
                <w:b/>
                <w:bCs/>
                <w:color w:val="FFFFFF" w:themeColor="background1"/>
                <w:sz w:val="18"/>
                <w:szCs w:val="18"/>
                <w:lang w:eastAsia="en-US"/>
              </w:rPr>
              <w:t>(млн. лв.)</w:t>
            </w:r>
          </w:p>
        </w:tc>
        <w:tc>
          <w:tcPr>
            <w:tcW w:w="719" w:type="dxa"/>
            <w:tcBorders>
              <w:top w:val="nil"/>
              <w:left w:val="nil"/>
              <w:bottom w:val="double" w:sz="6" w:space="0" w:color="943634"/>
              <w:right w:val="double" w:sz="6" w:space="0" w:color="943634"/>
            </w:tcBorders>
            <w:shd w:val="clear" w:color="auto" w:fill="943634"/>
            <w:tcMar>
              <w:top w:w="0" w:type="dxa"/>
              <w:left w:w="70" w:type="dxa"/>
              <w:bottom w:w="0" w:type="dxa"/>
              <w:right w:w="70" w:type="dxa"/>
            </w:tcMar>
            <w:vAlign w:val="center"/>
            <w:hideMark/>
          </w:tcPr>
          <w:p w14:paraId="439B31F7" w14:textId="77777777" w:rsidR="00A02919" w:rsidRPr="0013791D" w:rsidRDefault="00A02919" w:rsidP="00062E5C">
            <w:pPr>
              <w:spacing w:line="276" w:lineRule="auto"/>
              <w:jc w:val="center"/>
              <w:rPr>
                <w:b/>
                <w:bCs/>
                <w:color w:val="FFFFFF" w:themeColor="background1"/>
                <w:sz w:val="18"/>
                <w:szCs w:val="18"/>
                <w:lang w:eastAsia="en-US"/>
              </w:rPr>
            </w:pPr>
            <w:r w:rsidRPr="0013791D">
              <w:rPr>
                <w:b/>
                <w:bCs/>
                <w:color w:val="FFFFFF" w:themeColor="background1"/>
                <w:sz w:val="18"/>
                <w:szCs w:val="18"/>
                <w:lang w:eastAsia="en-US"/>
              </w:rPr>
              <w:t>% от БВП</w:t>
            </w:r>
          </w:p>
        </w:tc>
      </w:tr>
      <w:tr w:rsidR="00A02919" w:rsidRPr="00F46451" w14:paraId="00312191" w14:textId="77777777" w:rsidTr="00062E5C">
        <w:trPr>
          <w:trHeight w:val="23"/>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B1CE8D1" w14:textId="77777777" w:rsidR="00A02919" w:rsidRPr="00F46451" w:rsidRDefault="00A02919" w:rsidP="00062E5C">
            <w:pPr>
              <w:spacing w:line="276" w:lineRule="auto"/>
              <w:rPr>
                <w:b/>
                <w:bCs/>
                <w:sz w:val="19"/>
                <w:szCs w:val="19"/>
                <w:lang w:eastAsia="en-US"/>
              </w:rPr>
            </w:pPr>
            <w:r w:rsidRPr="00F46451">
              <w:rPr>
                <w:b/>
                <w:bCs/>
                <w:sz w:val="19"/>
                <w:szCs w:val="19"/>
                <w:lang w:eastAsia="en-US"/>
              </w:rPr>
              <w:t>Общо приходи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3F1C5173" w14:textId="77777777" w:rsidR="00A02919" w:rsidRPr="00F46451" w:rsidRDefault="00A02919" w:rsidP="00062E5C">
            <w:pPr>
              <w:spacing w:line="276" w:lineRule="auto"/>
              <w:rPr>
                <w:b/>
                <w:bCs/>
                <w:sz w:val="18"/>
                <w:szCs w:val="18"/>
                <w:lang w:eastAsia="en-US"/>
              </w:rPr>
            </w:pPr>
            <w:r w:rsidRPr="00F46451">
              <w:rPr>
                <w:b/>
                <w:bCs/>
                <w:sz w:val="18"/>
                <w:szCs w:val="18"/>
                <w:lang w:eastAsia="en-US"/>
              </w:rPr>
              <w:t>TR</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3C6D731B" w14:textId="77777777" w:rsidR="00A02919" w:rsidRPr="00F46451" w:rsidRDefault="00A02919" w:rsidP="00062E5C">
            <w:pPr>
              <w:spacing w:line="276" w:lineRule="auto"/>
              <w:jc w:val="right"/>
              <w:rPr>
                <w:b/>
                <w:bCs/>
                <w:sz w:val="19"/>
                <w:szCs w:val="19"/>
                <w:lang w:eastAsia="en-US"/>
              </w:rPr>
            </w:pPr>
            <w:r>
              <w:rPr>
                <w:b/>
                <w:bCs/>
                <w:sz w:val="19"/>
                <w:szCs w:val="19"/>
                <w:lang w:val="en-US" w:eastAsia="en-US"/>
              </w:rPr>
              <w:t>63</w:t>
            </w:r>
            <w:r w:rsidRPr="00F46451">
              <w:rPr>
                <w:b/>
                <w:bCs/>
                <w:sz w:val="19"/>
                <w:szCs w:val="19"/>
                <w:lang w:eastAsia="en-US"/>
              </w:rPr>
              <w:t xml:space="preserve"> </w:t>
            </w:r>
            <w:r>
              <w:rPr>
                <w:b/>
                <w:bCs/>
                <w:sz w:val="19"/>
                <w:szCs w:val="19"/>
                <w:lang w:val="en-US" w:eastAsia="en-US"/>
              </w:rPr>
              <w:t>711</w:t>
            </w:r>
            <w:r w:rsidRPr="00F46451">
              <w:rPr>
                <w:b/>
                <w:bCs/>
                <w:sz w:val="19"/>
                <w:szCs w:val="19"/>
                <w:lang w:eastAsia="en-US"/>
              </w:rPr>
              <w:t>,</w:t>
            </w:r>
            <w:r>
              <w:rPr>
                <w:b/>
                <w:bCs/>
                <w:sz w:val="19"/>
                <w:szCs w:val="19"/>
                <w:lang w:val="en-US" w:eastAsia="en-US"/>
              </w:rPr>
              <w:t>2</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4DE5B3D7"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3</w:t>
            </w:r>
            <w:r>
              <w:rPr>
                <w:b/>
                <w:bCs/>
                <w:sz w:val="19"/>
                <w:szCs w:val="19"/>
                <w:lang w:val="en-US" w:eastAsia="en-US"/>
              </w:rPr>
              <w:t>8</w:t>
            </w:r>
            <w:r w:rsidRPr="00F46451">
              <w:rPr>
                <w:b/>
                <w:bCs/>
                <w:sz w:val="19"/>
                <w:szCs w:val="19"/>
                <w:lang w:eastAsia="en-US"/>
              </w:rPr>
              <w:t>,</w:t>
            </w:r>
            <w:r>
              <w:rPr>
                <w:b/>
                <w:bCs/>
                <w:sz w:val="19"/>
                <w:szCs w:val="19"/>
                <w:lang w:val="en-US" w:eastAsia="en-US"/>
              </w:rPr>
              <w:t>5</w:t>
            </w:r>
            <w:r w:rsidRPr="00F46451">
              <w:rPr>
                <w:b/>
                <w:bCs/>
                <w:sz w:val="19"/>
                <w:szCs w:val="19"/>
                <w:lang w:eastAsia="en-US"/>
              </w:rPr>
              <w:t xml:space="preserve"> %</w:t>
            </w:r>
          </w:p>
        </w:tc>
      </w:tr>
      <w:tr w:rsidR="00A02919" w:rsidRPr="00F46451" w14:paraId="3A5D3E4B" w14:textId="77777777" w:rsidTr="00062E5C">
        <w:trPr>
          <w:trHeight w:val="4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7E15EB6" w14:textId="77777777" w:rsidR="00A02919" w:rsidRPr="00F46451" w:rsidRDefault="00A02919" w:rsidP="00062E5C">
            <w:pPr>
              <w:spacing w:line="276" w:lineRule="auto"/>
              <w:rPr>
                <w:b/>
                <w:bCs/>
                <w:sz w:val="19"/>
                <w:szCs w:val="19"/>
                <w:lang w:eastAsia="en-US"/>
              </w:rPr>
            </w:pPr>
            <w:r w:rsidRPr="00F46451">
              <w:rPr>
                <w:b/>
                <w:bCs/>
                <w:sz w:val="19"/>
                <w:szCs w:val="19"/>
                <w:lang w:eastAsia="en-US"/>
              </w:rPr>
              <w:t>Общо разходи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BFB5E50" w14:textId="77777777" w:rsidR="00A02919" w:rsidRPr="00F46451" w:rsidRDefault="00A02919" w:rsidP="00062E5C">
            <w:pPr>
              <w:spacing w:line="276" w:lineRule="auto"/>
              <w:rPr>
                <w:b/>
                <w:bCs/>
                <w:sz w:val="18"/>
                <w:szCs w:val="18"/>
                <w:lang w:eastAsia="en-US"/>
              </w:rPr>
            </w:pPr>
            <w:r w:rsidRPr="00F46451">
              <w:rPr>
                <w:b/>
                <w:bCs/>
                <w:sz w:val="18"/>
                <w:szCs w:val="18"/>
                <w:lang w:eastAsia="en-US"/>
              </w:rPr>
              <w:t>TE</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55DDE09" w14:textId="77777777" w:rsidR="00A02919" w:rsidRPr="00F46451" w:rsidRDefault="00A02919" w:rsidP="00062E5C">
            <w:pPr>
              <w:spacing w:line="276" w:lineRule="auto"/>
              <w:jc w:val="right"/>
              <w:rPr>
                <w:b/>
                <w:bCs/>
                <w:sz w:val="19"/>
                <w:szCs w:val="19"/>
                <w:lang w:eastAsia="en-US"/>
              </w:rPr>
            </w:pPr>
            <w:r>
              <w:rPr>
                <w:b/>
                <w:bCs/>
                <w:sz w:val="19"/>
                <w:szCs w:val="19"/>
                <w:lang w:val="en-US" w:eastAsia="en-US"/>
              </w:rPr>
              <w:t>68</w:t>
            </w:r>
            <w:r w:rsidRPr="00F46451">
              <w:rPr>
                <w:b/>
                <w:bCs/>
                <w:sz w:val="19"/>
                <w:szCs w:val="19"/>
                <w:lang w:eastAsia="en-US"/>
              </w:rPr>
              <w:t> </w:t>
            </w:r>
            <w:r>
              <w:rPr>
                <w:b/>
                <w:bCs/>
                <w:sz w:val="19"/>
                <w:szCs w:val="19"/>
                <w:lang w:val="en-US" w:eastAsia="en-US"/>
              </w:rPr>
              <w:t>3</w:t>
            </w:r>
            <w:r w:rsidRPr="00F46451">
              <w:rPr>
                <w:b/>
                <w:bCs/>
                <w:sz w:val="19"/>
                <w:szCs w:val="19"/>
                <w:lang w:eastAsia="en-US"/>
              </w:rPr>
              <w:t>58,8</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4D1BB0DF"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4</w:t>
            </w:r>
            <w:r>
              <w:rPr>
                <w:b/>
                <w:bCs/>
                <w:sz w:val="19"/>
                <w:szCs w:val="19"/>
                <w:lang w:val="en-US" w:eastAsia="en-US"/>
              </w:rPr>
              <w:t>1</w:t>
            </w:r>
            <w:r w:rsidRPr="00F46451">
              <w:rPr>
                <w:b/>
                <w:bCs/>
                <w:sz w:val="19"/>
                <w:szCs w:val="19"/>
                <w:lang w:eastAsia="en-US"/>
              </w:rPr>
              <w:t>,</w:t>
            </w:r>
            <w:r>
              <w:rPr>
                <w:b/>
                <w:bCs/>
                <w:sz w:val="19"/>
                <w:szCs w:val="19"/>
                <w:lang w:val="en-US" w:eastAsia="en-US"/>
              </w:rPr>
              <w:t>3</w:t>
            </w:r>
            <w:r w:rsidRPr="00F46451">
              <w:rPr>
                <w:b/>
                <w:bCs/>
                <w:sz w:val="19"/>
                <w:szCs w:val="19"/>
                <w:lang w:eastAsia="en-US"/>
              </w:rPr>
              <w:t xml:space="preserve"> %</w:t>
            </w:r>
          </w:p>
        </w:tc>
      </w:tr>
      <w:tr w:rsidR="00A02919" w:rsidRPr="00F46451" w14:paraId="40FCA8C7" w14:textId="77777777" w:rsidTr="00062E5C">
        <w:trPr>
          <w:trHeight w:val="259"/>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262B9093" w14:textId="77777777" w:rsidR="00A02919" w:rsidRPr="00F46451" w:rsidRDefault="00A02919" w:rsidP="00062E5C">
            <w:pPr>
              <w:spacing w:line="276" w:lineRule="auto"/>
              <w:rPr>
                <w:b/>
                <w:bCs/>
                <w:sz w:val="19"/>
                <w:szCs w:val="19"/>
                <w:lang w:eastAsia="en-US"/>
              </w:rPr>
            </w:pPr>
            <w:r w:rsidRPr="00F46451">
              <w:rPr>
                <w:b/>
                <w:bCs/>
                <w:sz w:val="19"/>
                <w:szCs w:val="19"/>
                <w:lang w:eastAsia="en-US"/>
              </w:rPr>
              <w:t>Нето предоставени/ получени заеми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0561C42" w14:textId="77777777" w:rsidR="00A02919" w:rsidRPr="00F46451" w:rsidRDefault="00A02919" w:rsidP="00062E5C">
            <w:pPr>
              <w:spacing w:line="276" w:lineRule="auto"/>
              <w:rPr>
                <w:b/>
                <w:bCs/>
                <w:sz w:val="18"/>
                <w:szCs w:val="18"/>
                <w:lang w:eastAsia="en-US"/>
              </w:rPr>
            </w:pPr>
            <w:r w:rsidRPr="00F46451">
              <w:rPr>
                <w:b/>
                <w:bCs/>
                <w:sz w:val="18"/>
                <w:szCs w:val="18"/>
                <w:lang w:eastAsia="en-US"/>
              </w:rPr>
              <w:t>EDP B.9=TR-TE</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32870D68"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w:t>
            </w:r>
            <w:r>
              <w:rPr>
                <w:b/>
                <w:bCs/>
                <w:sz w:val="19"/>
                <w:szCs w:val="19"/>
                <w:lang w:val="en-US" w:eastAsia="en-US"/>
              </w:rPr>
              <w:t>4</w:t>
            </w:r>
            <w:r w:rsidRPr="00F46451">
              <w:rPr>
                <w:b/>
                <w:bCs/>
                <w:sz w:val="19"/>
                <w:szCs w:val="19"/>
                <w:lang w:eastAsia="en-US"/>
              </w:rPr>
              <w:t> </w:t>
            </w:r>
            <w:r>
              <w:rPr>
                <w:b/>
                <w:bCs/>
                <w:sz w:val="19"/>
                <w:szCs w:val="19"/>
                <w:lang w:val="en-US" w:eastAsia="en-US"/>
              </w:rPr>
              <w:t>647</w:t>
            </w:r>
            <w:r w:rsidRPr="00F46451">
              <w:rPr>
                <w:b/>
                <w:bCs/>
                <w:sz w:val="19"/>
                <w:szCs w:val="19"/>
                <w:lang w:eastAsia="en-US"/>
              </w:rPr>
              <w:t>,</w:t>
            </w:r>
            <w:r>
              <w:rPr>
                <w:b/>
                <w:bCs/>
                <w:sz w:val="19"/>
                <w:szCs w:val="19"/>
                <w:lang w:val="en-US" w:eastAsia="en-US"/>
              </w:rPr>
              <w:t>6</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021A2B52"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w:t>
            </w:r>
            <w:r>
              <w:rPr>
                <w:b/>
                <w:bCs/>
                <w:sz w:val="19"/>
                <w:szCs w:val="19"/>
                <w:lang w:val="en-US" w:eastAsia="en-US"/>
              </w:rPr>
              <w:t>2</w:t>
            </w:r>
            <w:r w:rsidRPr="00F46451">
              <w:rPr>
                <w:b/>
                <w:bCs/>
                <w:sz w:val="19"/>
                <w:szCs w:val="19"/>
                <w:lang w:eastAsia="en-US"/>
              </w:rPr>
              <w:t>,</w:t>
            </w:r>
            <w:r>
              <w:rPr>
                <w:b/>
                <w:bCs/>
                <w:sz w:val="19"/>
                <w:szCs w:val="19"/>
                <w:lang w:val="en-US" w:eastAsia="en-US"/>
              </w:rPr>
              <w:t>8</w:t>
            </w:r>
            <w:r w:rsidRPr="00F46451">
              <w:rPr>
                <w:b/>
                <w:bCs/>
                <w:sz w:val="19"/>
                <w:szCs w:val="19"/>
                <w:lang w:eastAsia="en-US"/>
              </w:rPr>
              <w:t xml:space="preserve"> %</w:t>
            </w:r>
          </w:p>
        </w:tc>
      </w:tr>
      <w:tr w:rsidR="00A02919" w:rsidRPr="00F46451" w14:paraId="336C6395" w14:textId="77777777" w:rsidTr="00062E5C">
        <w:trPr>
          <w:trHeight w:val="4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37E3B8C8" w14:textId="77777777" w:rsidR="00A02919" w:rsidRPr="00F46451" w:rsidRDefault="00A02919" w:rsidP="00062E5C">
            <w:pPr>
              <w:spacing w:line="276" w:lineRule="auto"/>
              <w:rPr>
                <w:sz w:val="19"/>
                <w:szCs w:val="19"/>
                <w:lang w:eastAsia="en-US"/>
              </w:rPr>
            </w:pPr>
            <w:r w:rsidRPr="00F46451">
              <w:rPr>
                <w:sz w:val="19"/>
                <w:szCs w:val="19"/>
                <w:lang w:eastAsia="en-US"/>
              </w:rPr>
              <w:t>   Лихвени разходи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36349D02" w14:textId="77777777" w:rsidR="00A02919" w:rsidRPr="00F46451" w:rsidRDefault="00A02919" w:rsidP="00062E5C">
            <w:pPr>
              <w:spacing w:line="276" w:lineRule="auto"/>
              <w:rPr>
                <w:sz w:val="18"/>
                <w:szCs w:val="18"/>
                <w:lang w:eastAsia="en-US"/>
              </w:rPr>
            </w:pPr>
            <w:r w:rsidRPr="00F46451">
              <w:rPr>
                <w:sz w:val="18"/>
                <w:szCs w:val="18"/>
                <w:lang w:eastAsia="en-US"/>
              </w:rPr>
              <w:t>D.41</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B783317" w14:textId="77777777" w:rsidR="00A02919" w:rsidRPr="00F46451" w:rsidRDefault="00A02919" w:rsidP="00062E5C">
            <w:pPr>
              <w:spacing w:line="276" w:lineRule="auto"/>
              <w:jc w:val="right"/>
              <w:rPr>
                <w:sz w:val="19"/>
                <w:szCs w:val="19"/>
                <w:lang w:eastAsia="en-US"/>
              </w:rPr>
            </w:pPr>
            <w:r>
              <w:rPr>
                <w:sz w:val="19"/>
                <w:szCs w:val="19"/>
                <w:lang w:val="en-US" w:eastAsia="en-US"/>
              </w:rPr>
              <w:t>770</w:t>
            </w:r>
            <w:r w:rsidRPr="00F46451">
              <w:rPr>
                <w:sz w:val="19"/>
                <w:szCs w:val="19"/>
                <w:lang w:eastAsia="en-US"/>
              </w:rPr>
              <w:t>,</w:t>
            </w:r>
            <w:r>
              <w:rPr>
                <w:sz w:val="19"/>
                <w:szCs w:val="19"/>
                <w:lang w:val="en-US" w:eastAsia="en-US"/>
              </w:rPr>
              <w:t>4</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6D4CB944" w14:textId="77777777" w:rsidR="00A02919" w:rsidRPr="00F46451" w:rsidRDefault="00A02919" w:rsidP="00062E5C">
            <w:pPr>
              <w:spacing w:line="276" w:lineRule="auto"/>
              <w:jc w:val="right"/>
              <w:rPr>
                <w:sz w:val="19"/>
                <w:szCs w:val="19"/>
                <w:lang w:eastAsia="en-US"/>
              </w:rPr>
            </w:pPr>
            <w:r w:rsidRPr="00F46451">
              <w:rPr>
                <w:sz w:val="19"/>
                <w:szCs w:val="19"/>
                <w:lang w:eastAsia="en-US"/>
              </w:rPr>
              <w:t>0,5 %</w:t>
            </w:r>
          </w:p>
        </w:tc>
      </w:tr>
      <w:tr w:rsidR="00A02919" w:rsidRPr="00F46451" w14:paraId="7ADD72A1" w14:textId="77777777" w:rsidTr="00062E5C">
        <w:trPr>
          <w:trHeight w:val="88"/>
          <w:jc w:val="center"/>
        </w:trPr>
        <w:tc>
          <w:tcPr>
            <w:tcW w:w="4596" w:type="dxa"/>
            <w:tcBorders>
              <w:top w:val="nil"/>
              <w:left w:val="double" w:sz="6" w:space="0" w:color="943634"/>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60352AF6" w14:textId="77777777" w:rsidR="00A02919" w:rsidRPr="00F46451" w:rsidRDefault="00A02919" w:rsidP="00062E5C">
            <w:pPr>
              <w:spacing w:line="276" w:lineRule="auto"/>
              <w:rPr>
                <w:b/>
                <w:bCs/>
                <w:sz w:val="19"/>
                <w:szCs w:val="19"/>
                <w:lang w:eastAsia="en-US"/>
              </w:rPr>
            </w:pPr>
            <w:r w:rsidRPr="00F46451">
              <w:rPr>
                <w:b/>
                <w:bCs/>
                <w:sz w:val="19"/>
                <w:szCs w:val="19"/>
                <w:lang w:eastAsia="en-US"/>
              </w:rPr>
              <w:t>Първичен баланс</w:t>
            </w:r>
          </w:p>
        </w:tc>
        <w:tc>
          <w:tcPr>
            <w:tcW w:w="1481" w:type="dxa"/>
            <w:tcBorders>
              <w:top w:val="nil"/>
              <w:left w:val="nil"/>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72BE056B" w14:textId="77777777" w:rsidR="00A02919" w:rsidRPr="00F46451" w:rsidRDefault="00A02919" w:rsidP="00062E5C">
            <w:pPr>
              <w:spacing w:line="276" w:lineRule="auto"/>
              <w:rPr>
                <w:b/>
                <w:bCs/>
                <w:sz w:val="18"/>
                <w:szCs w:val="18"/>
                <w:lang w:eastAsia="en-US"/>
              </w:rPr>
            </w:pPr>
            <w:r w:rsidRPr="00F46451">
              <w:rPr>
                <w:b/>
                <w:bCs/>
                <w:sz w:val="18"/>
                <w:szCs w:val="18"/>
                <w:lang w:eastAsia="en-US"/>
              </w:rPr>
              <w:t>PB=B.9+D.41</w:t>
            </w:r>
          </w:p>
        </w:tc>
        <w:tc>
          <w:tcPr>
            <w:tcW w:w="978" w:type="dxa"/>
            <w:tcBorders>
              <w:top w:val="nil"/>
              <w:left w:val="nil"/>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7EE2C2D8"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w:t>
            </w:r>
            <w:r>
              <w:rPr>
                <w:b/>
                <w:bCs/>
                <w:sz w:val="19"/>
                <w:szCs w:val="19"/>
                <w:lang w:val="en-US" w:eastAsia="en-US"/>
              </w:rPr>
              <w:t>3</w:t>
            </w:r>
            <w:r w:rsidRPr="00F46451">
              <w:rPr>
                <w:b/>
                <w:bCs/>
                <w:sz w:val="19"/>
                <w:szCs w:val="19"/>
                <w:lang w:eastAsia="en-US"/>
              </w:rPr>
              <w:t> </w:t>
            </w:r>
            <w:r>
              <w:rPr>
                <w:b/>
                <w:bCs/>
                <w:sz w:val="19"/>
                <w:szCs w:val="19"/>
                <w:lang w:val="en-US" w:eastAsia="en-US"/>
              </w:rPr>
              <w:t>877</w:t>
            </w:r>
            <w:r>
              <w:rPr>
                <w:b/>
                <w:bCs/>
                <w:sz w:val="19"/>
                <w:szCs w:val="19"/>
                <w:lang w:eastAsia="en-US"/>
              </w:rPr>
              <w:t>,2</w:t>
            </w:r>
          </w:p>
        </w:tc>
        <w:tc>
          <w:tcPr>
            <w:tcW w:w="719" w:type="dxa"/>
            <w:tcBorders>
              <w:top w:val="nil"/>
              <w:left w:val="nil"/>
              <w:bottom w:val="double" w:sz="6" w:space="0" w:color="943634"/>
              <w:right w:val="double" w:sz="6" w:space="0" w:color="943634"/>
            </w:tcBorders>
            <w:shd w:val="clear" w:color="auto" w:fill="FFFFCC"/>
            <w:tcMar>
              <w:top w:w="0" w:type="dxa"/>
              <w:left w:w="70" w:type="dxa"/>
              <w:bottom w:w="0" w:type="dxa"/>
              <w:right w:w="70" w:type="dxa"/>
            </w:tcMar>
            <w:vAlign w:val="center"/>
            <w:hideMark/>
          </w:tcPr>
          <w:p w14:paraId="5C59C4BD"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w:t>
            </w:r>
            <w:r>
              <w:rPr>
                <w:b/>
                <w:bCs/>
                <w:sz w:val="19"/>
                <w:szCs w:val="19"/>
                <w:lang w:val="en-US" w:eastAsia="en-US"/>
              </w:rPr>
              <w:t>2</w:t>
            </w:r>
            <w:r w:rsidRPr="00F46451">
              <w:rPr>
                <w:b/>
                <w:bCs/>
                <w:sz w:val="19"/>
                <w:szCs w:val="19"/>
                <w:lang w:eastAsia="en-US"/>
              </w:rPr>
              <w:t>,</w:t>
            </w:r>
            <w:r>
              <w:rPr>
                <w:b/>
                <w:bCs/>
                <w:sz w:val="19"/>
                <w:szCs w:val="19"/>
                <w:lang w:val="en-US" w:eastAsia="en-US"/>
              </w:rPr>
              <w:t>3</w:t>
            </w:r>
            <w:r w:rsidRPr="00F46451">
              <w:rPr>
                <w:b/>
                <w:bCs/>
                <w:sz w:val="19"/>
                <w:szCs w:val="19"/>
                <w:lang w:eastAsia="en-US"/>
              </w:rPr>
              <w:t xml:space="preserve"> %</w:t>
            </w:r>
          </w:p>
        </w:tc>
      </w:tr>
      <w:tr w:rsidR="00A02919" w:rsidRPr="00F46451" w14:paraId="36DD4A9B" w14:textId="77777777" w:rsidTr="00062E5C">
        <w:trPr>
          <w:trHeight w:val="96"/>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C8380E1" w14:textId="77777777" w:rsidR="00A02919" w:rsidRPr="00F46451" w:rsidRDefault="00A02919" w:rsidP="00062E5C">
            <w:pPr>
              <w:spacing w:line="276" w:lineRule="auto"/>
              <w:rPr>
                <w:sz w:val="19"/>
                <w:szCs w:val="19"/>
                <w:lang w:eastAsia="en-US"/>
              </w:rPr>
            </w:pPr>
            <w:r w:rsidRPr="00F46451">
              <w:rPr>
                <w:sz w:val="19"/>
                <w:szCs w:val="19"/>
                <w:lang w:eastAsia="en-US"/>
              </w:rPr>
              <w:t>   Данъци върху производството и вноса</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BF3EAE9" w14:textId="77777777" w:rsidR="00A02919" w:rsidRPr="00F46451" w:rsidRDefault="00A02919" w:rsidP="00062E5C">
            <w:pPr>
              <w:spacing w:line="276" w:lineRule="auto"/>
              <w:rPr>
                <w:sz w:val="18"/>
                <w:szCs w:val="18"/>
                <w:lang w:eastAsia="en-US"/>
              </w:rPr>
            </w:pPr>
            <w:r w:rsidRPr="00F46451">
              <w:rPr>
                <w:sz w:val="18"/>
                <w:szCs w:val="18"/>
                <w:lang w:eastAsia="en-US"/>
              </w:rPr>
              <w:t>D.2</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5787EF2B" w14:textId="77777777" w:rsidR="00A02919" w:rsidRPr="00F46451" w:rsidRDefault="00A02919" w:rsidP="00062E5C">
            <w:pPr>
              <w:spacing w:line="276" w:lineRule="auto"/>
              <w:jc w:val="right"/>
              <w:rPr>
                <w:sz w:val="19"/>
                <w:szCs w:val="19"/>
                <w:lang w:eastAsia="en-US"/>
              </w:rPr>
            </w:pPr>
            <w:r w:rsidRPr="00F46451">
              <w:rPr>
                <w:sz w:val="19"/>
                <w:szCs w:val="19"/>
                <w:lang w:eastAsia="en-US"/>
              </w:rPr>
              <w:t>2</w:t>
            </w:r>
            <w:r>
              <w:rPr>
                <w:sz w:val="19"/>
                <w:szCs w:val="19"/>
                <w:lang w:val="en-US" w:eastAsia="en-US"/>
              </w:rPr>
              <w:t>6</w:t>
            </w:r>
            <w:r w:rsidRPr="00F46451">
              <w:rPr>
                <w:sz w:val="19"/>
                <w:szCs w:val="19"/>
                <w:lang w:eastAsia="en-US"/>
              </w:rPr>
              <w:t> </w:t>
            </w:r>
            <w:r>
              <w:rPr>
                <w:sz w:val="19"/>
                <w:szCs w:val="19"/>
                <w:lang w:val="en-US" w:eastAsia="en-US"/>
              </w:rPr>
              <w:t>164</w:t>
            </w:r>
            <w:r w:rsidRPr="00F46451">
              <w:rPr>
                <w:sz w:val="19"/>
                <w:szCs w:val="19"/>
                <w:lang w:eastAsia="en-US"/>
              </w:rPr>
              <w:t>,</w:t>
            </w:r>
            <w:r>
              <w:rPr>
                <w:sz w:val="19"/>
                <w:szCs w:val="19"/>
                <w:lang w:val="en-US" w:eastAsia="en-US"/>
              </w:rPr>
              <w:t>0</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14EF2EA6" w14:textId="77777777" w:rsidR="00A02919" w:rsidRPr="00F46451" w:rsidRDefault="00A02919" w:rsidP="00062E5C">
            <w:pPr>
              <w:spacing w:line="276" w:lineRule="auto"/>
              <w:jc w:val="right"/>
              <w:rPr>
                <w:sz w:val="19"/>
                <w:szCs w:val="19"/>
                <w:lang w:eastAsia="en-US"/>
              </w:rPr>
            </w:pPr>
            <w:r w:rsidRPr="00F46451">
              <w:rPr>
                <w:sz w:val="19"/>
                <w:szCs w:val="19"/>
                <w:lang w:eastAsia="en-US"/>
              </w:rPr>
              <w:t>1</w:t>
            </w:r>
            <w:r>
              <w:rPr>
                <w:sz w:val="19"/>
                <w:szCs w:val="19"/>
                <w:lang w:val="en-US" w:eastAsia="en-US"/>
              </w:rPr>
              <w:t>5</w:t>
            </w:r>
            <w:r w:rsidRPr="00F46451">
              <w:rPr>
                <w:sz w:val="19"/>
                <w:szCs w:val="19"/>
                <w:lang w:eastAsia="en-US"/>
              </w:rPr>
              <w:t>,</w:t>
            </w:r>
            <w:r>
              <w:rPr>
                <w:sz w:val="19"/>
                <w:szCs w:val="19"/>
                <w:lang w:val="en-US" w:eastAsia="en-US"/>
              </w:rPr>
              <w:t>8</w:t>
            </w:r>
            <w:r w:rsidRPr="00F46451">
              <w:rPr>
                <w:sz w:val="19"/>
                <w:szCs w:val="19"/>
                <w:lang w:eastAsia="en-US"/>
              </w:rPr>
              <w:t xml:space="preserve"> %</w:t>
            </w:r>
          </w:p>
        </w:tc>
      </w:tr>
      <w:tr w:rsidR="00A02919" w:rsidRPr="00F46451" w14:paraId="34BFE301"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6283EDE7" w14:textId="77777777" w:rsidR="00A02919" w:rsidRPr="00F46451" w:rsidRDefault="00A02919" w:rsidP="00062E5C">
            <w:pPr>
              <w:spacing w:line="276" w:lineRule="auto"/>
              <w:rPr>
                <w:sz w:val="19"/>
                <w:szCs w:val="19"/>
                <w:lang w:eastAsia="en-US"/>
              </w:rPr>
            </w:pPr>
            <w:r w:rsidRPr="00F46451">
              <w:rPr>
                <w:sz w:val="19"/>
                <w:szCs w:val="19"/>
                <w:lang w:eastAsia="en-US"/>
              </w:rPr>
              <w:t>   Текущи данъци върху доходите, богатството и т.н.</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A4AAFB3" w14:textId="77777777" w:rsidR="00A02919" w:rsidRPr="00F46451" w:rsidRDefault="00A02919" w:rsidP="00062E5C">
            <w:pPr>
              <w:spacing w:line="276" w:lineRule="auto"/>
              <w:rPr>
                <w:sz w:val="18"/>
                <w:szCs w:val="18"/>
                <w:lang w:eastAsia="en-US"/>
              </w:rPr>
            </w:pPr>
            <w:r w:rsidRPr="00F46451">
              <w:rPr>
                <w:sz w:val="18"/>
                <w:szCs w:val="18"/>
                <w:lang w:eastAsia="en-US"/>
              </w:rPr>
              <w:t>D.5</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E435EBD" w14:textId="77777777" w:rsidR="00A02919" w:rsidRPr="00F46451" w:rsidRDefault="00A02919" w:rsidP="00062E5C">
            <w:pPr>
              <w:spacing w:line="276" w:lineRule="auto"/>
              <w:jc w:val="right"/>
              <w:rPr>
                <w:sz w:val="19"/>
                <w:szCs w:val="19"/>
                <w:lang w:eastAsia="en-US"/>
              </w:rPr>
            </w:pPr>
            <w:r>
              <w:rPr>
                <w:sz w:val="19"/>
                <w:szCs w:val="19"/>
                <w:lang w:val="en-US" w:eastAsia="en-US"/>
              </w:rPr>
              <w:t>10</w:t>
            </w:r>
            <w:r w:rsidRPr="00F46451">
              <w:rPr>
                <w:sz w:val="19"/>
                <w:szCs w:val="19"/>
                <w:lang w:eastAsia="en-US"/>
              </w:rPr>
              <w:t> </w:t>
            </w:r>
            <w:r>
              <w:rPr>
                <w:sz w:val="19"/>
                <w:szCs w:val="19"/>
                <w:lang w:val="en-US" w:eastAsia="en-US"/>
              </w:rPr>
              <w:t>615</w:t>
            </w:r>
            <w:r w:rsidRPr="00F46451">
              <w:rPr>
                <w:sz w:val="19"/>
                <w:szCs w:val="19"/>
                <w:lang w:eastAsia="en-US"/>
              </w:rPr>
              <w:t>,</w:t>
            </w:r>
            <w:r>
              <w:rPr>
                <w:sz w:val="19"/>
                <w:szCs w:val="19"/>
                <w:lang w:val="en-US" w:eastAsia="en-US"/>
              </w:rPr>
              <w:t>1</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1996441E" w14:textId="77777777" w:rsidR="00A02919" w:rsidRPr="00F46451" w:rsidRDefault="00A02919" w:rsidP="00062E5C">
            <w:pPr>
              <w:spacing w:line="276" w:lineRule="auto"/>
              <w:jc w:val="right"/>
              <w:rPr>
                <w:sz w:val="19"/>
                <w:szCs w:val="19"/>
                <w:lang w:eastAsia="en-US"/>
              </w:rPr>
            </w:pPr>
            <w:r w:rsidRPr="00F46451">
              <w:rPr>
                <w:sz w:val="19"/>
                <w:szCs w:val="19"/>
                <w:lang w:eastAsia="en-US"/>
              </w:rPr>
              <w:t>6,4 %</w:t>
            </w:r>
          </w:p>
        </w:tc>
      </w:tr>
      <w:tr w:rsidR="00A02919" w:rsidRPr="00F46451" w14:paraId="5B78F917"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074685E" w14:textId="77777777" w:rsidR="00A02919" w:rsidRPr="00F46451" w:rsidRDefault="00A02919" w:rsidP="00062E5C">
            <w:pPr>
              <w:spacing w:line="276" w:lineRule="auto"/>
              <w:rPr>
                <w:sz w:val="19"/>
                <w:szCs w:val="19"/>
                <w:lang w:eastAsia="en-US"/>
              </w:rPr>
            </w:pPr>
            <w:r w:rsidRPr="00F46451">
              <w:rPr>
                <w:sz w:val="19"/>
                <w:szCs w:val="19"/>
                <w:lang w:eastAsia="en-US"/>
              </w:rPr>
              <w:t>    Данъци върху капитала</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CD4B12B" w14:textId="77777777" w:rsidR="00A02919" w:rsidRPr="00F46451" w:rsidRDefault="00A02919" w:rsidP="00062E5C">
            <w:pPr>
              <w:spacing w:line="276" w:lineRule="auto"/>
              <w:rPr>
                <w:sz w:val="18"/>
                <w:szCs w:val="18"/>
                <w:lang w:eastAsia="en-US"/>
              </w:rPr>
            </w:pPr>
            <w:r w:rsidRPr="00F46451">
              <w:rPr>
                <w:sz w:val="18"/>
                <w:szCs w:val="18"/>
                <w:lang w:eastAsia="en-US"/>
              </w:rPr>
              <w:t>D.91</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69DA25A" w14:textId="77777777" w:rsidR="00A02919" w:rsidRPr="00F46451" w:rsidRDefault="00A02919" w:rsidP="00062E5C">
            <w:pPr>
              <w:spacing w:line="276" w:lineRule="auto"/>
              <w:jc w:val="right"/>
              <w:rPr>
                <w:sz w:val="19"/>
                <w:szCs w:val="19"/>
                <w:lang w:eastAsia="en-US"/>
              </w:rPr>
            </w:pPr>
            <w:r>
              <w:rPr>
                <w:sz w:val="19"/>
                <w:szCs w:val="19"/>
                <w:lang w:val="en-US" w:eastAsia="en-US"/>
              </w:rPr>
              <w:t>535</w:t>
            </w:r>
            <w:r w:rsidRPr="00F46451">
              <w:rPr>
                <w:sz w:val="19"/>
                <w:szCs w:val="19"/>
                <w:lang w:eastAsia="en-US"/>
              </w:rPr>
              <w:t>,</w:t>
            </w:r>
            <w:r>
              <w:rPr>
                <w:sz w:val="19"/>
                <w:szCs w:val="19"/>
                <w:lang w:val="en-US" w:eastAsia="en-US"/>
              </w:rPr>
              <w:t>2</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386A2778" w14:textId="77777777" w:rsidR="00A02919" w:rsidRPr="00F46451" w:rsidRDefault="00A02919" w:rsidP="00062E5C">
            <w:pPr>
              <w:spacing w:line="276" w:lineRule="auto"/>
              <w:jc w:val="right"/>
              <w:rPr>
                <w:sz w:val="19"/>
                <w:szCs w:val="19"/>
                <w:lang w:eastAsia="en-US"/>
              </w:rPr>
            </w:pPr>
            <w:r w:rsidRPr="00F46451">
              <w:rPr>
                <w:sz w:val="19"/>
                <w:szCs w:val="19"/>
                <w:lang w:eastAsia="en-US"/>
              </w:rPr>
              <w:t>0,</w:t>
            </w:r>
            <w:r>
              <w:rPr>
                <w:sz w:val="19"/>
                <w:szCs w:val="19"/>
                <w:lang w:val="en-US" w:eastAsia="en-US"/>
              </w:rPr>
              <w:t>3</w:t>
            </w:r>
            <w:r w:rsidRPr="00F46451">
              <w:rPr>
                <w:sz w:val="19"/>
                <w:szCs w:val="19"/>
                <w:lang w:eastAsia="en-US"/>
              </w:rPr>
              <w:t xml:space="preserve"> %</w:t>
            </w:r>
          </w:p>
        </w:tc>
      </w:tr>
      <w:tr w:rsidR="00A02919" w:rsidRPr="00F46451" w14:paraId="2BFF4303" w14:textId="77777777" w:rsidTr="00062E5C">
        <w:trPr>
          <w:trHeight w:val="18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AF8C0AB" w14:textId="77777777" w:rsidR="00A02919" w:rsidRPr="00F46451" w:rsidRDefault="00A02919" w:rsidP="00062E5C">
            <w:pPr>
              <w:spacing w:line="276" w:lineRule="auto"/>
              <w:rPr>
                <w:sz w:val="19"/>
                <w:szCs w:val="19"/>
                <w:lang w:eastAsia="en-US"/>
              </w:rPr>
            </w:pPr>
            <w:r w:rsidRPr="00F46451">
              <w:rPr>
                <w:sz w:val="19"/>
                <w:szCs w:val="19"/>
                <w:lang w:eastAsia="en-US"/>
              </w:rPr>
              <w:t>   Социално-осигурителни вноски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4044DBE" w14:textId="77777777" w:rsidR="00A02919" w:rsidRPr="00F46451" w:rsidRDefault="00A02919" w:rsidP="00062E5C">
            <w:pPr>
              <w:spacing w:line="276" w:lineRule="auto"/>
              <w:rPr>
                <w:sz w:val="18"/>
                <w:szCs w:val="18"/>
                <w:lang w:eastAsia="en-US"/>
              </w:rPr>
            </w:pPr>
            <w:r w:rsidRPr="00F46451">
              <w:rPr>
                <w:sz w:val="18"/>
                <w:szCs w:val="18"/>
                <w:lang w:eastAsia="en-US"/>
              </w:rPr>
              <w:t>D.61</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42741E5" w14:textId="77777777" w:rsidR="00A02919" w:rsidRPr="00F46451" w:rsidRDefault="00A02919" w:rsidP="00062E5C">
            <w:pPr>
              <w:spacing w:line="276" w:lineRule="auto"/>
              <w:jc w:val="right"/>
              <w:rPr>
                <w:sz w:val="19"/>
                <w:szCs w:val="19"/>
                <w:lang w:eastAsia="en-US"/>
              </w:rPr>
            </w:pPr>
            <w:r w:rsidRPr="00F46451">
              <w:rPr>
                <w:sz w:val="19"/>
                <w:szCs w:val="19"/>
                <w:lang w:eastAsia="en-US"/>
              </w:rPr>
              <w:t>1</w:t>
            </w:r>
            <w:r>
              <w:rPr>
                <w:sz w:val="19"/>
                <w:szCs w:val="19"/>
                <w:lang w:val="en-US" w:eastAsia="en-US"/>
              </w:rPr>
              <w:t>3</w:t>
            </w:r>
            <w:r w:rsidRPr="00F46451">
              <w:rPr>
                <w:sz w:val="19"/>
                <w:szCs w:val="19"/>
                <w:lang w:eastAsia="en-US"/>
              </w:rPr>
              <w:t> </w:t>
            </w:r>
            <w:r>
              <w:rPr>
                <w:sz w:val="19"/>
                <w:szCs w:val="19"/>
                <w:lang w:val="en-US" w:eastAsia="en-US"/>
              </w:rPr>
              <w:t>890</w:t>
            </w:r>
            <w:r w:rsidRPr="00F46451">
              <w:rPr>
                <w:sz w:val="19"/>
                <w:szCs w:val="19"/>
                <w:lang w:eastAsia="en-US"/>
              </w:rPr>
              <w:t>,</w:t>
            </w:r>
            <w:r>
              <w:rPr>
                <w:sz w:val="19"/>
                <w:szCs w:val="19"/>
                <w:lang w:val="en-US" w:eastAsia="en-US"/>
              </w:rPr>
              <w:t>5</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2117E029" w14:textId="77777777" w:rsidR="00A02919" w:rsidRPr="00F46451" w:rsidRDefault="00A02919" w:rsidP="00062E5C">
            <w:pPr>
              <w:spacing w:line="276" w:lineRule="auto"/>
              <w:jc w:val="right"/>
              <w:rPr>
                <w:sz w:val="19"/>
                <w:szCs w:val="19"/>
                <w:lang w:eastAsia="en-US"/>
              </w:rPr>
            </w:pPr>
            <w:r>
              <w:rPr>
                <w:sz w:val="19"/>
                <w:szCs w:val="19"/>
                <w:lang w:val="en-US" w:eastAsia="en-US"/>
              </w:rPr>
              <w:t>8</w:t>
            </w:r>
            <w:r w:rsidRPr="00F46451">
              <w:rPr>
                <w:sz w:val="19"/>
                <w:szCs w:val="19"/>
                <w:lang w:eastAsia="en-US"/>
              </w:rPr>
              <w:t>,</w:t>
            </w:r>
            <w:r>
              <w:rPr>
                <w:sz w:val="19"/>
                <w:szCs w:val="19"/>
                <w:lang w:val="en-US" w:eastAsia="en-US"/>
              </w:rPr>
              <w:t>4</w:t>
            </w:r>
            <w:r w:rsidRPr="00F46451">
              <w:rPr>
                <w:sz w:val="19"/>
                <w:szCs w:val="19"/>
                <w:lang w:eastAsia="en-US"/>
              </w:rPr>
              <w:t xml:space="preserve"> %</w:t>
            </w:r>
          </w:p>
        </w:tc>
      </w:tr>
      <w:tr w:rsidR="00A02919" w:rsidRPr="00F46451" w14:paraId="0C9A6F90"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ABA93D1" w14:textId="77777777" w:rsidR="00A02919" w:rsidRPr="00F46451" w:rsidRDefault="00A02919" w:rsidP="00062E5C">
            <w:pPr>
              <w:spacing w:line="276" w:lineRule="auto"/>
              <w:rPr>
                <w:sz w:val="19"/>
                <w:szCs w:val="19"/>
                <w:lang w:eastAsia="en-US"/>
              </w:rPr>
            </w:pPr>
            <w:r w:rsidRPr="00F46451">
              <w:rPr>
                <w:sz w:val="19"/>
                <w:szCs w:val="19"/>
                <w:lang w:eastAsia="en-US"/>
              </w:rPr>
              <w:t>   Доход от собственост</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62C5AEF0" w14:textId="77777777" w:rsidR="00A02919" w:rsidRPr="00F46451" w:rsidRDefault="00A02919" w:rsidP="00062E5C">
            <w:pPr>
              <w:spacing w:line="276" w:lineRule="auto"/>
              <w:rPr>
                <w:sz w:val="18"/>
                <w:szCs w:val="18"/>
                <w:lang w:eastAsia="en-US"/>
              </w:rPr>
            </w:pPr>
            <w:r w:rsidRPr="00F46451">
              <w:rPr>
                <w:sz w:val="18"/>
                <w:szCs w:val="18"/>
                <w:lang w:eastAsia="en-US"/>
              </w:rPr>
              <w:t>D.4</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54D50A53" w14:textId="77777777" w:rsidR="00A02919" w:rsidRPr="00F46451" w:rsidRDefault="00A02919" w:rsidP="00062E5C">
            <w:pPr>
              <w:spacing w:line="276" w:lineRule="auto"/>
              <w:jc w:val="right"/>
              <w:rPr>
                <w:sz w:val="19"/>
                <w:szCs w:val="19"/>
                <w:lang w:eastAsia="en-US"/>
              </w:rPr>
            </w:pPr>
            <w:r>
              <w:rPr>
                <w:sz w:val="19"/>
                <w:szCs w:val="19"/>
                <w:lang w:val="en-US" w:eastAsia="en-US"/>
              </w:rPr>
              <w:t xml:space="preserve">  1 </w:t>
            </w:r>
            <w:r w:rsidRPr="00F46451">
              <w:rPr>
                <w:sz w:val="19"/>
                <w:szCs w:val="19"/>
                <w:lang w:eastAsia="en-US"/>
              </w:rPr>
              <w:t>7</w:t>
            </w:r>
            <w:r>
              <w:rPr>
                <w:sz w:val="19"/>
                <w:szCs w:val="19"/>
                <w:lang w:val="en-US" w:eastAsia="en-US"/>
              </w:rPr>
              <w:t>43</w:t>
            </w:r>
            <w:r w:rsidRPr="00F46451">
              <w:rPr>
                <w:sz w:val="19"/>
                <w:szCs w:val="19"/>
                <w:lang w:eastAsia="en-US"/>
              </w:rPr>
              <w:t>,</w:t>
            </w:r>
            <w:r>
              <w:rPr>
                <w:sz w:val="19"/>
                <w:szCs w:val="19"/>
                <w:lang w:val="en-US" w:eastAsia="en-US"/>
              </w:rPr>
              <w:t>8</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0BF9E387" w14:textId="77777777" w:rsidR="00A02919" w:rsidRPr="00F46451" w:rsidRDefault="00A02919" w:rsidP="00062E5C">
            <w:pPr>
              <w:spacing w:line="276" w:lineRule="auto"/>
              <w:jc w:val="right"/>
              <w:rPr>
                <w:sz w:val="19"/>
                <w:szCs w:val="19"/>
                <w:lang w:eastAsia="en-US"/>
              </w:rPr>
            </w:pPr>
            <w:r>
              <w:rPr>
                <w:sz w:val="19"/>
                <w:szCs w:val="19"/>
                <w:lang w:val="en-US" w:eastAsia="en-US"/>
              </w:rPr>
              <w:t>1</w:t>
            </w:r>
            <w:r w:rsidRPr="00F46451">
              <w:rPr>
                <w:sz w:val="19"/>
                <w:szCs w:val="19"/>
                <w:lang w:eastAsia="en-US"/>
              </w:rPr>
              <w:t>,</w:t>
            </w:r>
            <w:r>
              <w:rPr>
                <w:sz w:val="19"/>
                <w:szCs w:val="19"/>
                <w:lang w:val="en-US" w:eastAsia="en-US"/>
              </w:rPr>
              <w:t>1</w:t>
            </w:r>
            <w:r w:rsidRPr="00F46451">
              <w:rPr>
                <w:sz w:val="19"/>
                <w:szCs w:val="19"/>
                <w:lang w:eastAsia="en-US"/>
              </w:rPr>
              <w:t xml:space="preserve"> %</w:t>
            </w:r>
          </w:p>
        </w:tc>
      </w:tr>
      <w:tr w:rsidR="00A02919" w:rsidRPr="00F46451" w14:paraId="15C6A299" w14:textId="77777777" w:rsidTr="00062E5C">
        <w:trPr>
          <w:trHeight w:val="97"/>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BB69FA9" w14:textId="77777777" w:rsidR="00A02919" w:rsidRPr="00F46451" w:rsidRDefault="00A02919" w:rsidP="00062E5C">
            <w:pPr>
              <w:spacing w:line="276" w:lineRule="auto"/>
              <w:rPr>
                <w:sz w:val="19"/>
                <w:szCs w:val="19"/>
                <w:lang w:eastAsia="en-US"/>
              </w:rPr>
            </w:pPr>
            <w:r w:rsidRPr="00F46451">
              <w:rPr>
                <w:sz w:val="19"/>
                <w:szCs w:val="19"/>
                <w:lang w:eastAsia="en-US"/>
              </w:rPr>
              <w:t>   Други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817E0A6" w14:textId="77777777" w:rsidR="00A02919" w:rsidRPr="00F46451" w:rsidRDefault="00A02919" w:rsidP="00062E5C">
            <w:pPr>
              <w:spacing w:line="276" w:lineRule="auto"/>
              <w:rPr>
                <w:sz w:val="18"/>
                <w:szCs w:val="18"/>
                <w:lang w:eastAsia="en-US"/>
              </w:rPr>
            </w:pPr>
            <w:r w:rsidRPr="00F46451">
              <w:rPr>
                <w:sz w:val="18"/>
                <w:szCs w:val="18"/>
                <w:lang w:eastAsia="en-US"/>
              </w:rPr>
              <w:t> </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57121A5E" w14:textId="77777777" w:rsidR="00A02919" w:rsidRPr="00F46451" w:rsidRDefault="00A02919" w:rsidP="00062E5C">
            <w:pPr>
              <w:spacing w:line="276" w:lineRule="auto"/>
              <w:jc w:val="right"/>
              <w:rPr>
                <w:sz w:val="19"/>
                <w:szCs w:val="19"/>
                <w:lang w:eastAsia="en-US"/>
              </w:rPr>
            </w:pPr>
            <w:r>
              <w:rPr>
                <w:sz w:val="19"/>
                <w:szCs w:val="19"/>
                <w:lang w:val="en-US" w:eastAsia="en-US"/>
              </w:rPr>
              <w:t>10</w:t>
            </w:r>
            <w:r w:rsidRPr="00F46451">
              <w:rPr>
                <w:sz w:val="19"/>
                <w:szCs w:val="19"/>
                <w:lang w:eastAsia="en-US"/>
              </w:rPr>
              <w:t> </w:t>
            </w:r>
            <w:r>
              <w:rPr>
                <w:sz w:val="19"/>
                <w:szCs w:val="19"/>
                <w:lang w:val="en-US" w:eastAsia="en-US"/>
              </w:rPr>
              <w:t>762</w:t>
            </w:r>
            <w:r w:rsidRPr="00F46451">
              <w:rPr>
                <w:sz w:val="19"/>
                <w:szCs w:val="19"/>
                <w:lang w:eastAsia="en-US"/>
              </w:rPr>
              <w:t>,</w:t>
            </w:r>
            <w:r>
              <w:rPr>
                <w:sz w:val="19"/>
                <w:szCs w:val="19"/>
                <w:lang w:val="en-US" w:eastAsia="en-US"/>
              </w:rPr>
              <w:t>6</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6C8A6EB9" w14:textId="77777777" w:rsidR="00A02919" w:rsidRPr="00F46451" w:rsidRDefault="00A02919" w:rsidP="00062E5C">
            <w:pPr>
              <w:spacing w:line="276" w:lineRule="auto"/>
              <w:jc w:val="right"/>
              <w:rPr>
                <w:sz w:val="19"/>
                <w:szCs w:val="19"/>
                <w:lang w:eastAsia="en-US"/>
              </w:rPr>
            </w:pPr>
            <w:r w:rsidRPr="00F46451">
              <w:rPr>
                <w:sz w:val="19"/>
                <w:szCs w:val="19"/>
                <w:lang w:eastAsia="en-US"/>
              </w:rPr>
              <w:t>6,</w:t>
            </w:r>
            <w:r>
              <w:rPr>
                <w:sz w:val="19"/>
                <w:szCs w:val="19"/>
                <w:lang w:val="en-US" w:eastAsia="en-US"/>
              </w:rPr>
              <w:t>5</w:t>
            </w:r>
            <w:r w:rsidRPr="00F46451">
              <w:rPr>
                <w:sz w:val="19"/>
                <w:szCs w:val="19"/>
                <w:lang w:eastAsia="en-US"/>
              </w:rPr>
              <w:t xml:space="preserve"> %</w:t>
            </w:r>
          </w:p>
        </w:tc>
      </w:tr>
      <w:tr w:rsidR="00A02919" w:rsidRPr="00F46451" w14:paraId="7754AB60" w14:textId="77777777" w:rsidTr="00062E5C">
        <w:trPr>
          <w:trHeight w:val="259"/>
          <w:jc w:val="center"/>
        </w:trPr>
        <w:tc>
          <w:tcPr>
            <w:tcW w:w="4596" w:type="dxa"/>
            <w:tcBorders>
              <w:top w:val="nil"/>
              <w:left w:val="double" w:sz="6" w:space="0" w:color="943634"/>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005896EF" w14:textId="77777777" w:rsidR="00A02919" w:rsidRPr="00F46451" w:rsidRDefault="00A02919" w:rsidP="00062E5C">
            <w:pPr>
              <w:spacing w:line="276" w:lineRule="auto"/>
              <w:rPr>
                <w:b/>
                <w:bCs/>
                <w:sz w:val="19"/>
                <w:szCs w:val="19"/>
                <w:lang w:eastAsia="en-US"/>
              </w:rPr>
            </w:pPr>
            <w:r w:rsidRPr="00F46451">
              <w:rPr>
                <w:b/>
                <w:bCs/>
                <w:sz w:val="19"/>
                <w:szCs w:val="19"/>
                <w:lang w:eastAsia="en-US"/>
              </w:rPr>
              <w:t>Общо приходи</w:t>
            </w:r>
          </w:p>
        </w:tc>
        <w:tc>
          <w:tcPr>
            <w:tcW w:w="1481" w:type="dxa"/>
            <w:tcBorders>
              <w:top w:val="nil"/>
              <w:left w:val="nil"/>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61A31003" w14:textId="77777777" w:rsidR="00A02919" w:rsidRPr="00F46451" w:rsidRDefault="00A02919" w:rsidP="00062E5C">
            <w:pPr>
              <w:spacing w:line="276" w:lineRule="auto"/>
              <w:rPr>
                <w:b/>
                <w:bCs/>
                <w:sz w:val="18"/>
                <w:szCs w:val="18"/>
                <w:lang w:eastAsia="en-US"/>
              </w:rPr>
            </w:pPr>
            <w:r w:rsidRPr="00F46451">
              <w:rPr>
                <w:b/>
                <w:bCs/>
                <w:sz w:val="18"/>
                <w:szCs w:val="18"/>
                <w:lang w:eastAsia="en-US"/>
              </w:rPr>
              <w:t>TR</w:t>
            </w:r>
          </w:p>
        </w:tc>
        <w:tc>
          <w:tcPr>
            <w:tcW w:w="978" w:type="dxa"/>
            <w:tcBorders>
              <w:top w:val="nil"/>
              <w:left w:val="nil"/>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47AA1DFB" w14:textId="77777777" w:rsidR="00A02919" w:rsidRPr="00F46451" w:rsidRDefault="00A02919" w:rsidP="00062E5C">
            <w:pPr>
              <w:spacing w:line="276" w:lineRule="auto"/>
              <w:jc w:val="right"/>
              <w:rPr>
                <w:b/>
                <w:bCs/>
                <w:sz w:val="19"/>
                <w:szCs w:val="19"/>
                <w:lang w:eastAsia="en-US"/>
              </w:rPr>
            </w:pPr>
            <w:r>
              <w:rPr>
                <w:b/>
                <w:bCs/>
                <w:sz w:val="19"/>
                <w:szCs w:val="19"/>
                <w:lang w:val="en-US" w:eastAsia="en-US"/>
              </w:rPr>
              <w:t>63</w:t>
            </w:r>
            <w:r w:rsidRPr="00F46451">
              <w:rPr>
                <w:b/>
                <w:bCs/>
                <w:sz w:val="19"/>
                <w:szCs w:val="19"/>
                <w:lang w:eastAsia="en-US"/>
              </w:rPr>
              <w:t> 7</w:t>
            </w:r>
            <w:r>
              <w:rPr>
                <w:b/>
                <w:bCs/>
                <w:sz w:val="19"/>
                <w:szCs w:val="19"/>
                <w:lang w:val="en-US" w:eastAsia="en-US"/>
              </w:rPr>
              <w:t>11</w:t>
            </w:r>
            <w:r w:rsidRPr="00F46451">
              <w:rPr>
                <w:b/>
                <w:bCs/>
                <w:sz w:val="19"/>
                <w:szCs w:val="19"/>
                <w:lang w:eastAsia="en-US"/>
              </w:rPr>
              <w:t>,</w:t>
            </w:r>
            <w:r>
              <w:rPr>
                <w:b/>
                <w:bCs/>
                <w:sz w:val="19"/>
                <w:szCs w:val="19"/>
                <w:lang w:val="en-US" w:eastAsia="en-US"/>
              </w:rPr>
              <w:t>2</w:t>
            </w:r>
          </w:p>
        </w:tc>
        <w:tc>
          <w:tcPr>
            <w:tcW w:w="719" w:type="dxa"/>
            <w:tcBorders>
              <w:top w:val="nil"/>
              <w:left w:val="nil"/>
              <w:bottom w:val="double" w:sz="6" w:space="0" w:color="943634"/>
              <w:right w:val="double" w:sz="6" w:space="0" w:color="943634"/>
            </w:tcBorders>
            <w:shd w:val="clear" w:color="auto" w:fill="FFFFCC"/>
            <w:tcMar>
              <w:top w:w="0" w:type="dxa"/>
              <w:left w:w="70" w:type="dxa"/>
              <w:bottom w:w="0" w:type="dxa"/>
              <w:right w:w="70" w:type="dxa"/>
            </w:tcMar>
            <w:vAlign w:val="center"/>
            <w:hideMark/>
          </w:tcPr>
          <w:p w14:paraId="644CF4B5"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3</w:t>
            </w:r>
            <w:r>
              <w:rPr>
                <w:b/>
                <w:bCs/>
                <w:sz w:val="19"/>
                <w:szCs w:val="19"/>
                <w:lang w:val="en-US" w:eastAsia="en-US"/>
              </w:rPr>
              <w:t>8</w:t>
            </w:r>
            <w:r w:rsidRPr="00F46451">
              <w:rPr>
                <w:b/>
                <w:bCs/>
                <w:sz w:val="19"/>
                <w:szCs w:val="19"/>
                <w:lang w:eastAsia="en-US"/>
              </w:rPr>
              <w:t>,</w:t>
            </w:r>
            <w:r>
              <w:rPr>
                <w:b/>
                <w:bCs/>
                <w:sz w:val="19"/>
                <w:szCs w:val="19"/>
                <w:lang w:val="en-US" w:eastAsia="en-US"/>
              </w:rPr>
              <w:t>5</w:t>
            </w:r>
            <w:r w:rsidRPr="00F46451">
              <w:rPr>
                <w:b/>
                <w:bCs/>
                <w:sz w:val="19"/>
                <w:szCs w:val="19"/>
                <w:lang w:eastAsia="en-US"/>
              </w:rPr>
              <w:t xml:space="preserve"> %</w:t>
            </w:r>
          </w:p>
        </w:tc>
      </w:tr>
      <w:tr w:rsidR="00A02919" w:rsidRPr="00F46451" w14:paraId="3FD631EA" w14:textId="77777777" w:rsidTr="00062E5C">
        <w:trPr>
          <w:trHeight w:val="35"/>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63F8A19" w14:textId="77777777" w:rsidR="00A02919" w:rsidRPr="00F46451" w:rsidRDefault="00A02919" w:rsidP="00062E5C">
            <w:pPr>
              <w:spacing w:line="276" w:lineRule="auto"/>
              <w:rPr>
                <w:sz w:val="19"/>
                <w:szCs w:val="19"/>
                <w:lang w:eastAsia="en-US"/>
              </w:rPr>
            </w:pPr>
            <w:r w:rsidRPr="00F46451">
              <w:rPr>
                <w:sz w:val="19"/>
                <w:szCs w:val="19"/>
                <w:lang w:eastAsia="en-US"/>
              </w:rPr>
              <w:t>   Компенсация на наетите лица</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EA19D40" w14:textId="77777777" w:rsidR="00A02919" w:rsidRPr="00F46451" w:rsidRDefault="00A02919" w:rsidP="00062E5C">
            <w:pPr>
              <w:spacing w:line="276" w:lineRule="auto"/>
              <w:rPr>
                <w:sz w:val="18"/>
                <w:szCs w:val="18"/>
                <w:lang w:eastAsia="en-US"/>
              </w:rPr>
            </w:pPr>
            <w:r w:rsidRPr="00F46451">
              <w:rPr>
                <w:sz w:val="18"/>
                <w:szCs w:val="18"/>
                <w:lang w:eastAsia="en-US"/>
              </w:rPr>
              <w:t>D.1</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291A749F" w14:textId="77777777" w:rsidR="00A02919" w:rsidRPr="00F46451" w:rsidRDefault="00A02919" w:rsidP="00062E5C">
            <w:pPr>
              <w:spacing w:line="276" w:lineRule="auto"/>
              <w:jc w:val="right"/>
              <w:rPr>
                <w:sz w:val="19"/>
                <w:szCs w:val="19"/>
                <w:lang w:eastAsia="en-US"/>
              </w:rPr>
            </w:pPr>
            <w:r w:rsidRPr="00F46451">
              <w:rPr>
                <w:sz w:val="19"/>
                <w:szCs w:val="19"/>
                <w:lang w:eastAsia="en-US"/>
              </w:rPr>
              <w:t>1</w:t>
            </w:r>
            <w:r>
              <w:rPr>
                <w:sz w:val="19"/>
                <w:szCs w:val="19"/>
                <w:lang w:val="en-US" w:eastAsia="en-US"/>
              </w:rPr>
              <w:t>6</w:t>
            </w:r>
            <w:r w:rsidRPr="00F46451">
              <w:rPr>
                <w:sz w:val="19"/>
                <w:szCs w:val="19"/>
                <w:lang w:eastAsia="en-US"/>
              </w:rPr>
              <w:t> 5</w:t>
            </w:r>
            <w:r>
              <w:rPr>
                <w:sz w:val="19"/>
                <w:szCs w:val="19"/>
                <w:lang w:val="en-US" w:eastAsia="en-US"/>
              </w:rPr>
              <w:t>43</w:t>
            </w:r>
            <w:r w:rsidRPr="00F46451">
              <w:rPr>
                <w:sz w:val="19"/>
                <w:szCs w:val="19"/>
                <w:lang w:eastAsia="en-US"/>
              </w:rPr>
              <w:t>,</w:t>
            </w:r>
            <w:r>
              <w:rPr>
                <w:sz w:val="19"/>
                <w:szCs w:val="19"/>
                <w:lang w:val="en-US" w:eastAsia="en-US"/>
              </w:rPr>
              <w:t>9</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76F8BF77" w14:textId="77777777" w:rsidR="00A02919" w:rsidRPr="00F46451" w:rsidRDefault="00A02919" w:rsidP="00062E5C">
            <w:pPr>
              <w:spacing w:line="276" w:lineRule="auto"/>
              <w:jc w:val="right"/>
              <w:rPr>
                <w:sz w:val="19"/>
                <w:szCs w:val="19"/>
                <w:lang w:eastAsia="en-US"/>
              </w:rPr>
            </w:pPr>
            <w:r w:rsidRPr="00F46451">
              <w:rPr>
                <w:sz w:val="19"/>
                <w:szCs w:val="19"/>
                <w:lang w:eastAsia="en-US"/>
              </w:rPr>
              <w:t>1</w:t>
            </w:r>
            <w:r>
              <w:rPr>
                <w:sz w:val="19"/>
                <w:szCs w:val="19"/>
                <w:lang w:val="en-US" w:eastAsia="en-US"/>
              </w:rPr>
              <w:t>0</w:t>
            </w:r>
            <w:r w:rsidRPr="00F46451">
              <w:rPr>
                <w:sz w:val="19"/>
                <w:szCs w:val="19"/>
                <w:lang w:eastAsia="en-US"/>
              </w:rPr>
              <w:t>,</w:t>
            </w:r>
            <w:r>
              <w:rPr>
                <w:sz w:val="19"/>
                <w:szCs w:val="19"/>
                <w:lang w:val="en-US" w:eastAsia="en-US"/>
              </w:rPr>
              <w:t>0</w:t>
            </w:r>
            <w:r w:rsidRPr="00F46451">
              <w:rPr>
                <w:sz w:val="19"/>
                <w:szCs w:val="19"/>
                <w:lang w:eastAsia="en-US"/>
              </w:rPr>
              <w:t xml:space="preserve"> %</w:t>
            </w:r>
          </w:p>
        </w:tc>
      </w:tr>
      <w:tr w:rsidR="00A02919" w:rsidRPr="00F46451" w14:paraId="37D0FAE8" w14:textId="77777777" w:rsidTr="00062E5C">
        <w:trPr>
          <w:trHeight w:val="4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745B740" w14:textId="77777777" w:rsidR="00A02919" w:rsidRPr="00F46451" w:rsidRDefault="00A02919" w:rsidP="00062E5C">
            <w:pPr>
              <w:spacing w:line="276" w:lineRule="auto"/>
              <w:rPr>
                <w:sz w:val="19"/>
                <w:szCs w:val="19"/>
                <w:lang w:eastAsia="en-US"/>
              </w:rPr>
            </w:pPr>
            <w:r w:rsidRPr="00F46451">
              <w:rPr>
                <w:sz w:val="19"/>
                <w:szCs w:val="19"/>
                <w:lang w:eastAsia="en-US"/>
              </w:rPr>
              <w:t>   Междинно потребление</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6893D289" w14:textId="77777777" w:rsidR="00A02919" w:rsidRPr="00F46451" w:rsidRDefault="00A02919" w:rsidP="00062E5C">
            <w:pPr>
              <w:spacing w:line="276" w:lineRule="auto"/>
              <w:rPr>
                <w:sz w:val="18"/>
                <w:szCs w:val="18"/>
                <w:lang w:eastAsia="en-US"/>
              </w:rPr>
            </w:pPr>
            <w:r w:rsidRPr="00F46451">
              <w:rPr>
                <w:sz w:val="18"/>
                <w:szCs w:val="18"/>
                <w:lang w:eastAsia="en-US"/>
              </w:rPr>
              <w:t>P.2</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A00CC22" w14:textId="77777777" w:rsidR="00A02919" w:rsidRPr="00F46451" w:rsidRDefault="00A02919" w:rsidP="00062E5C">
            <w:pPr>
              <w:spacing w:line="276" w:lineRule="auto"/>
              <w:jc w:val="right"/>
              <w:rPr>
                <w:sz w:val="19"/>
                <w:szCs w:val="19"/>
                <w:lang w:eastAsia="en-US"/>
              </w:rPr>
            </w:pPr>
            <w:r>
              <w:rPr>
                <w:sz w:val="19"/>
                <w:szCs w:val="19"/>
                <w:lang w:val="en-US" w:eastAsia="en-US"/>
              </w:rPr>
              <w:t>8</w:t>
            </w:r>
            <w:r w:rsidRPr="00F46451">
              <w:rPr>
                <w:sz w:val="19"/>
                <w:szCs w:val="19"/>
                <w:lang w:eastAsia="en-US"/>
              </w:rPr>
              <w:t> </w:t>
            </w:r>
            <w:r>
              <w:rPr>
                <w:sz w:val="19"/>
                <w:szCs w:val="19"/>
                <w:lang w:val="en-US" w:eastAsia="en-US"/>
              </w:rPr>
              <w:t>802</w:t>
            </w:r>
            <w:r w:rsidRPr="00F46451">
              <w:rPr>
                <w:sz w:val="19"/>
                <w:szCs w:val="19"/>
                <w:lang w:eastAsia="en-US"/>
              </w:rPr>
              <w:t>,</w:t>
            </w:r>
            <w:r>
              <w:rPr>
                <w:sz w:val="19"/>
                <w:szCs w:val="19"/>
                <w:lang w:val="en-US" w:eastAsia="en-US"/>
              </w:rPr>
              <w:t>3</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5BA3D937" w14:textId="77777777" w:rsidR="00A02919" w:rsidRPr="00F46451" w:rsidRDefault="00A02919" w:rsidP="00062E5C">
            <w:pPr>
              <w:spacing w:line="276" w:lineRule="auto"/>
              <w:jc w:val="right"/>
              <w:rPr>
                <w:sz w:val="19"/>
                <w:szCs w:val="19"/>
                <w:lang w:eastAsia="en-US"/>
              </w:rPr>
            </w:pPr>
            <w:r w:rsidRPr="00F46451">
              <w:rPr>
                <w:sz w:val="19"/>
                <w:szCs w:val="19"/>
                <w:lang w:eastAsia="en-US"/>
              </w:rPr>
              <w:t>5,</w:t>
            </w:r>
            <w:r>
              <w:rPr>
                <w:sz w:val="19"/>
                <w:szCs w:val="19"/>
                <w:lang w:val="en-US" w:eastAsia="en-US"/>
              </w:rPr>
              <w:t>3</w:t>
            </w:r>
            <w:r w:rsidRPr="00F46451">
              <w:rPr>
                <w:sz w:val="19"/>
                <w:szCs w:val="19"/>
                <w:lang w:eastAsia="en-US"/>
              </w:rPr>
              <w:t xml:space="preserve"> %</w:t>
            </w:r>
          </w:p>
        </w:tc>
      </w:tr>
      <w:tr w:rsidR="00A02919" w:rsidRPr="00F46451" w14:paraId="6B868DD4"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noWrap/>
            <w:tcMar>
              <w:top w:w="0" w:type="dxa"/>
              <w:left w:w="70" w:type="dxa"/>
              <w:bottom w:w="0" w:type="dxa"/>
              <w:right w:w="70" w:type="dxa"/>
            </w:tcMar>
            <w:vAlign w:val="center"/>
            <w:hideMark/>
          </w:tcPr>
          <w:p w14:paraId="67366DA5" w14:textId="77777777" w:rsidR="00A02919" w:rsidRPr="00F46451" w:rsidRDefault="00A02919" w:rsidP="00062E5C">
            <w:pPr>
              <w:spacing w:line="276" w:lineRule="auto"/>
              <w:rPr>
                <w:sz w:val="19"/>
                <w:szCs w:val="19"/>
                <w:lang w:eastAsia="en-US"/>
              </w:rPr>
            </w:pPr>
            <w:r w:rsidRPr="00F46451">
              <w:rPr>
                <w:sz w:val="19"/>
                <w:szCs w:val="19"/>
                <w:lang w:eastAsia="en-US"/>
              </w:rPr>
              <w:t xml:space="preserve">   Общо социални трансфери </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2E194B34" w14:textId="77777777" w:rsidR="00A02919" w:rsidRPr="00F46451" w:rsidRDefault="00A02919" w:rsidP="00062E5C">
            <w:pPr>
              <w:spacing w:line="276" w:lineRule="auto"/>
              <w:rPr>
                <w:sz w:val="18"/>
                <w:szCs w:val="18"/>
                <w:lang w:val="en-US" w:eastAsia="en-US"/>
              </w:rPr>
            </w:pPr>
            <w:r w:rsidRPr="00F46451">
              <w:rPr>
                <w:sz w:val="18"/>
                <w:szCs w:val="18"/>
                <w:lang w:val="en-US" w:eastAsia="en-US"/>
              </w:rPr>
              <w:t>D.6</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B66D1D3" w14:textId="77777777" w:rsidR="00A02919" w:rsidRPr="00F46451" w:rsidRDefault="00A02919" w:rsidP="00062E5C">
            <w:pPr>
              <w:spacing w:line="276" w:lineRule="auto"/>
              <w:jc w:val="right"/>
              <w:rPr>
                <w:sz w:val="19"/>
                <w:szCs w:val="19"/>
                <w:lang w:eastAsia="en-US"/>
              </w:rPr>
            </w:pPr>
            <w:r w:rsidRPr="00F46451">
              <w:rPr>
                <w:sz w:val="19"/>
                <w:szCs w:val="19"/>
                <w:lang w:eastAsia="en-US"/>
              </w:rPr>
              <w:t>2</w:t>
            </w:r>
            <w:r>
              <w:rPr>
                <w:sz w:val="19"/>
                <w:szCs w:val="19"/>
                <w:lang w:val="en-US" w:eastAsia="en-US"/>
              </w:rPr>
              <w:t>4</w:t>
            </w:r>
            <w:r w:rsidRPr="00F46451">
              <w:rPr>
                <w:sz w:val="19"/>
                <w:szCs w:val="19"/>
                <w:lang w:eastAsia="en-US"/>
              </w:rPr>
              <w:t> </w:t>
            </w:r>
            <w:r>
              <w:rPr>
                <w:sz w:val="19"/>
                <w:szCs w:val="19"/>
                <w:lang w:val="en-US" w:eastAsia="en-US"/>
              </w:rPr>
              <w:t>689</w:t>
            </w:r>
            <w:r w:rsidRPr="00F46451">
              <w:rPr>
                <w:sz w:val="19"/>
                <w:szCs w:val="19"/>
                <w:lang w:eastAsia="en-US"/>
              </w:rPr>
              <w:t>,</w:t>
            </w:r>
            <w:r>
              <w:rPr>
                <w:sz w:val="19"/>
                <w:szCs w:val="19"/>
                <w:lang w:val="en-US" w:eastAsia="en-US"/>
              </w:rPr>
              <w:t>3</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528C4D83" w14:textId="77777777" w:rsidR="00A02919" w:rsidRPr="00F46451" w:rsidRDefault="00A02919" w:rsidP="00062E5C">
            <w:pPr>
              <w:spacing w:line="276" w:lineRule="auto"/>
              <w:jc w:val="right"/>
              <w:rPr>
                <w:sz w:val="19"/>
                <w:szCs w:val="19"/>
                <w:lang w:eastAsia="en-US"/>
              </w:rPr>
            </w:pPr>
            <w:r w:rsidRPr="00F46451">
              <w:rPr>
                <w:sz w:val="19"/>
                <w:szCs w:val="19"/>
                <w:lang w:eastAsia="en-US"/>
              </w:rPr>
              <w:t>1</w:t>
            </w:r>
            <w:r>
              <w:rPr>
                <w:sz w:val="19"/>
                <w:szCs w:val="19"/>
                <w:lang w:val="en-US" w:eastAsia="en-US"/>
              </w:rPr>
              <w:t>4</w:t>
            </w:r>
            <w:r w:rsidRPr="00F46451">
              <w:rPr>
                <w:sz w:val="19"/>
                <w:szCs w:val="19"/>
                <w:lang w:eastAsia="en-US"/>
              </w:rPr>
              <w:t>,</w:t>
            </w:r>
            <w:r>
              <w:rPr>
                <w:sz w:val="19"/>
                <w:szCs w:val="19"/>
                <w:lang w:val="en-US" w:eastAsia="en-US"/>
              </w:rPr>
              <w:t>9</w:t>
            </w:r>
            <w:r w:rsidRPr="00F46451">
              <w:rPr>
                <w:sz w:val="19"/>
                <w:szCs w:val="19"/>
                <w:lang w:eastAsia="en-US"/>
              </w:rPr>
              <w:t xml:space="preserve"> %</w:t>
            </w:r>
          </w:p>
        </w:tc>
      </w:tr>
      <w:tr w:rsidR="00A02919" w:rsidRPr="00F46451" w14:paraId="19D17068"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23FBE5CB" w14:textId="77777777" w:rsidR="00A02919" w:rsidRPr="00F46451" w:rsidRDefault="00A02919" w:rsidP="00062E5C">
            <w:pPr>
              <w:spacing w:line="276" w:lineRule="auto"/>
              <w:rPr>
                <w:sz w:val="19"/>
                <w:szCs w:val="19"/>
                <w:lang w:eastAsia="en-US"/>
              </w:rPr>
            </w:pPr>
            <w:r w:rsidRPr="00F46451">
              <w:rPr>
                <w:sz w:val="19"/>
                <w:szCs w:val="19"/>
                <w:lang w:eastAsia="en-US"/>
              </w:rPr>
              <w:t>        Социални трансфери в натура</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1AB6641" w14:textId="77777777" w:rsidR="00A02919" w:rsidRPr="00F46451" w:rsidRDefault="00A02919" w:rsidP="00062E5C">
            <w:pPr>
              <w:spacing w:line="276" w:lineRule="auto"/>
              <w:rPr>
                <w:sz w:val="18"/>
                <w:szCs w:val="18"/>
                <w:lang w:eastAsia="en-US"/>
              </w:rPr>
            </w:pPr>
            <w:r w:rsidRPr="00F46451">
              <w:rPr>
                <w:sz w:val="18"/>
                <w:szCs w:val="18"/>
                <w:lang w:eastAsia="en-US"/>
              </w:rPr>
              <w:t xml:space="preserve">D.63 </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77E865B" w14:textId="77777777" w:rsidR="00A02919" w:rsidRPr="00F46451" w:rsidRDefault="00A02919" w:rsidP="00062E5C">
            <w:pPr>
              <w:spacing w:line="276" w:lineRule="auto"/>
              <w:jc w:val="right"/>
              <w:rPr>
                <w:sz w:val="19"/>
                <w:szCs w:val="19"/>
                <w:lang w:eastAsia="en-US"/>
              </w:rPr>
            </w:pPr>
            <w:r>
              <w:rPr>
                <w:sz w:val="19"/>
                <w:szCs w:val="19"/>
                <w:lang w:val="en-US" w:eastAsia="en-US"/>
              </w:rPr>
              <w:t>4</w:t>
            </w:r>
            <w:r w:rsidRPr="00F46451">
              <w:rPr>
                <w:sz w:val="19"/>
                <w:szCs w:val="19"/>
                <w:lang w:eastAsia="en-US"/>
              </w:rPr>
              <w:t> </w:t>
            </w:r>
            <w:r>
              <w:rPr>
                <w:sz w:val="19"/>
                <w:szCs w:val="19"/>
                <w:lang w:val="en-US" w:eastAsia="en-US"/>
              </w:rPr>
              <w:t>671</w:t>
            </w:r>
            <w:r w:rsidRPr="00F46451">
              <w:rPr>
                <w:sz w:val="19"/>
                <w:szCs w:val="19"/>
                <w:lang w:eastAsia="en-US"/>
              </w:rPr>
              <w:t>,</w:t>
            </w:r>
            <w:r>
              <w:rPr>
                <w:sz w:val="19"/>
                <w:szCs w:val="19"/>
                <w:lang w:val="en-US" w:eastAsia="en-US"/>
              </w:rPr>
              <w:t>2</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4BF53A7B" w14:textId="77777777" w:rsidR="00A02919" w:rsidRPr="00F46451" w:rsidRDefault="00A02919" w:rsidP="00062E5C">
            <w:pPr>
              <w:spacing w:line="276" w:lineRule="auto"/>
              <w:jc w:val="right"/>
              <w:rPr>
                <w:sz w:val="19"/>
                <w:szCs w:val="19"/>
                <w:lang w:eastAsia="en-US"/>
              </w:rPr>
            </w:pPr>
            <w:r w:rsidRPr="00F46451">
              <w:rPr>
                <w:sz w:val="19"/>
                <w:szCs w:val="19"/>
                <w:lang w:eastAsia="en-US"/>
              </w:rPr>
              <w:t>2,</w:t>
            </w:r>
            <w:r>
              <w:rPr>
                <w:sz w:val="19"/>
                <w:szCs w:val="19"/>
                <w:lang w:val="en-US" w:eastAsia="en-US"/>
              </w:rPr>
              <w:t>8</w:t>
            </w:r>
            <w:r w:rsidRPr="00F46451">
              <w:rPr>
                <w:sz w:val="19"/>
                <w:szCs w:val="19"/>
                <w:lang w:eastAsia="en-US"/>
              </w:rPr>
              <w:t xml:space="preserve"> %</w:t>
            </w:r>
          </w:p>
        </w:tc>
      </w:tr>
      <w:tr w:rsidR="00A02919" w:rsidRPr="00F46451" w14:paraId="245F7BBE"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2D1F297" w14:textId="77777777" w:rsidR="00A02919" w:rsidRPr="00F46451" w:rsidRDefault="00A02919" w:rsidP="00062E5C">
            <w:pPr>
              <w:spacing w:line="276" w:lineRule="auto"/>
              <w:rPr>
                <w:sz w:val="19"/>
                <w:szCs w:val="19"/>
                <w:lang w:eastAsia="en-US"/>
              </w:rPr>
            </w:pPr>
            <w:r w:rsidRPr="00F46451">
              <w:rPr>
                <w:sz w:val="19"/>
                <w:szCs w:val="19"/>
                <w:lang w:eastAsia="en-US"/>
              </w:rPr>
              <w:t>        Социални трансфери без тези в натура</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B545629" w14:textId="77777777" w:rsidR="00A02919" w:rsidRPr="00F46451" w:rsidRDefault="00A02919" w:rsidP="00062E5C">
            <w:pPr>
              <w:spacing w:line="276" w:lineRule="auto"/>
              <w:rPr>
                <w:sz w:val="18"/>
                <w:szCs w:val="18"/>
                <w:lang w:eastAsia="en-US"/>
              </w:rPr>
            </w:pPr>
            <w:r w:rsidRPr="00F46451">
              <w:rPr>
                <w:sz w:val="18"/>
                <w:szCs w:val="18"/>
                <w:lang w:eastAsia="en-US"/>
              </w:rPr>
              <w:t>D.62</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D7A2B6E" w14:textId="77777777" w:rsidR="00A02919" w:rsidRPr="00F46451" w:rsidRDefault="00A02919" w:rsidP="00062E5C">
            <w:pPr>
              <w:spacing w:line="276" w:lineRule="auto"/>
              <w:jc w:val="right"/>
              <w:rPr>
                <w:sz w:val="19"/>
                <w:szCs w:val="19"/>
                <w:lang w:eastAsia="en-US"/>
              </w:rPr>
            </w:pPr>
            <w:r>
              <w:rPr>
                <w:sz w:val="19"/>
                <w:szCs w:val="19"/>
                <w:lang w:val="en-US" w:eastAsia="en-US"/>
              </w:rPr>
              <w:t>20</w:t>
            </w:r>
            <w:r w:rsidRPr="00F46451">
              <w:rPr>
                <w:sz w:val="19"/>
                <w:szCs w:val="19"/>
                <w:lang w:eastAsia="en-US"/>
              </w:rPr>
              <w:t> </w:t>
            </w:r>
            <w:r>
              <w:rPr>
                <w:sz w:val="19"/>
                <w:szCs w:val="19"/>
                <w:lang w:val="en-US" w:eastAsia="en-US"/>
              </w:rPr>
              <w:t>018</w:t>
            </w:r>
            <w:r w:rsidRPr="00F46451">
              <w:rPr>
                <w:sz w:val="19"/>
                <w:szCs w:val="19"/>
                <w:lang w:eastAsia="en-US"/>
              </w:rPr>
              <w:t>,</w:t>
            </w:r>
            <w:r>
              <w:rPr>
                <w:sz w:val="19"/>
                <w:szCs w:val="19"/>
                <w:lang w:val="en-US" w:eastAsia="en-US"/>
              </w:rPr>
              <w:t>1</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22E0C7D8" w14:textId="77777777" w:rsidR="00A02919" w:rsidRPr="00F46451" w:rsidRDefault="00A02919" w:rsidP="00062E5C">
            <w:pPr>
              <w:spacing w:line="276" w:lineRule="auto"/>
              <w:jc w:val="right"/>
              <w:rPr>
                <w:sz w:val="19"/>
                <w:szCs w:val="19"/>
                <w:lang w:eastAsia="en-US"/>
              </w:rPr>
            </w:pPr>
            <w:r w:rsidRPr="00F46451">
              <w:rPr>
                <w:sz w:val="19"/>
                <w:szCs w:val="19"/>
                <w:lang w:eastAsia="en-US"/>
              </w:rPr>
              <w:t>12,</w:t>
            </w:r>
            <w:r>
              <w:rPr>
                <w:sz w:val="19"/>
                <w:szCs w:val="19"/>
                <w:lang w:val="en-US" w:eastAsia="en-US"/>
              </w:rPr>
              <w:t>1</w:t>
            </w:r>
            <w:r w:rsidRPr="00F46451">
              <w:rPr>
                <w:sz w:val="19"/>
                <w:szCs w:val="19"/>
                <w:lang w:eastAsia="en-US"/>
              </w:rPr>
              <w:t xml:space="preserve"> %</w:t>
            </w:r>
          </w:p>
        </w:tc>
      </w:tr>
      <w:tr w:rsidR="00A02919" w:rsidRPr="00F46451" w14:paraId="6C902397"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E1AEC6E" w14:textId="77777777" w:rsidR="00A02919" w:rsidRPr="00F46451" w:rsidRDefault="00A02919" w:rsidP="00062E5C">
            <w:pPr>
              <w:spacing w:line="276" w:lineRule="auto"/>
              <w:rPr>
                <w:sz w:val="19"/>
                <w:szCs w:val="19"/>
                <w:lang w:eastAsia="en-US"/>
              </w:rPr>
            </w:pPr>
            <w:r w:rsidRPr="00F46451">
              <w:rPr>
                <w:sz w:val="19"/>
                <w:szCs w:val="19"/>
                <w:lang w:eastAsia="en-US"/>
              </w:rPr>
              <w:t>   Лихвени разходи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69ED31F1" w14:textId="77777777" w:rsidR="00A02919" w:rsidRPr="00F46451" w:rsidRDefault="00A02919" w:rsidP="00062E5C">
            <w:pPr>
              <w:spacing w:line="276" w:lineRule="auto"/>
              <w:rPr>
                <w:sz w:val="18"/>
                <w:szCs w:val="18"/>
                <w:lang w:eastAsia="en-US"/>
              </w:rPr>
            </w:pPr>
            <w:r w:rsidRPr="00F46451">
              <w:rPr>
                <w:sz w:val="18"/>
                <w:szCs w:val="18"/>
                <w:lang w:eastAsia="en-US"/>
              </w:rPr>
              <w:t>D.41</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BA1DFAA" w14:textId="77777777" w:rsidR="00A02919" w:rsidRPr="00F46451" w:rsidRDefault="00A02919" w:rsidP="00062E5C">
            <w:pPr>
              <w:spacing w:line="276" w:lineRule="auto"/>
              <w:jc w:val="right"/>
              <w:rPr>
                <w:sz w:val="19"/>
                <w:szCs w:val="19"/>
                <w:lang w:eastAsia="en-US"/>
              </w:rPr>
            </w:pPr>
            <w:r>
              <w:rPr>
                <w:sz w:val="19"/>
                <w:szCs w:val="19"/>
                <w:lang w:val="en-US" w:eastAsia="en-US"/>
              </w:rPr>
              <w:t>770</w:t>
            </w:r>
            <w:r w:rsidRPr="00F46451">
              <w:rPr>
                <w:sz w:val="19"/>
                <w:szCs w:val="19"/>
                <w:lang w:eastAsia="en-US"/>
              </w:rPr>
              <w:t>,</w:t>
            </w:r>
            <w:r>
              <w:rPr>
                <w:sz w:val="19"/>
                <w:szCs w:val="19"/>
                <w:lang w:val="en-US" w:eastAsia="en-US"/>
              </w:rPr>
              <w:t>4</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1C0E52EE" w14:textId="77777777" w:rsidR="00A02919" w:rsidRPr="00F46451" w:rsidRDefault="00A02919" w:rsidP="00062E5C">
            <w:pPr>
              <w:spacing w:line="276" w:lineRule="auto"/>
              <w:jc w:val="right"/>
              <w:rPr>
                <w:sz w:val="19"/>
                <w:szCs w:val="19"/>
                <w:lang w:eastAsia="en-US"/>
              </w:rPr>
            </w:pPr>
            <w:r w:rsidRPr="00F46451">
              <w:rPr>
                <w:sz w:val="19"/>
                <w:szCs w:val="19"/>
                <w:lang w:eastAsia="en-US"/>
              </w:rPr>
              <w:t>0,5 %</w:t>
            </w:r>
          </w:p>
        </w:tc>
      </w:tr>
      <w:tr w:rsidR="00A02919" w:rsidRPr="00F46451" w14:paraId="58607B0C" w14:textId="77777777" w:rsidTr="00062E5C">
        <w:trPr>
          <w:trHeight w:val="60"/>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0B23B5C" w14:textId="77777777" w:rsidR="00A02919" w:rsidRPr="00F46451" w:rsidRDefault="00A02919" w:rsidP="00062E5C">
            <w:pPr>
              <w:spacing w:line="276" w:lineRule="auto"/>
              <w:rPr>
                <w:sz w:val="19"/>
                <w:szCs w:val="19"/>
                <w:lang w:eastAsia="en-US"/>
              </w:rPr>
            </w:pPr>
            <w:r w:rsidRPr="00F46451">
              <w:rPr>
                <w:sz w:val="19"/>
                <w:szCs w:val="19"/>
                <w:lang w:eastAsia="en-US"/>
              </w:rPr>
              <w:t>   Субсидии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09C1AA8" w14:textId="77777777" w:rsidR="00A02919" w:rsidRPr="00F46451" w:rsidRDefault="00A02919" w:rsidP="00062E5C">
            <w:pPr>
              <w:spacing w:line="276" w:lineRule="auto"/>
              <w:rPr>
                <w:sz w:val="18"/>
                <w:szCs w:val="18"/>
                <w:lang w:eastAsia="en-US"/>
              </w:rPr>
            </w:pPr>
            <w:r w:rsidRPr="00F46451">
              <w:rPr>
                <w:sz w:val="18"/>
                <w:szCs w:val="18"/>
                <w:lang w:eastAsia="en-US"/>
              </w:rPr>
              <w:t>D.3</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7FB75799" w14:textId="77777777" w:rsidR="00A02919" w:rsidRPr="00F46451" w:rsidRDefault="00A02919" w:rsidP="00062E5C">
            <w:pPr>
              <w:spacing w:line="276" w:lineRule="auto"/>
              <w:jc w:val="right"/>
              <w:rPr>
                <w:sz w:val="19"/>
                <w:szCs w:val="19"/>
                <w:lang w:eastAsia="en-US"/>
              </w:rPr>
            </w:pPr>
            <w:r>
              <w:rPr>
                <w:sz w:val="19"/>
                <w:szCs w:val="19"/>
                <w:lang w:val="en-US" w:eastAsia="en-US"/>
              </w:rPr>
              <w:t>8</w:t>
            </w:r>
            <w:r w:rsidRPr="00F46451">
              <w:rPr>
                <w:sz w:val="19"/>
                <w:szCs w:val="19"/>
                <w:lang w:eastAsia="en-US"/>
              </w:rPr>
              <w:t> </w:t>
            </w:r>
            <w:r>
              <w:rPr>
                <w:sz w:val="19"/>
                <w:szCs w:val="19"/>
                <w:lang w:val="en-US" w:eastAsia="en-US"/>
              </w:rPr>
              <w:t>362</w:t>
            </w:r>
            <w:r w:rsidRPr="00F46451">
              <w:rPr>
                <w:sz w:val="19"/>
                <w:szCs w:val="19"/>
                <w:lang w:eastAsia="en-US"/>
              </w:rPr>
              <w:t>,</w:t>
            </w:r>
            <w:r>
              <w:rPr>
                <w:sz w:val="19"/>
                <w:szCs w:val="19"/>
                <w:lang w:val="en-US" w:eastAsia="en-US"/>
              </w:rPr>
              <w:t>8</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37A88E1B" w14:textId="77777777" w:rsidR="00A02919" w:rsidRPr="00F46451" w:rsidRDefault="00A02919" w:rsidP="00062E5C">
            <w:pPr>
              <w:spacing w:line="276" w:lineRule="auto"/>
              <w:jc w:val="right"/>
              <w:rPr>
                <w:sz w:val="19"/>
                <w:szCs w:val="19"/>
                <w:lang w:eastAsia="en-US"/>
              </w:rPr>
            </w:pPr>
            <w:r>
              <w:rPr>
                <w:sz w:val="19"/>
                <w:szCs w:val="19"/>
                <w:lang w:val="en-US" w:eastAsia="en-US"/>
              </w:rPr>
              <w:t>5</w:t>
            </w:r>
            <w:r w:rsidRPr="00F46451">
              <w:rPr>
                <w:sz w:val="19"/>
                <w:szCs w:val="19"/>
                <w:lang w:eastAsia="en-US"/>
              </w:rPr>
              <w:t>,</w:t>
            </w:r>
            <w:r>
              <w:rPr>
                <w:sz w:val="19"/>
                <w:szCs w:val="19"/>
                <w:lang w:val="en-US" w:eastAsia="en-US"/>
              </w:rPr>
              <w:t>1</w:t>
            </w:r>
            <w:r w:rsidRPr="00F46451">
              <w:rPr>
                <w:sz w:val="19"/>
                <w:szCs w:val="19"/>
                <w:lang w:eastAsia="en-US"/>
              </w:rPr>
              <w:t xml:space="preserve"> %</w:t>
            </w:r>
          </w:p>
        </w:tc>
      </w:tr>
      <w:tr w:rsidR="00A02919" w:rsidRPr="00F46451" w14:paraId="771E49EE" w14:textId="77777777" w:rsidTr="00062E5C">
        <w:trPr>
          <w:trHeight w:val="4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85D6204" w14:textId="77777777" w:rsidR="00A02919" w:rsidRPr="00F46451" w:rsidRDefault="00A02919" w:rsidP="00062E5C">
            <w:pPr>
              <w:spacing w:line="276" w:lineRule="auto"/>
              <w:rPr>
                <w:sz w:val="19"/>
                <w:szCs w:val="19"/>
                <w:lang w:eastAsia="en-US"/>
              </w:rPr>
            </w:pPr>
            <w:r w:rsidRPr="00F46451">
              <w:rPr>
                <w:sz w:val="19"/>
                <w:szCs w:val="19"/>
                <w:lang w:eastAsia="en-US"/>
              </w:rPr>
              <w:t>   Бруто образуване на основен капитал</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185E117" w14:textId="77777777" w:rsidR="00A02919" w:rsidRPr="00F46451" w:rsidRDefault="00A02919" w:rsidP="00062E5C">
            <w:pPr>
              <w:spacing w:line="276" w:lineRule="auto"/>
              <w:rPr>
                <w:sz w:val="18"/>
                <w:szCs w:val="18"/>
                <w:lang w:eastAsia="en-US"/>
              </w:rPr>
            </w:pPr>
            <w:r w:rsidRPr="00F46451">
              <w:rPr>
                <w:sz w:val="18"/>
                <w:szCs w:val="18"/>
                <w:lang w:eastAsia="en-US"/>
              </w:rPr>
              <w:t>P.51</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818D439" w14:textId="77777777" w:rsidR="00A02919" w:rsidRPr="00F46451" w:rsidRDefault="00A02919" w:rsidP="00062E5C">
            <w:pPr>
              <w:spacing w:line="276" w:lineRule="auto"/>
              <w:jc w:val="right"/>
              <w:rPr>
                <w:sz w:val="19"/>
                <w:szCs w:val="19"/>
                <w:lang w:eastAsia="en-US"/>
              </w:rPr>
            </w:pPr>
            <w:r>
              <w:rPr>
                <w:sz w:val="19"/>
                <w:szCs w:val="19"/>
                <w:lang w:val="en-US" w:eastAsia="en-US"/>
              </w:rPr>
              <w:t>5</w:t>
            </w:r>
            <w:r w:rsidRPr="00F46451">
              <w:rPr>
                <w:sz w:val="19"/>
                <w:szCs w:val="19"/>
                <w:lang w:eastAsia="en-US"/>
              </w:rPr>
              <w:t> </w:t>
            </w:r>
            <w:r>
              <w:rPr>
                <w:sz w:val="19"/>
                <w:szCs w:val="19"/>
                <w:lang w:val="en-US" w:eastAsia="en-US"/>
              </w:rPr>
              <w:t>035</w:t>
            </w:r>
            <w:r w:rsidRPr="00F46451">
              <w:rPr>
                <w:sz w:val="19"/>
                <w:szCs w:val="19"/>
                <w:lang w:eastAsia="en-US"/>
              </w:rPr>
              <w:t>,</w:t>
            </w:r>
            <w:r>
              <w:rPr>
                <w:sz w:val="19"/>
                <w:szCs w:val="19"/>
                <w:lang w:val="en-US" w:eastAsia="en-US"/>
              </w:rPr>
              <w:t>8</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3B925045" w14:textId="77777777" w:rsidR="00A02919" w:rsidRPr="00F46451" w:rsidRDefault="00A02919" w:rsidP="00062E5C">
            <w:pPr>
              <w:spacing w:line="276" w:lineRule="auto"/>
              <w:jc w:val="right"/>
              <w:rPr>
                <w:sz w:val="19"/>
                <w:szCs w:val="19"/>
                <w:lang w:eastAsia="en-US"/>
              </w:rPr>
            </w:pPr>
            <w:r w:rsidRPr="00F46451">
              <w:rPr>
                <w:sz w:val="19"/>
                <w:szCs w:val="19"/>
                <w:lang w:eastAsia="en-US"/>
              </w:rPr>
              <w:t>3,</w:t>
            </w:r>
            <w:r>
              <w:rPr>
                <w:sz w:val="19"/>
                <w:szCs w:val="19"/>
                <w:lang w:val="en-US" w:eastAsia="en-US"/>
              </w:rPr>
              <w:t>0</w:t>
            </w:r>
            <w:r w:rsidRPr="00F46451">
              <w:rPr>
                <w:sz w:val="19"/>
                <w:szCs w:val="19"/>
                <w:lang w:eastAsia="en-US"/>
              </w:rPr>
              <w:t xml:space="preserve"> %</w:t>
            </w:r>
          </w:p>
        </w:tc>
      </w:tr>
      <w:tr w:rsidR="00A02919" w:rsidRPr="00F46451" w14:paraId="728A7E53" w14:textId="77777777" w:rsidTr="00062E5C">
        <w:trPr>
          <w:trHeight w:val="4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60073655" w14:textId="77777777" w:rsidR="00A02919" w:rsidRPr="00F46451" w:rsidRDefault="00A02919" w:rsidP="00062E5C">
            <w:pPr>
              <w:spacing w:line="276" w:lineRule="auto"/>
              <w:rPr>
                <w:sz w:val="19"/>
                <w:szCs w:val="19"/>
                <w:lang w:eastAsia="en-US"/>
              </w:rPr>
            </w:pPr>
            <w:r w:rsidRPr="00F46451">
              <w:rPr>
                <w:sz w:val="19"/>
                <w:szCs w:val="19"/>
                <w:lang w:eastAsia="en-US"/>
              </w:rPr>
              <w:t>   Капиталови трансфери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0FBC32EC" w14:textId="77777777" w:rsidR="00A02919" w:rsidRPr="00F46451" w:rsidRDefault="00A02919" w:rsidP="00062E5C">
            <w:pPr>
              <w:spacing w:line="276" w:lineRule="auto"/>
              <w:rPr>
                <w:sz w:val="18"/>
                <w:szCs w:val="18"/>
                <w:lang w:eastAsia="en-US"/>
              </w:rPr>
            </w:pPr>
            <w:r w:rsidRPr="00F46451">
              <w:rPr>
                <w:sz w:val="18"/>
                <w:szCs w:val="18"/>
                <w:lang w:eastAsia="en-US"/>
              </w:rPr>
              <w:t>D.9</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1FA4B9F" w14:textId="77777777" w:rsidR="00A02919" w:rsidRPr="00F46451" w:rsidRDefault="00A02919" w:rsidP="00062E5C">
            <w:pPr>
              <w:spacing w:line="276" w:lineRule="auto"/>
              <w:jc w:val="right"/>
              <w:rPr>
                <w:sz w:val="19"/>
                <w:szCs w:val="19"/>
                <w:lang w:eastAsia="en-US"/>
              </w:rPr>
            </w:pPr>
            <w:r w:rsidRPr="00F46451">
              <w:rPr>
                <w:sz w:val="19"/>
                <w:szCs w:val="19"/>
                <w:lang w:eastAsia="en-US"/>
              </w:rPr>
              <w:t> </w:t>
            </w:r>
            <w:r>
              <w:rPr>
                <w:sz w:val="19"/>
                <w:szCs w:val="19"/>
                <w:lang w:val="en-US" w:eastAsia="en-US"/>
              </w:rPr>
              <w:t>817</w:t>
            </w:r>
            <w:r w:rsidRPr="00F46451">
              <w:rPr>
                <w:sz w:val="19"/>
                <w:szCs w:val="19"/>
                <w:lang w:eastAsia="en-US"/>
              </w:rPr>
              <w:t>,</w:t>
            </w:r>
            <w:r>
              <w:rPr>
                <w:sz w:val="19"/>
                <w:szCs w:val="19"/>
                <w:lang w:val="en-US" w:eastAsia="en-US"/>
              </w:rPr>
              <w:t>3</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3A33DBF8" w14:textId="77777777" w:rsidR="00A02919" w:rsidRPr="00F46451" w:rsidRDefault="00A02919" w:rsidP="00062E5C">
            <w:pPr>
              <w:spacing w:line="276" w:lineRule="auto"/>
              <w:jc w:val="right"/>
              <w:rPr>
                <w:sz w:val="19"/>
                <w:szCs w:val="19"/>
                <w:lang w:eastAsia="en-US"/>
              </w:rPr>
            </w:pPr>
            <w:r w:rsidRPr="00F46451">
              <w:rPr>
                <w:sz w:val="19"/>
                <w:szCs w:val="19"/>
                <w:lang w:eastAsia="en-US"/>
              </w:rPr>
              <w:t>0,</w:t>
            </w:r>
            <w:r>
              <w:rPr>
                <w:sz w:val="19"/>
                <w:szCs w:val="19"/>
                <w:lang w:val="en-US" w:eastAsia="en-US"/>
              </w:rPr>
              <w:t>5</w:t>
            </w:r>
            <w:r w:rsidRPr="00F46451">
              <w:rPr>
                <w:sz w:val="19"/>
                <w:szCs w:val="19"/>
                <w:lang w:eastAsia="en-US"/>
              </w:rPr>
              <w:t xml:space="preserve"> %</w:t>
            </w:r>
          </w:p>
        </w:tc>
      </w:tr>
      <w:tr w:rsidR="00A02919" w:rsidRPr="00F46451" w14:paraId="7671F132" w14:textId="77777777" w:rsidTr="00062E5C">
        <w:trPr>
          <w:trHeight w:val="48"/>
          <w:jc w:val="center"/>
        </w:trPr>
        <w:tc>
          <w:tcPr>
            <w:tcW w:w="4596" w:type="dxa"/>
            <w:tcBorders>
              <w:top w:val="nil"/>
              <w:left w:val="double" w:sz="6" w:space="0" w:color="943634"/>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461D3010" w14:textId="77777777" w:rsidR="00A02919" w:rsidRPr="00F46451" w:rsidRDefault="00A02919" w:rsidP="00062E5C">
            <w:pPr>
              <w:spacing w:line="276" w:lineRule="auto"/>
              <w:rPr>
                <w:sz w:val="19"/>
                <w:szCs w:val="19"/>
                <w:lang w:eastAsia="en-US"/>
              </w:rPr>
            </w:pPr>
            <w:r w:rsidRPr="00F46451">
              <w:rPr>
                <w:sz w:val="19"/>
                <w:szCs w:val="19"/>
                <w:lang w:eastAsia="en-US"/>
              </w:rPr>
              <w:t>   Други</w:t>
            </w:r>
          </w:p>
        </w:tc>
        <w:tc>
          <w:tcPr>
            <w:tcW w:w="1481"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68C99DAB" w14:textId="77777777" w:rsidR="00A02919" w:rsidRPr="00F46451" w:rsidRDefault="00A02919" w:rsidP="00062E5C">
            <w:pPr>
              <w:spacing w:line="276" w:lineRule="auto"/>
              <w:rPr>
                <w:sz w:val="18"/>
                <w:szCs w:val="18"/>
                <w:lang w:eastAsia="en-US"/>
              </w:rPr>
            </w:pPr>
            <w:r w:rsidRPr="00F46451">
              <w:rPr>
                <w:sz w:val="18"/>
                <w:szCs w:val="18"/>
                <w:lang w:eastAsia="en-US"/>
              </w:rPr>
              <w:t> </w:t>
            </w:r>
          </w:p>
        </w:tc>
        <w:tc>
          <w:tcPr>
            <w:tcW w:w="978" w:type="dxa"/>
            <w:tcBorders>
              <w:top w:val="nil"/>
              <w:left w:val="nil"/>
              <w:bottom w:val="single" w:sz="8" w:space="0" w:color="943634"/>
              <w:right w:val="single" w:sz="8" w:space="0" w:color="943634"/>
            </w:tcBorders>
            <w:shd w:val="clear" w:color="auto" w:fill="FFFFCC"/>
            <w:tcMar>
              <w:top w:w="0" w:type="dxa"/>
              <w:left w:w="70" w:type="dxa"/>
              <w:bottom w:w="0" w:type="dxa"/>
              <w:right w:w="70" w:type="dxa"/>
            </w:tcMar>
            <w:vAlign w:val="center"/>
            <w:hideMark/>
          </w:tcPr>
          <w:p w14:paraId="19B28A61" w14:textId="77777777" w:rsidR="00A02919" w:rsidRPr="00F46451" w:rsidRDefault="00A02919" w:rsidP="00062E5C">
            <w:pPr>
              <w:spacing w:line="276" w:lineRule="auto"/>
              <w:jc w:val="right"/>
              <w:rPr>
                <w:sz w:val="19"/>
                <w:szCs w:val="19"/>
                <w:lang w:eastAsia="en-US"/>
              </w:rPr>
            </w:pPr>
            <w:r>
              <w:rPr>
                <w:sz w:val="19"/>
                <w:szCs w:val="19"/>
                <w:lang w:val="en-US" w:eastAsia="en-US"/>
              </w:rPr>
              <w:t>3</w:t>
            </w:r>
            <w:r w:rsidRPr="00F46451">
              <w:rPr>
                <w:sz w:val="19"/>
                <w:szCs w:val="19"/>
                <w:lang w:eastAsia="en-US"/>
              </w:rPr>
              <w:t> </w:t>
            </w:r>
            <w:r>
              <w:rPr>
                <w:sz w:val="19"/>
                <w:szCs w:val="19"/>
                <w:lang w:val="en-US" w:eastAsia="en-US"/>
              </w:rPr>
              <w:t>337</w:t>
            </w:r>
            <w:r w:rsidRPr="00F46451">
              <w:rPr>
                <w:sz w:val="19"/>
                <w:szCs w:val="19"/>
                <w:lang w:eastAsia="en-US"/>
              </w:rPr>
              <w:t>,0</w:t>
            </w:r>
          </w:p>
        </w:tc>
        <w:tc>
          <w:tcPr>
            <w:tcW w:w="719" w:type="dxa"/>
            <w:tcBorders>
              <w:top w:val="nil"/>
              <w:left w:val="nil"/>
              <w:bottom w:val="single" w:sz="8" w:space="0" w:color="943634"/>
              <w:right w:val="double" w:sz="6" w:space="0" w:color="943634"/>
            </w:tcBorders>
            <w:shd w:val="clear" w:color="auto" w:fill="FFFFCC"/>
            <w:tcMar>
              <w:top w:w="0" w:type="dxa"/>
              <w:left w:w="70" w:type="dxa"/>
              <w:bottom w:w="0" w:type="dxa"/>
              <w:right w:w="70" w:type="dxa"/>
            </w:tcMar>
            <w:vAlign w:val="center"/>
            <w:hideMark/>
          </w:tcPr>
          <w:p w14:paraId="71737C3C" w14:textId="77777777" w:rsidR="00A02919" w:rsidRPr="00F46451" w:rsidRDefault="00A02919" w:rsidP="00062E5C">
            <w:pPr>
              <w:spacing w:line="276" w:lineRule="auto"/>
              <w:jc w:val="right"/>
              <w:rPr>
                <w:sz w:val="19"/>
                <w:szCs w:val="19"/>
                <w:lang w:eastAsia="en-US"/>
              </w:rPr>
            </w:pPr>
            <w:r w:rsidRPr="00F46451">
              <w:rPr>
                <w:sz w:val="19"/>
                <w:szCs w:val="19"/>
                <w:lang w:eastAsia="en-US"/>
              </w:rPr>
              <w:t>2,</w:t>
            </w:r>
            <w:r>
              <w:rPr>
                <w:sz w:val="19"/>
                <w:szCs w:val="19"/>
                <w:lang w:val="en-US" w:eastAsia="en-US"/>
              </w:rPr>
              <w:t>0</w:t>
            </w:r>
            <w:r w:rsidRPr="00F46451">
              <w:rPr>
                <w:sz w:val="19"/>
                <w:szCs w:val="19"/>
                <w:lang w:eastAsia="en-US"/>
              </w:rPr>
              <w:t xml:space="preserve"> %</w:t>
            </w:r>
          </w:p>
        </w:tc>
      </w:tr>
      <w:tr w:rsidR="00A02919" w:rsidRPr="00F46451" w14:paraId="775B052C" w14:textId="77777777" w:rsidTr="00062E5C">
        <w:trPr>
          <w:trHeight w:val="48"/>
          <w:jc w:val="center"/>
        </w:trPr>
        <w:tc>
          <w:tcPr>
            <w:tcW w:w="4596" w:type="dxa"/>
            <w:tcBorders>
              <w:top w:val="nil"/>
              <w:left w:val="double" w:sz="6" w:space="0" w:color="943634"/>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0C3EFE7B" w14:textId="77777777" w:rsidR="00A02919" w:rsidRPr="00F46451" w:rsidRDefault="00A02919" w:rsidP="00062E5C">
            <w:pPr>
              <w:spacing w:line="276" w:lineRule="auto"/>
              <w:rPr>
                <w:b/>
                <w:bCs/>
                <w:sz w:val="19"/>
                <w:szCs w:val="19"/>
                <w:lang w:eastAsia="en-US"/>
              </w:rPr>
            </w:pPr>
            <w:r w:rsidRPr="00F46451">
              <w:rPr>
                <w:b/>
                <w:bCs/>
                <w:sz w:val="19"/>
                <w:szCs w:val="19"/>
                <w:lang w:eastAsia="en-US"/>
              </w:rPr>
              <w:t>Общо разходи</w:t>
            </w:r>
          </w:p>
        </w:tc>
        <w:tc>
          <w:tcPr>
            <w:tcW w:w="1481" w:type="dxa"/>
            <w:tcBorders>
              <w:top w:val="nil"/>
              <w:left w:val="nil"/>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67B57D23" w14:textId="77777777" w:rsidR="00A02919" w:rsidRPr="00F46451" w:rsidRDefault="00A02919" w:rsidP="00062E5C">
            <w:pPr>
              <w:spacing w:line="276" w:lineRule="auto"/>
              <w:rPr>
                <w:b/>
                <w:bCs/>
                <w:sz w:val="18"/>
                <w:szCs w:val="18"/>
                <w:lang w:eastAsia="en-US"/>
              </w:rPr>
            </w:pPr>
            <w:r w:rsidRPr="00F46451">
              <w:rPr>
                <w:b/>
                <w:bCs/>
                <w:sz w:val="18"/>
                <w:szCs w:val="18"/>
                <w:lang w:eastAsia="en-US"/>
              </w:rPr>
              <w:t>TE</w:t>
            </w:r>
          </w:p>
        </w:tc>
        <w:tc>
          <w:tcPr>
            <w:tcW w:w="978" w:type="dxa"/>
            <w:tcBorders>
              <w:top w:val="nil"/>
              <w:left w:val="nil"/>
              <w:bottom w:val="double" w:sz="6" w:space="0" w:color="943634"/>
              <w:right w:val="single" w:sz="8" w:space="0" w:color="943634"/>
            </w:tcBorders>
            <w:shd w:val="clear" w:color="auto" w:fill="FFFFCC"/>
            <w:tcMar>
              <w:top w:w="0" w:type="dxa"/>
              <w:left w:w="70" w:type="dxa"/>
              <w:bottom w:w="0" w:type="dxa"/>
              <w:right w:w="70" w:type="dxa"/>
            </w:tcMar>
            <w:vAlign w:val="center"/>
            <w:hideMark/>
          </w:tcPr>
          <w:p w14:paraId="388E9A5B" w14:textId="77777777" w:rsidR="00A02919" w:rsidRPr="00F46451" w:rsidRDefault="00A02919" w:rsidP="00062E5C">
            <w:pPr>
              <w:spacing w:line="276" w:lineRule="auto"/>
              <w:jc w:val="right"/>
              <w:rPr>
                <w:b/>
                <w:bCs/>
                <w:sz w:val="19"/>
                <w:szCs w:val="19"/>
                <w:lang w:eastAsia="en-US"/>
              </w:rPr>
            </w:pPr>
            <w:r>
              <w:rPr>
                <w:b/>
                <w:bCs/>
                <w:sz w:val="19"/>
                <w:szCs w:val="19"/>
                <w:lang w:val="en-US" w:eastAsia="en-US"/>
              </w:rPr>
              <w:t>68</w:t>
            </w:r>
            <w:r w:rsidRPr="00F46451">
              <w:rPr>
                <w:b/>
                <w:bCs/>
                <w:sz w:val="19"/>
                <w:szCs w:val="19"/>
                <w:lang w:eastAsia="en-US"/>
              </w:rPr>
              <w:t> </w:t>
            </w:r>
            <w:r>
              <w:rPr>
                <w:b/>
                <w:bCs/>
                <w:sz w:val="19"/>
                <w:szCs w:val="19"/>
                <w:lang w:val="en-US" w:eastAsia="en-US"/>
              </w:rPr>
              <w:t>3</w:t>
            </w:r>
            <w:r w:rsidRPr="00F46451">
              <w:rPr>
                <w:b/>
                <w:bCs/>
                <w:sz w:val="19"/>
                <w:szCs w:val="19"/>
                <w:lang w:eastAsia="en-US"/>
              </w:rPr>
              <w:t>58,8</w:t>
            </w:r>
          </w:p>
        </w:tc>
        <w:tc>
          <w:tcPr>
            <w:tcW w:w="719" w:type="dxa"/>
            <w:tcBorders>
              <w:top w:val="nil"/>
              <w:left w:val="nil"/>
              <w:bottom w:val="double" w:sz="6" w:space="0" w:color="943634"/>
              <w:right w:val="double" w:sz="6" w:space="0" w:color="943634"/>
            </w:tcBorders>
            <w:shd w:val="clear" w:color="auto" w:fill="FFFFCC"/>
            <w:tcMar>
              <w:top w:w="0" w:type="dxa"/>
              <w:left w:w="70" w:type="dxa"/>
              <w:bottom w:w="0" w:type="dxa"/>
              <w:right w:w="70" w:type="dxa"/>
            </w:tcMar>
            <w:vAlign w:val="center"/>
            <w:hideMark/>
          </w:tcPr>
          <w:p w14:paraId="51C46B73" w14:textId="77777777" w:rsidR="00A02919" w:rsidRPr="00F46451" w:rsidRDefault="00A02919" w:rsidP="00062E5C">
            <w:pPr>
              <w:spacing w:line="276" w:lineRule="auto"/>
              <w:jc w:val="right"/>
              <w:rPr>
                <w:b/>
                <w:bCs/>
                <w:sz w:val="19"/>
                <w:szCs w:val="19"/>
                <w:lang w:eastAsia="en-US"/>
              </w:rPr>
            </w:pPr>
            <w:r w:rsidRPr="00F46451">
              <w:rPr>
                <w:b/>
                <w:bCs/>
                <w:sz w:val="19"/>
                <w:szCs w:val="19"/>
                <w:lang w:eastAsia="en-US"/>
              </w:rPr>
              <w:t>4</w:t>
            </w:r>
            <w:r>
              <w:rPr>
                <w:b/>
                <w:bCs/>
                <w:sz w:val="19"/>
                <w:szCs w:val="19"/>
                <w:lang w:val="en-US" w:eastAsia="en-US"/>
              </w:rPr>
              <w:t>1</w:t>
            </w:r>
            <w:r w:rsidRPr="00F46451">
              <w:rPr>
                <w:b/>
                <w:bCs/>
                <w:sz w:val="19"/>
                <w:szCs w:val="19"/>
                <w:lang w:eastAsia="en-US"/>
              </w:rPr>
              <w:t>,</w:t>
            </w:r>
            <w:r>
              <w:rPr>
                <w:b/>
                <w:bCs/>
                <w:sz w:val="19"/>
                <w:szCs w:val="19"/>
                <w:lang w:val="en-US" w:eastAsia="en-US"/>
              </w:rPr>
              <w:t>3</w:t>
            </w:r>
            <w:r w:rsidRPr="00F46451">
              <w:rPr>
                <w:b/>
                <w:bCs/>
                <w:sz w:val="19"/>
                <w:szCs w:val="19"/>
                <w:lang w:eastAsia="en-US"/>
              </w:rPr>
              <w:t xml:space="preserve"> %</w:t>
            </w:r>
          </w:p>
        </w:tc>
      </w:tr>
    </w:tbl>
    <w:p w14:paraId="79E2667C" w14:textId="77777777" w:rsidR="00A02919" w:rsidRPr="00D41D35" w:rsidRDefault="00A02919" w:rsidP="00A02919">
      <w:pPr>
        <w:spacing w:after="120"/>
        <w:ind w:firstLine="567"/>
        <w:jc w:val="both"/>
        <w:rPr>
          <w:bCs/>
          <w:color w:val="548DD4" w:themeColor="text2" w:themeTint="99"/>
          <w:sz w:val="12"/>
          <w:szCs w:val="12"/>
        </w:rPr>
      </w:pPr>
    </w:p>
    <w:p w14:paraId="7D82ACD6" w14:textId="77777777" w:rsidR="00A02919" w:rsidRPr="009B5733" w:rsidRDefault="00A02919" w:rsidP="00A02919">
      <w:pPr>
        <w:spacing w:after="120"/>
        <w:ind w:firstLine="567"/>
        <w:jc w:val="both"/>
        <w:rPr>
          <w:bCs/>
          <w:color w:val="000000" w:themeColor="text1"/>
        </w:rPr>
      </w:pP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D41D35">
        <w:rPr>
          <w:bCs/>
          <w:color w:val="548DD4" w:themeColor="text2" w:themeTint="99"/>
        </w:rPr>
        <w:tab/>
      </w:r>
      <w:r w:rsidRPr="009B5733">
        <w:rPr>
          <w:rFonts w:eastAsia="Calibri"/>
          <w:color w:val="000000" w:themeColor="text1"/>
          <w:sz w:val="20"/>
          <w:szCs w:val="20"/>
        </w:rPr>
        <w:t>Източник: НСИ</w:t>
      </w:r>
    </w:p>
    <w:p w14:paraId="192D8F72" w14:textId="77777777" w:rsidR="00A02919" w:rsidRPr="00D41D35" w:rsidRDefault="00A02919" w:rsidP="00A02919">
      <w:pPr>
        <w:spacing w:after="120"/>
        <w:ind w:firstLine="567"/>
        <w:jc w:val="both"/>
        <w:rPr>
          <w:bCs/>
          <w:color w:val="548DD4" w:themeColor="text2" w:themeTint="99"/>
          <w:sz w:val="8"/>
          <w:szCs w:val="8"/>
        </w:rPr>
      </w:pPr>
    </w:p>
    <w:p w14:paraId="03E4CC14" w14:textId="77777777" w:rsidR="00A02919" w:rsidRPr="009B5733" w:rsidRDefault="00A02919" w:rsidP="00EF7638">
      <w:pPr>
        <w:ind w:firstLine="709"/>
        <w:jc w:val="both"/>
        <w:rPr>
          <w:color w:val="000000" w:themeColor="text1"/>
        </w:rPr>
      </w:pPr>
      <w:r w:rsidRPr="009B5733">
        <w:rPr>
          <w:color w:val="000000" w:themeColor="text1"/>
        </w:rPr>
        <w:t xml:space="preserve">Приходите като относителен дял в БВП достигнаха 38,5 % през 2022 г., което е увеличение с 0,8  пр. п. спрямо нивото през 2021 г. За нарастването на относителния дял на приходите в БВП допринасят в най-голяма степен ръстът при данъците върху производството и вноса (вкл. и еднократните приходи от производителите на електрическа енергия, използвани за изплащане на компенсации на небитовите потребители на електрическа енергия) и увеличението при приходите от продажби, доходите от собственост и другите текущи приходи, докато при текущите данъци върху доходите, богатството и др. се наблюдава запазване на нивото им от предходната година. </w:t>
      </w:r>
    </w:p>
    <w:p w14:paraId="7B75CF90" w14:textId="77777777" w:rsidR="00A02919" w:rsidRPr="009B5733" w:rsidRDefault="00A02919" w:rsidP="00EF7638">
      <w:pPr>
        <w:ind w:firstLine="709"/>
        <w:jc w:val="both"/>
        <w:rPr>
          <w:color w:val="000000" w:themeColor="text1"/>
        </w:rPr>
      </w:pPr>
      <w:r w:rsidRPr="009B5733">
        <w:rPr>
          <w:color w:val="000000" w:themeColor="text1"/>
        </w:rPr>
        <w:t xml:space="preserve">Данъците върху производството и вноса отбелязват най-голям ръст, както в номинално отношение  - с над 5,5 млрд. лв., така и като процент от БВП – с 1 пр. п. Тук са отразени целевите вноски, извършвани в изпълнение на разпоредбите на </w:t>
      </w:r>
      <w:r>
        <w:rPr>
          <w:color w:val="000000" w:themeColor="text1"/>
        </w:rPr>
        <w:t xml:space="preserve">§24 от ПЗР на ЗДБРБ за </w:t>
      </w:r>
      <w:r w:rsidRPr="009B5733">
        <w:rPr>
          <w:color w:val="000000" w:themeColor="text1"/>
        </w:rPr>
        <w:t>2022 г. от публичните предприятия от сектор енергетика със 100 на сто държавно участие в капитала, с които се финансираха компенсациите за високите цени на електрическата енергия на небитовите клиенти. Също така нарастване на приходите се наблюдава при всички данъци от групата, като най-значително е то</w:t>
      </w:r>
      <w:r>
        <w:rPr>
          <w:color w:val="000000" w:themeColor="text1"/>
        </w:rPr>
        <w:t xml:space="preserve"> при ДДС. Това отразява </w:t>
      </w:r>
      <w:r w:rsidRPr="009B5733">
        <w:rPr>
          <w:color w:val="000000" w:themeColor="text1"/>
        </w:rPr>
        <w:t xml:space="preserve">както реалния ръст при потреблението през 2022 г., така и ускорението на инфлацията. Значителният ръст в потреблението е резултат в най-голяма степен на продължаващото възстановяване на потребителските разходи след първоначалния шок от COVID-19 пандемията и наложените ограничения. Регистрираното увеличение на доходите при пенсионерите и при голяма част от работещите също допринасят за увеличеното потребление и свързаните с него данъчни приходи. </w:t>
      </w:r>
    </w:p>
    <w:p w14:paraId="71A8BF45" w14:textId="77777777" w:rsidR="00A02919" w:rsidRPr="009B5733" w:rsidRDefault="00A02919" w:rsidP="00EF7638">
      <w:pPr>
        <w:ind w:firstLine="709"/>
        <w:jc w:val="both"/>
        <w:rPr>
          <w:color w:val="000000" w:themeColor="text1"/>
        </w:rPr>
      </w:pPr>
      <w:r w:rsidRPr="009B5733">
        <w:rPr>
          <w:color w:val="000000" w:themeColor="text1"/>
        </w:rPr>
        <w:t xml:space="preserve">При текущите данъци върху доходите, богатството и др. се наблюдава нарастване на постъпленията в номинално изражение с 1,7 млрд. лв., а като дял от БВП спрямо предходната година равнището се запазва  – 6,4 % от БВП. Номинално нарастване се отчита при всички данъци в групата, като най-голямо е то при корпоративните данъци. Причините са, от една страна увеличения обем на продукцията в индустрията, от друга на ръста на цените  в много отрасли, като енергетика, производство на суровини, хранителни стоки и др. Това води до нараснали печалби, съответно до по-голям данък върху печалбата. При данъка върху доходите на физическите лица също има номинално увеличение, което е резултат от регистрирания ръст на възнагражденията както в частния сектор, така и в обществения сектор. Същевременно по-сериозното нарастване на данъчните постъпления при този приходоизточник е ограничено от увеличения обем през 2022 г. на данъчното облекчение за деца. Трябва да се отбележи и ръстът при данъците върху богатството (имуществените данъци), където се отразяват нарасналите цени на имотите в страната и броя сделки за придобиване им и др.  </w:t>
      </w:r>
    </w:p>
    <w:p w14:paraId="71BEB2EC" w14:textId="1B6F3599" w:rsidR="00A02919" w:rsidRPr="009B5733" w:rsidRDefault="00A02919" w:rsidP="00EF7638">
      <w:pPr>
        <w:ind w:firstLine="709"/>
        <w:jc w:val="both"/>
        <w:rPr>
          <w:color w:val="000000" w:themeColor="text1"/>
        </w:rPr>
      </w:pPr>
      <w:r w:rsidRPr="009B5733">
        <w:rPr>
          <w:color w:val="000000" w:themeColor="text1"/>
        </w:rPr>
        <w:t>Приходите от социални и здравно-осигурителни вноски нарастват номинално с 1,6</w:t>
      </w:r>
      <w:r w:rsidR="000757F2">
        <w:rPr>
          <w:color w:val="000000" w:themeColor="text1"/>
        </w:rPr>
        <w:t> </w:t>
      </w:r>
      <w:r w:rsidRPr="009B5733">
        <w:rPr>
          <w:color w:val="000000" w:themeColor="text1"/>
        </w:rPr>
        <w:t xml:space="preserve">млрд. лв., а отнесени към БВП отчитат намаление с 0,5 пр. п. спрямо 2021 г. Основният фактор, който допринасят за това, е ръстът на доходите, вкл. на минималната работна заплата и минималните осигурителни прагове и др. </w:t>
      </w:r>
    </w:p>
    <w:p w14:paraId="3BE3077D" w14:textId="77777777" w:rsidR="00A02919" w:rsidRPr="009B5733" w:rsidRDefault="00A02919" w:rsidP="00EF7638">
      <w:pPr>
        <w:ind w:firstLine="709"/>
        <w:jc w:val="both"/>
        <w:rPr>
          <w:color w:val="000000" w:themeColor="text1"/>
        </w:rPr>
      </w:pPr>
      <w:r w:rsidRPr="009B5733">
        <w:rPr>
          <w:color w:val="000000" w:themeColor="text1"/>
        </w:rPr>
        <w:t>Постъпленията от продажби, доходи от собственост и други текущи приходи се увеличават номинално с 2,5 млрд. лв. и с 0,3 пр. п. като дял от БВП спрямо 2021 г. Основната причина тук е увеличените средства от продажба на квоти за емисии на парникови газове, дивиденти от държавни предприятия и други приходи.</w:t>
      </w:r>
    </w:p>
    <w:p w14:paraId="0FA314B7" w14:textId="77777777" w:rsidR="00A02919" w:rsidRPr="009B5733" w:rsidRDefault="00A02919" w:rsidP="00EF7638">
      <w:pPr>
        <w:ind w:firstLine="709"/>
        <w:jc w:val="both"/>
        <w:rPr>
          <w:color w:val="000000" w:themeColor="text1"/>
        </w:rPr>
      </w:pPr>
      <w:r w:rsidRPr="009B5733">
        <w:rPr>
          <w:color w:val="000000" w:themeColor="text1"/>
        </w:rPr>
        <w:t>Общите разходи на сектор „Държавно управление“ през 2022 г. нарастват номинално с 10,5 млрд. лв. и са в размер на 41,3 % от БВП, което е с 0,3 пр. п. по-ниско от отчетеното през 2021 г. ниво. Номинално нарастване се отчита при почти всички видове разходи с изключение на другите текущи разходи, като най-значително е нарастването при разходите за субсидии и при социалните разходи, различни от тези в натура.</w:t>
      </w:r>
    </w:p>
    <w:p w14:paraId="7E5E5CD6" w14:textId="77777777" w:rsidR="00A02919" w:rsidRPr="009B5733" w:rsidRDefault="00A02919" w:rsidP="00EF7638">
      <w:pPr>
        <w:ind w:firstLine="709"/>
        <w:jc w:val="both"/>
        <w:rPr>
          <w:color w:val="000000" w:themeColor="text1"/>
        </w:rPr>
      </w:pPr>
      <w:r w:rsidRPr="009B5733">
        <w:rPr>
          <w:color w:val="000000" w:themeColor="text1"/>
        </w:rPr>
        <w:t xml:space="preserve">Разходите за компенсация на наетите лица се увеличават номинално с 1,1 млрд. лв., като обаче нивото им спрямо БВП намалява с 1,1 пр. п. в сравнение с 2021 г. Основната причина за номиналното нарастване е увеличението на възнагражденията в обществения сектор, вкл. на педагогическия персонал, с цел компенсиране до известна степен на натрупаната инфлация. Влияние оказва и изплащането до средата на 2022 година на допълнителни суми към възнагражденията лекарите и медицинските специалисти на първа линия в борбата с пандемията от COVID-19 и др. </w:t>
      </w:r>
    </w:p>
    <w:p w14:paraId="051C6BF7" w14:textId="77777777" w:rsidR="00A02919" w:rsidRPr="009B5733" w:rsidRDefault="00A02919" w:rsidP="00EF7638">
      <w:pPr>
        <w:ind w:firstLine="709"/>
        <w:jc w:val="both"/>
        <w:rPr>
          <w:color w:val="000000" w:themeColor="text1"/>
        </w:rPr>
      </w:pPr>
      <w:r w:rsidRPr="009B5733">
        <w:rPr>
          <w:color w:val="000000" w:themeColor="text1"/>
        </w:rPr>
        <w:t xml:space="preserve">Разходите за междинно потребление, основна част от което е издръжката, нарастват и номинално – с 1,6 млрд. лв., и като относителен дял в БВП – с 0,2 пр. п., като основната причина са увеличените цени на материалите, горивата, енергията, цените на услугите  и разходите за текущ ремонт. </w:t>
      </w:r>
    </w:p>
    <w:p w14:paraId="2E669DB3" w14:textId="77777777" w:rsidR="00A02919" w:rsidRPr="009B5733" w:rsidRDefault="00A02919" w:rsidP="00EF7638">
      <w:pPr>
        <w:ind w:firstLine="709"/>
        <w:jc w:val="both"/>
        <w:rPr>
          <w:color w:val="000000" w:themeColor="text1"/>
        </w:rPr>
      </w:pPr>
      <w:r w:rsidRPr="009B5733">
        <w:rPr>
          <w:color w:val="000000" w:themeColor="text1"/>
        </w:rPr>
        <w:t>Размерът на социалните трансфери като относителен дял от БВП нараства с 0,3 пр. п., като в номинално изражение това са 4,3 млрд. лв. При социалните трансфери в натура, където се отразяват плащанията към изпълнителите на медицинска помощ, номиналното увеличение е с над 1,2 млрд. лв., а делът на изразходваните средства в БВП се увеличава с 0,3 пр. п. в сравнение с 2021 г. Това отразява продължилото до средата на 2022 г. плащане на допълнителни суми към възнагражденията на медицинските специалисти и другите разходи за борба с COVID-19. Другата категория социални трансфери, различни от тези в натура, отразяват извършените социални плащания за пенсии, помощи и обезщетения на домакинствата, като тук номиналното нарастване е с 3,1 млрд. лв. спрямо 2021 г., а делът им в БВП остава почти непроменен – намалява с 0,1 пр. п. През 2022 г. бе реализирано увеличение на пенсиите на няколко стъпки: от 25.12.2021 г., което практически засяга целогодишното увеличение за 2022 г., увеличи се с 12,5 на сто в пенсионната формула процента за всяка година осигурителен стаж, вкл. увеличение на минималната и максималната пенсия; от 1 юли 2022 г. всички пенсии бяха увеличени  с 10 %, като към тях беше включена и изплащаната до онзи момент „ковид“ добавка, като при минималната и максималната пенсии увеличението беше съответно с 26,2 и 33,3 %; от 1 октомври 2022 г. последва ново увеличение на пенсиите, отпуснати до края на 2021 г., като процента на увеличение зависеше от годината на отпускане на пенсията. Също така през месеците януари-юни 2022 г. всички пенсионерите получаваха и „ковид“ добавка от 60 лв., тези от тях, които бяха ваксинирани срещу COVID-19, получиха и еднократна добавка от 75 лв. При разходите за социални трансфери и помощи за домакинствата се отчита увеличение на сумите по обезщетенията за временна нетрудоспособност поради общо заболяване; обезщетенията за отглеждане на малко дете; помощите по линия на социалното подпомагане, вкл. на помощите за отопление и семейните помощи за деца, и др.</w:t>
      </w:r>
    </w:p>
    <w:p w14:paraId="31BCB3FF" w14:textId="77777777" w:rsidR="00A02919" w:rsidRPr="009B5733" w:rsidRDefault="00A02919" w:rsidP="00EF7638">
      <w:pPr>
        <w:ind w:firstLine="709"/>
        <w:jc w:val="both"/>
        <w:rPr>
          <w:color w:val="000000" w:themeColor="text1"/>
        </w:rPr>
      </w:pPr>
      <w:r w:rsidRPr="009B5733">
        <w:rPr>
          <w:color w:val="000000" w:themeColor="text1"/>
        </w:rPr>
        <w:t>Разходите за субсидии отбелязват най-голямото увеличение спрямо 2021 г. както номинално - с 3,1 млрд. лв., така и като дял от БВП – с 1,3 пр. п. Основен принос тук имат субсидиите за компенсиране на разходите на небитовите крайни потребители на електрическа енергия и на операторите на електропреносната мрежа за закупуване на количества електрическа енергия, потребена за технологични разходи, както и субсидиите по останалите програми за компенсиране на високите цени на енергията и природния газ</w:t>
      </w:r>
      <w:r>
        <w:rPr>
          <w:color w:val="000000" w:themeColor="text1"/>
        </w:rPr>
        <w:t xml:space="preserve"> (§23 от ПЗР на ЗДБРБ за 2022 г. и други програми по предходни програми за изплащане на компенсации)</w:t>
      </w:r>
      <w:r w:rsidRPr="009B5733">
        <w:rPr>
          <w:color w:val="000000" w:themeColor="text1"/>
        </w:rPr>
        <w:t>. Същевременно след средата на годината беше преустановено изплащането на работодателите по програмата за запазване на работните места (основно програмата 60/40) в условията на епидемична обстановка, породена от пандемията от COVID-19.</w:t>
      </w:r>
    </w:p>
    <w:p w14:paraId="2F51FA8E" w14:textId="7FA67410" w:rsidR="00A02919" w:rsidRPr="009B5733" w:rsidRDefault="00A02919" w:rsidP="00EF7638">
      <w:pPr>
        <w:ind w:firstLine="709"/>
        <w:jc w:val="both"/>
        <w:rPr>
          <w:color w:val="000000" w:themeColor="text1"/>
        </w:rPr>
      </w:pPr>
      <w:r w:rsidRPr="009B5733">
        <w:rPr>
          <w:color w:val="000000" w:themeColor="text1"/>
        </w:rPr>
        <w:t>При капиталовите разходи като дял от БВП през 2022 г. се отчита ръст както при бруто образуването на основен капитал – с 0,4 пр. п., така и при останалите елементи на капиталовите разходи – с 0,1 пр. п. Номиналното увеличение е съответно 1,4 млрд. лв. и 0,3</w:t>
      </w:r>
      <w:r w:rsidR="004A3EC6">
        <w:rPr>
          <w:color w:val="000000" w:themeColor="text1"/>
        </w:rPr>
        <w:t> </w:t>
      </w:r>
      <w:r w:rsidRPr="009B5733">
        <w:rPr>
          <w:color w:val="000000" w:themeColor="text1"/>
        </w:rPr>
        <w:t xml:space="preserve">млрд. лева. Нарастването при бруто образуването на основен капитал се обуславя от разплащането на извършени строителни работи, главно при пътната инфраструктура, което беше забавено през предходния отчетен период. Същевременно усложнената политическа ситуация в страната и смяната на правителства забави процеса по започването на нови проекти и съответно предвидените в предишната Конвергентна програма по-големи капиталови разходи бяха отложени за следващите години. Забавеното одобрение на Плана за възстановяване и устойчивост, както и на необходимите процедури по започването на проекти по него също ограничиха извършването на капиталовите разходи. Забавяне се отчита и при проектите по оперативните програми от новия програмен период на ЕС 2021-2027. </w:t>
      </w:r>
    </w:p>
    <w:p w14:paraId="7705E6E9" w14:textId="77777777" w:rsidR="00A02919" w:rsidRPr="009B5733" w:rsidRDefault="00A02919" w:rsidP="00EF7638">
      <w:pPr>
        <w:ind w:firstLine="709"/>
        <w:jc w:val="both"/>
        <w:rPr>
          <w:color w:val="000000" w:themeColor="text1"/>
        </w:rPr>
      </w:pPr>
      <w:r w:rsidRPr="009B5733">
        <w:rPr>
          <w:color w:val="000000" w:themeColor="text1"/>
        </w:rPr>
        <w:t>През 2022 г. разходите за лихви запазват непроменен в сравнение 2021 г. дела си спрямо БВП - 0,5 %, а номинално нарастват с 0,1 млрд. лв.</w:t>
      </w:r>
    </w:p>
    <w:p w14:paraId="387863DE" w14:textId="204B95B3" w:rsidR="0092579B" w:rsidRDefault="0092579B">
      <w:pPr>
        <w:rPr>
          <w:b/>
          <w:bCs/>
          <w:i/>
          <w:iCs/>
          <w:color w:val="0070C0"/>
          <w:u w:val="single"/>
        </w:rPr>
      </w:pPr>
      <w:r>
        <w:rPr>
          <w:b/>
          <w:bCs/>
          <w:i/>
          <w:iCs/>
          <w:color w:val="0070C0"/>
          <w:u w:val="single"/>
        </w:rPr>
        <w:br w:type="page"/>
      </w:r>
    </w:p>
    <w:p w14:paraId="0EBAB598" w14:textId="77777777" w:rsidR="00A02919" w:rsidRPr="00B051B3" w:rsidRDefault="00A02919" w:rsidP="00A02919">
      <w:pPr>
        <w:spacing w:after="120"/>
        <w:ind w:firstLine="851"/>
        <w:jc w:val="both"/>
        <w:rPr>
          <w:b/>
          <w:bCs/>
          <w:i/>
          <w:iCs/>
          <w:color w:val="0070C0"/>
          <w:u w:val="single"/>
        </w:rPr>
      </w:pPr>
    </w:p>
    <w:p w14:paraId="7D9C12C9" w14:textId="77777777" w:rsidR="00A02919" w:rsidRPr="00113720" w:rsidRDefault="00A02919" w:rsidP="00A02919">
      <w:pPr>
        <w:spacing w:after="120"/>
        <w:jc w:val="both"/>
        <w:rPr>
          <w:b/>
          <w:bCs/>
          <w:i/>
          <w:iCs/>
          <w:color w:val="000000" w:themeColor="text1"/>
          <w:u w:val="single"/>
        </w:rPr>
      </w:pPr>
      <w:r w:rsidRPr="00113720">
        <w:rPr>
          <w:b/>
          <w:bCs/>
          <w:i/>
          <w:iCs/>
          <w:color w:val="000000" w:themeColor="text1"/>
          <w:u w:val="single"/>
        </w:rPr>
        <w:t>Съответствие на основните фискални параметри по КФП и параметрите за сектор „Държавно управление“ за 202</w:t>
      </w:r>
      <w:r w:rsidRPr="004D5FFC">
        <w:rPr>
          <w:b/>
          <w:bCs/>
          <w:i/>
          <w:iCs/>
          <w:color w:val="000000" w:themeColor="text1"/>
          <w:u w:val="single"/>
          <w:lang w:val="ru-RU"/>
        </w:rPr>
        <w:t>2</w:t>
      </w:r>
      <w:r w:rsidRPr="00113720">
        <w:rPr>
          <w:b/>
          <w:bCs/>
          <w:i/>
          <w:iCs/>
          <w:color w:val="000000" w:themeColor="text1"/>
          <w:u w:val="single"/>
        </w:rPr>
        <w:t xml:space="preserve"> г. с изискванията на фискалните правила в Закона за публичните финанси</w:t>
      </w:r>
    </w:p>
    <w:p w14:paraId="6789B2BC" w14:textId="77777777" w:rsidR="00A02919" w:rsidRPr="00113720" w:rsidRDefault="00A02919" w:rsidP="00A02919">
      <w:pPr>
        <w:spacing w:after="120"/>
        <w:jc w:val="both"/>
        <w:rPr>
          <w:b/>
          <w:bCs/>
          <w:i/>
          <w:iCs/>
          <w:color w:val="0070C0"/>
          <w:u w:val="single"/>
        </w:rPr>
      </w:pPr>
    </w:p>
    <w:p w14:paraId="289AD11B" w14:textId="77777777" w:rsidR="00A02919" w:rsidRPr="00113720" w:rsidRDefault="00A02919" w:rsidP="00A02919">
      <w:pPr>
        <w:spacing w:after="120"/>
        <w:jc w:val="both"/>
        <w:rPr>
          <w:b/>
          <w:bCs/>
          <w:i/>
          <w:iCs/>
          <w:color w:val="0070C0"/>
          <w:sz w:val="2"/>
          <w:szCs w:val="2"/>
          <w:u w:val="single"/>
        </w:rPr>
      </w:pPr>
    </w:p>
    <w:p w14:paraId="5654C77B" w14:textId="77777777" w:rsidR="00A02919" w:rsidRPr="00113720" w:rsidRDefault="00A02919" w:rsidP="00A02919">
      <w:pPr>
        <w:spacing w:after="120"/>
        <w:jc w:val="both"/>
        <w:rPr>
          <w:b/>
          <w:bCs/>
          <w:i/>
          <w:iCs/>
          <w:color w:val="0070C0"/>
          <w:u w:val="single"/>
        </w:rPr>
      </w:pPr>
      <w:r w:rsidRPr="00113720">
        <w:rPr>
          <w:b/>
          <w:bCs/>
          <w:i/>
          <w:iCs/>
          <w:noProof/>
          <w:color w:val="0070C0"/>
          <w:u w:val="single"/>
        </w:rPr>
        <w:drawing>
          <wp:inline distT="0" distB="0" distL="0" distR="0" wp14:anchorId="4E328845" wp14:editId="03A2A174">
            <wp:extent cx="6076950" cy="3810000"/>
            <wp:effectExtent l="0" t="38100" r="19050" b="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0D75AF40" w14:textId="77777777" w:rsidR="00A02919" w:rsidRPr="00113720" w:rsidRDefault="00A02919" w:rsidP="00A02919">
      <w:pPr>
        <w:ind w:left="720"/>
        <w:rPr>
          <w:color w:val="000000" w:themeColor="text1"/>
          <w:sz w:val="16"/>
          <w:szCs w:val="16"/>
        </w:rPr>
      </w:pPr>
      <w:r w:rsidRPr="00113720">
        <w:rPr>
          <w:color w:val="000000" w:themeColor="text1"/>
          <w:sz w:val="16"/>
          <w:szCs w:val="16"/>
        </w:rPr>
        <w:t>Източник: МФ, Евростат, ЕК</w:t>
      </w:r>
    </w:p>
    <w:p w14:paraId="76D0DD7F" w14:textId="77777777" w:rsidR="00A02919" w:rsidRDefault="00A02919" w:rsidP="00A02919">
      <w:pPr>
        <w:spacing w:after="120"/>
        <w:ind w:left="720"/>
        <w:jc w:val="both"/>
        <w:rPr>
          <w:b/>
          <w:bCs/>
          <w:iCs/>
          <w:color w:val="548DD4" w:themeColor="text2" w:themeTint="99"/>
        </w:rPr>
      </w:pPr>
    </w:p>
    <w:p w14:paraId="45CE5AA1" w14:textId="77777777" w:rsidR="00A02919" w:rsidRPr="00093A50" w:rsidRDefault="00A02919" w:rsidP="004B3EBA">
      <w:pPr>
        <w:ind w:left="720"/>
        <w:jc w:val="both"/>
        <w:rPr>
          <w:b/>
          <w:bCs/>
          <w:iCs/>
          <w:color w:val="000000" w:themeColor="text1"/>
        </w:rPr>
      </w:pPr>
      <w:r w:rsidRPr="00093A50">
        <w:rPr>
          <w:b/>
          <w:bCs/>
          <w:iCs/>
          <w:color w:val="000000" w:themeColor="text1"/>
        </w:rPr>
        <w:t>Фискални правила по отношение на структурния дефицит на сектор „Държавно управление“</w:t>
      </w:r>
    </w:p>
    <w:p w14:paraId="1877B852" w14:textId="22FD9BD0" w:rsidR="00A02919" w:rsidRPr="00E648EB" w:rsidRDefault="00A02919" w:rsidP="00D06BB9">
      <w:pPr>
        <w:ind w:firstLine="709"/>
        <w:jc w:val="both"/>
      </w:pPr>
      <w:r w:rsidRPr="00E648EB">
        <w:t>Средносрочната бюджетна цел за структурния баланс на сектор „Държавно управление“ е дефицит в размер до 1</w:t>
      </w:r>
      <w:r w:rsidR="00BC5B4D">
        <w:t xml:space="preserve"> </w:t>
      </w:r>
      <w:r w:rsidRPr="00E648EB">
        <w:t>% от БВП. Тази цел е в съответствие с изискванията на чл. 23, ал. 2 от ЗПФ, като отчита сравнително ниския размер на консолидирания дълг на сектор „Държавно управление”, както и ниските рискове пред дългосрочната уст</w:t>
      </w:r>
      <w:r>
        <w:t xml:space="preserve">ойчивост на публичните финанси. </w:t>
      </w:r>
      <w:r w:rsidRPr="0030651A">
        <w:rPr>
          <w:bCs/>
        </w:rPr>
        <w:t>Според чл. 24 от ЗПФ неизпълнението на средносрочната бюджетна цел за структурния дефицит на годишна основа се допуска при извънредни обстоятелства.</w:t>
      </w:r>
      <w:r>
        <w:rPr>
          <w:bCs/>
        </w:rPr>
        <w:t xml:space="preserve"> </w:t>
      </w:r>
      <w:r w:rsidRPr="0030651A">
        <w:rPr>
          <w:bCs/>
        </w:rPr>
        <w:t>Поради кризата, породена от COVID-19, през 2020 г. бе активирана общата клауза за дерогация (General escape clause) от Пакта за стабилност и растеж, която позволи на държавите членки да се отклонят от стъпката за постигане на средносрочната бюджетна цел през 2020 и 2021 г. В последствие, с решение на ЕК прилагането на клаузата за дерогация в ЕС бе удължено за 2022 г. и 2023 г.</w:t>
      </w:r>
    </w:p>
    <w:p w14:paraId="43E6CF7F" w14:textId="359FB800" w:rsidR="00A02919" w:rsidRPr="004D5FFC" w:rsidRDefault="00A02919" w:rsidP="00D06BB9">
      <w:pPr>
        <w:ind w:firstLine="709"/>
        <w:jc w:val="both"/>
        <w:rPr>
          <w:color w:val="000000" w:themeColor="text1"/>
          <w:lang w:val="ru-RU"/>
        </w:rPr>
      </w:pPr>
      <w:r w:rsidRPr="00E648EB">
        <w:t>През 202</w:t>
      </w:r>
      <w:r>
        <w:t>2</w:t>
      </w:r>
      <w:r w:rsidRPr="00E648EB">
        <w:t xml:space="preserve"> г. структурното бюджетно салдо </w:t>
      </w:r>
      <w:r>
        <w:t>възлезе на дефицит от 1</w:t>
      </w:r>
      <w:r w:rsidR="004A3EC6">
        <w:t>,</w:t>
      </w:r>
      <w:r>
        <w:t>3</w:t>
      </w:r>
      <w:r w:rsidR="00BC5B4D">
        <w:t xml:space="preserve"> </w:t>
      </w:r>
      <w:r>
        <w:t>% от БВП</w:t>
      </w:r>
      <w:r w:rsidRPr="00E648EB">
        <w:t xml:space="preserve">. </w:t>
      </w:r>
      <w:r>
        <w:t>Н</w:t>
      </w:r>
      <w:r w:rsidRPr="00E648EB">
        <w:t>арастване на международните цени, вкл. цените на енергоносителите, доведе до продължаване</w:t>
      </w:r>
      <w:r>
        <w:t xml:space="preserve"> на някои от действащите и въвеждане на нови</w:t>
      </w:r>
      <w:r w:rsidRPr="00E648EB">
        <w:t xml:space="preserve"> разходните политики за подкрепа на домакинствата и фирмите и формиране на отрицателен бюджетен баланс на сектор "Държавно управление" (</w:t>
      </w:r>
      <w:r>
        <w:t>2,8</w:t>
      </w:r>
      <w:r w:rsidR="00BC5B4D">
        <w:t xml:space="preserve"> </w:t>
      </w:r>
      <w:r w:rsidRPr="00E648EB">
        <w:t xml:space="preserve">% от БВП). Отчитането на </w:t>
      </w:r>
      <w:r>
        <w:t xml:space="preserve">някои от въведените </w:t>
      </w:r>
      <w:r w:rsidRPr="00E648EB">
        <w:t xml:space="preserve">бюджетни мерки, като мерки с временен характер, </w:t>
      </w:r>
      <w:r>
        <w:t xml:space="preserve">се отрази във </w:t>
      </w:r>
      <w:r w:rsidRPr="00E648EB">
        <w:t>възходяща корекция на структурното салдо</w:t>
      </w:r>
      <w:r>
        <w:t>. К</w:t>
      </w:r>
      <w:r w:rsidRPr="00E648EB">
        <w:t>орекция</w:t>
      </w:r>
      <w:r>
        <w:t>та</w:t>
      </w:r>
      <w:r w:rsidRPr="00E648EB">
        <w:t xml:space="preserve"> спрямо фазата на икономическия цикъл</w:t>
      </w:r>
      <w:r>
        <w:t xml:space="preserve"> върху</w:t>
      </w:r>
      <w:r w:rsidRPr="00E648EB">
        <w:t xml:space="preserve"> бюджетно салдо бе </w:t>
      </w:r>
      <w:r>
        <w:t>отрицателна</w:t>
      </w:r>
      <w:r w:rsidRPr="00E648EB">
        <w:t>.</w:t>
      </w:r>
    </w:p>
    <w:p w14:paraId="08B30D56" w14:textId="77777777" w:rsidR="00A02919" w:rsidRPr="00113720" w:rsidRDefault="00A02919" w:rsidP="00A02919">
      <w:pPr>
        <w:spacing w:after="120"/>
        <w:ind w:left="720"/>
        <w:jc w:val="both"/>
        <w:rPr>
          <w:b/>
          <w:bCs/>
          <w:i/>
          <w:iCs/>
          <w:color w:val="0070C0"/>
          <w:sz w:val="2"/>
          <w:szCs w:val="2"/>
          <w:u w:val="single"/>
        </w:rPr>
      </w:pPr>
    </w:p>
    <w:p w14:paraId="581359AF" w14:textId="77777777" w:rsidR="00A02919" w:rsidRPr="00113720" w:rsidRDefault="00A02919" w:rsidP="00A02919">
      <w:pPr>
        <w:spacing w:before="240" w:after="120"/>
        <w:ind w:left="720"/>
        <w:jc w:val="both"/>
        <w:rPr>
          <w:b/>
          <w:bCs/>
          <w:iCs/>
          <w:color w:val="000000" w:themeColor="text1"/>
        </w:rPr>
      </w:pPr>
      <w:r w:rsidRPr="00113720">
        <w:rPr>
          <w:b/>
          <w:bCs/>
          <w:iCs/>
          <w:color w:val="000000" w:themeColor="text1"/>
        </w:rPr>
        <w:t>Фискално правило по отношение на дефицита на сектор „Държавно управление“</w:t>
      </w:r>
    </w:p>
    <w:p w14:paraId="79646650" w14:textId="1C404142" w:rsidR="00A02919" w:rsidRPr="00113720" w:rsidRDefault="00A02919" w:rsidP="00D06BB9">
      <w:pPr>
        <w:ind w:firstLine="709"/>
        <w:jc w:val="both"/>
        <w:rPr>
          <w:bCs/>
          <w:color w:val="000000" w:themeColor="text1"/>
        </w:rPr>
      </w:pPr>
      <w:r w:rsidRPr="00113720">
        <w:rPr>
          <w:bCs/>
          <w:color w:val="000000" w:themeColor="text1"/>
        </w:rPr>
        <w:t>На база на данни от априлските Нотификационни таблици за дефицита и дълга на България салдото на сектор „Държавно управление“ за 2</w:t>
      </w:r>
      <w:r>
        <w:rPr>
          <w:bCs/>
          <w:color w:val="000000" w:themeColor="text1"/>
        </w:rPr>
        <w:t>02</w:t>
      </w:r>
      <w:r w:rsidRPr="004D5FFC">
        <w:rPr>
          <w:bCs/>
          <w:color w:val="000000" w:themeColor="text1"/>
          <w:lang w:val="ru-RU"/>
        </w:rPr>
        <w:t>2</w:t>
      </w:r>
      <w:r>
        <w:rPr>
          <w:bCs/>
          <w:color w:val="000000" w:themeColor="text1"/>
        </w:rPr>
        <w:t xml:space="preserve"> г. е дефицит в размер на </w:t>
      </w:r>
      <w:r w:rsidRPr="004D5FFC">
        <w:rPr>
          <w:bCs/>
          <w:color w:val="000000" w:themeColor="text1"/>
          <w:lang w:val="ru-RU"/>
        </w:rPr>
        <w:t>2</w:t>
      </w:r>
      <w:r w:rsidR="00E939DE">
        <w:rPr>
          <w:bCs/>
          <w:color w:val="000000" w:themeColor="text1"/>
          <w:lang w:val="ru-RU"/>
        </w:rPr>
        <w:t>,</w:t>
      </w:r>
      <w:r w:rsidRPr="004D5FFC">
        <w:rPr>
          <w:bCs/>
          <w:color w:val="000000" w:themeColor="text1"/>
          <w:lang w:val="ru-RU"/>
        </w:rPr>
        <w:t>8</w:t>
      </w:r>
      <w:r w:rsidRPr="00113720">
        <w:rPr>
          <w:bCs/>
          <w:color w:val="000000" w:themeColor="text1"/>
        </w:rPr>
        <w:t xml:space="preserve"> % от БВП. Отчетената стойност </w:t>
      </w:r>
      <w:r>
        <w:rPr>
          <w:bCs/>
          <w:color w:val="000000" w:themeColor="text1"/>
        </w:rPr>
        <w:t>отговаря на</w:t>
      </w:r>
      <w:r w:rsidRPr="00113720">
        <w:rPr>
          <w:bCs/>
          <w:color w:val="000000" w:themeColor="text1"/>
        </w:rPr>
        <w:t xml:space="preserve"> заложената референтна </w:t>
      </w:r>
      <w:r>
        <w:rPr>
          <w:bCs/>
          <w:color w:val="000000" w:themeColor="text1"/>
        </w:rPr>
        <w:t>стойност в чл. 25, ал. 2 на ЗПФ</w:t>
      </w:r>
      <w:r w:rsidRPr="00113720">
        <w:rPr>
          <w:bCs/>
          <w:color w:val="000000" w:themeColor="text1"/>
        </w:rPr>
        <w:t xml:space="preserve">.   </w:t>
      </w:r>
    </w:p>
    <w:p w14:paraId="1BB5FFCE" w14:textId="77777777" w:rsidR="00A02919" w:rsidRPr="00113720" w:rsidRDefault="00A02919" w:rsidP="00D06BB9">
      <w:pPr>
        <w:spacing w:before="240"/>
        <w:ind w:left="720"/>
        <w:jc w:val="both"/>
        <w:rPr>
          <w:b/>
          <w:bCs/>
          <w:iCs/>
          <w:color w:val="000000" w:themeColor="text1"/>
        </w:rPr>
      </w:pPr>
      <w:r w:rsidRPr="00113720">
        <w:rPr>
          <w:b/>
          <w:bCs/>
          <w:iCs/>
          <w:color w:val="000000" w:themeColor="text1"/>
        </w:rPr>
        <w:t>Фискално правило по отношение на ръста на бюджетните разходи</w:t>
      </w:r>
    </w:p>
    <w:p w14:paraId="30233550" w14:textId="77777777" w:rsidR="00A02919" w:rsidRPr="00E07AB2" w:rsidRDefault="00A02919" w:rsidP="00D06BB9">
      <w:pPr>
        <w:ind w:firstLine="709"/>
        <w:jc w:val="both"/>
        <w:rPr>
          <w:color w:val="000000" w:themeColor="text1"/>
        </w:rPr>
      </w:pPr>
      <w:r w:rsidRPr="00E07AB2">
        <w:rPr>
          <w:color w:val="000000" w:themeColor="text1"/>
        </w:rPr>
        <w:t xml:space="preserve">Оценката на съответствието с изискванията по Пакта за стабилност и растеж (ПСР) и Закона за публичните финанси (ЗПФ) по отношение на растежа на бюджетните разходи се базира на общата методология на Европейската комисия за т. нар. бенчмарк на разходите, при отчитането на разделението между финансираните с национални средства и със средства от ЕС публични инвестиции. Бенчмаркът на разходите се сравнява с нивото на потенциалния средносрочен растеж на БВП, изчислен от ЕК. </w:t>
      </w:r>
    </w:p>
    <w:p w14:paraId="51C10FBC" w14:textId="3DF4B821" w:rsidR="00A02919" w:rsidRPr="00E07AB2" w:rsidRDefault="00A02919" w:rsidP="00D06BB9">
      <w:pPr>
        <w:ind w:firstLine="709"/>
        <w:jc w:val="both"/>
        <w:rPr>
          <w:color w:val="000000" w:themeColor="text1"/>
        </w:rPr>
      </w:pPr>
      <w:r w:rsidRPr="00E07AB2">
        <w:rPr>
          <w:color w:val="000000" w:themeColor="text1"/>
        </w:rPr>
        <w:t>На база направени изчисления от Министерството на финансите, изменението в реално изражение на разходния индикатор, използван за целите на фискалното управление в ЕС, се оценява на -</w:t>
      </w:r>
      <w:r w:rsidR="008040EC">
        <w:rPr>
          <w:color w:val="000000" w:themeColor="text1"/>
        </w:rPr>
        <w:t xml:space="preserve">2,9 </w:t>
      </w:r>
      <w:r w:rsidRPr="00E07AB2">
        <w:rPr>
          <w:color w:val="000000" w:themeColor="text1"/>
        </w:rPr>
        <w:t>% за 2022 г. Това е под нивото на референтния растеж от 2</w:t>
      </w:r>
      <w:r w:rsidR="002968DE">
        <w:rPr>
          <w:color w:val="000000" w:themeColor="text1"/>
        </w:rPr>
        <w:t>,</w:t>
      </w:r>
      <w:r w:rsidRPr="00E07AB2">
        <w:rPr>
          <w:color w:val="000000" w:themeColor="text1"/>
        </w:rPr>
        <w:t>3</w:t>
      </w:r>
      <w:r w:rsidR="002968DE">
        <w:rPr>
          <w:color w:val="000000" w:themeColor="text1"/>
        </w:rPr>
        <w:t xml:space="preserve"> </w:t>
      </w:r>
      <w:r w:rsidRPr="00E07AB2">
        <w:rPr>
          <w:color w:val="000000" w:themeColor="text1"/>
        </w:rPr>
        <w:t>% за отчетната година, изчислен от ЕК.</w:t>
      </w:r>
    </w:p>
    <w:p w14:paraId="768578AF" w14:textId="77777777" w:rsidR="00A02919" w:rsidRPr="00093A50" w:rsidRDefault="00A02919" w:rsidP="00D06BB9">
      <w:pPr>
        <w:ind w:firstLine="709"/>
        <w:jc w:val="both"/>
        <w:rPr>
          <w:color w:val="000000" w:themeColor="text1"/>
        </w:rPr>
      </w:pPr>
      <w:r w:rsidRPr="00E07AB2">
        <w:rPr>
          <w:color w:val="000000" w:themeColor="text1"/>
        </w:rPr>
        <w:t>През 2019 г. и до избухването на пандемията от COVID-19 през 2020 г., България стриктно спазваше правилата на ПСР, и по-конкретно неговата превантивна част. През 2020 г. бе активирана общата клауза за дерогация (General escape clause) от ПСР, която остана в сила през 2021 и 2022 г. Тя позволява на държавите членки временно да се отклонят от стъпката за постигане на средносрочната бюджетна цел, при условие че това не застрашава фискалната им устойчивост в средносрочен план</w:t>
      </w:r>
      <w:r w:rsidRPr="003E4FBF">
        <w:rPr>
          <w:color w:val="000000" w:themeColor="text1"/>
          <w:vertAlign w:val="superscript"/>
        </w:rPr>
        <w:footnoteReference w:id="5"/>
      </w:r>
      <w:r w:rsidRPr="00E07AB2">
        <w:rPr>
          <w:color w:val="000000" w:themeColor="text1"/>
        </w:rPr>
        <w:t>. Бенчмаркът на разходите е част от индикаторите, следени при оценката на спазването на правилата в превантивната част на ПСР, и като такъв попада под обхвата на общата клауза за дерогация.</w:t>
      </w:r>
    </w:p>
    <w:p w14:paraId="7973C629" w14:textId="77777777" w:rsidR="00A02919" w:rsidRDefault="00A02919" w:rsidP="00D06BB9">
      <w:pPr>
        <w:spacing w:before="240"/>
        <w:ind w:left="720"/>
        <w:jc w:val="both"/>
        <w:rPr>
          <w:b/>
          <w:bCs/>
          <w:iCs/>
          <w:color w:val="000000" w:themeColor="text1"/>
        </w:rPr>
      </w:pPr>
      <w:r w:rsidRPr="00113720">
        <w:rPr>
          <w:b/>
          <w:bCs/>
          <w:iCs/>
          <w:color w:val="000000" w:themeColor="text1"/>
        </w:rPr>
        <w:t>Фискално правило по отношение на салдото по консолидираната фискална програма</w:t>
      </w:r>
    </w:p>
    <w:p w14:paraId="69860502" w14:textId="77777777" w:rsidR="00A02919" w:rsidRDefault="00A02919" w:rsidP="00A02919">
      <w:pPr>
        <w:spacing w:after="120"/>
        <w:ind w:firstLine="709"/>
        <w:jc w:val="both"/>
        <w:rPr>
          <w:bCs/>
          <w:color w:val="000000" w:themeColor="text1"/>
        </w:rPr>
      </w:pPr>
      <w:r w:rsidRPr="00113720">
        <w:rPr>
          <w:bCs/>
          <w:color w:val="000000" w:themeColor="text1"/>
        </w:rPr>
        <w:t xml:space="preserve">Съгласно разпоредбите на чл. 27, ал. 4 </w:t>
      </w:r>
      <w:r>
        <w:rPr>
          <w:bCs/>
          <w:color w:val="000000" w:themeColor="text1"/>
        </w:rPr>
        <w:t>от</w:t>
      </w:r>
      <w:r w:rsidRPr="00113720">
        <w:rPr>
          <w:bCs/>
          <w:color w:val="000000" w:themeColor="text1"/>
        </w:rPr>
        <w:t xml:space="preserve"> Закона за публичните финанси дефицитът по КФП на касова основа не може да надвишава 3,0 на сто от БВП. На база на годишните отчети за касовото изпълнение на бюджетите на първостепенните разпоредители с бюджет салдото по КФП за 202</w:t>
      </w:r>
      <w:r>
        <w:rPr>
          <w:bCs/>
          <w:color w:val="000000" w:themeColor="text1"/>
        </w:rPr>
        <w:t>2</w:t>
      </w:r>
      <w:r w:rsidRPr="00113720">
        <w:rPr>
          <w:bCs/>
          <w:color w:val="000000" w:themeColor="text1"/>
        </w:rPr>
        <w:t xml:space="preserve"> г. е отрицателно (дефицит) в размер на </w:t>
      </w:r>
      <w:r>
        <w:rPr>
          <w:bCs/>
          <w:color w:val="000000" w:themeColor="text1"/>
        </w:rPr>
        <w:t>0,8</w:t>
      </w:r>
      <w:r w:rsidRPr="00113720">
        <w:rPr>
          <w:bCs/>
          <w:color w:val="000000" w:themeColor="text1"/>
        </w:rPr>
        <w:t xml:space="preserve"> на сто от БВП, което не превишава референтната стойност, заложена в ЗПФ. В този смисъл разпоредбите на чл. 27, ал. 4 са изпълнени. </w:t>
      </w:r>
    </w:p>
    <w:p w14:paraId="557B1024" w14:textId="77777777" w:rsidR="00A02919" w:rsidRPr="00113720" w:rsidRDefault="00A02919" w:rsidP="00D06BB9">
      <w:pPr>
        <w:ind w:left="720"/>
        <w:jc w:val="both"/>
        <w:rPr>
          <w:b/>
          <w:bCs/>
          <w:iCs/>
          <w:color w:val="000000" w:themeColor="text1"/>
        </w:rPr>
      </w:pPr>
      <w:r w:rsidRPr="00113720">
        <w:rPr>
          <w:b/>
          <w:bCs/>
          <w:iCs/>
          <w:color w:val="000000" w:themeColor="text1"/>
        </w:rPr>
        <w:t>Фискално правило по отношение на максималния размер на разходите по консолидираната фискална програма</w:t>
      </w:r>
    </w:p>
    <w:p w14:paraId="6D271CED" w14:textId="77777777" w:rsidR="00A02919" w:rsidRPr="00113720" w:rsidRDefault="00A02919" w:rsidP="00A02919">
      <w:pPr>
        <w:spacing w:after="120"/>
        <w:ind w:firstLine="709"/>
        <w:jc w:val="both"/>
        <w:rPr>
          <w:bCs/>
          <w:color w:val="000000" w:themeColor="text1"/>
        </w:rPr>
      </w:pPr>
      <w:r w:rsidRPr="00113720">
        <w:rPr>
          <w:bCs/>
          <w:color w:val="000000" w:themeColor="text1"/>
        </w:rPr>
        <w:t>Съгласно разпоредбите на чл. 28 от Закона за публичните финанси разходите по консолидираната фискална програма</w:t>
      </w:r>
      <w:r w:rsidRPr="00113720">
        <w:rPr>
          <w:rStyle w:val="FootnoteReference"/>
          <w:color w:val="000000" w:themeColor="text1"/>
        </w:rPr>
        <w:footnoteReference w:id="6"/>
      </w:r>
      <w:r w:rsidRPr="00113720">
        <w:rPr>
          <w:bCs/>
          <w:color w:val="000000" w:themeColor="text1"/>
        </w:rPr>
        <w:t xml:space="preserve"> не могат да надвишават референтната стойност от 40 на сто от БВП. На база на обобщените годишни отчети за касовото изпълнение на бюджетите на първостепенните разпоредители с бюджет общите разходи (вкл. вноската на Република България в общия бюджет на ЕС) по КФП за 202</w:t>
      </w:r>
      <w:r>
        <w:rPr>
          <w:bCs/>
          <w:color w:val="000000" w:themeColor="text1"/>
        </w:rPr>
        <w:t>2</w:t>
      </w:r>
      <w:r w:rsidRPr="00113720">
        <w:rPr>
          <w:bCs/>
          <w:color w:val="000000" w:themeColor="text1"/>
        </w:rPr>
        <w:t xml:space="preserve"> г. </w:t>
      </w:r>
      <w:r w:rsidRPr="002918DD">
        <w:rPr>
          <w:bCs/>
          <w:color w:val="000000" w:themeColor="text1"/>
        </w:rPr>
        <w:t>представляват 3</w:t>
      </w:r>
      <w:r w:rsidRPr="002918DD">
        <w:rPr>
          <w:bCs/>
          <w:color w:val="000000" w:themeColor="text1"/>
          <w:lang w:val="ru-RU"/>
        </w:rPr>
        <w:t>8</w:t>
      </w:r>
      <w:r w:rsidRPr="002918DD">
        <w:rPr>
          <w:bCs/>
          <w:color w:val="000000" w:themeColor="text1"/>
        </w:rPr>
        <w:t>,</w:t>
      </w:r>
      <w:r w:rsidRPr="002918DD">
        <w:rPr>
          <w:bCs/>
          <w:color w:val="000000" w:themeColor="text1"/>
          <w:lang w:val="ru-RU"/>
        </w:rPr>
        <w:t>1</w:t>
      </w:r>
      <w:r w:rsidRPr="002918DD">
        <w:rPr>
          <w:bCs/>
          <w:color w:val="000000" w:themeColor="text1"/>
        </w:rPr>
        <w:t xml:space="preserve"> на сто</w:t>
      </w:r>
      <w:r w:rsidRPr="00113720">
        <w:rPr>
          <w:bCs/>
          <w:color w:val="000000" w:themeColor="text1"/>
        </w:rPr>
        <w:t xml:space="preserve"> от БВП, което съответства на посочената разпоредба.</w:t>
      </w:r>
    </w:p>
    <w:p w14:paraId="108DA6DD" w14:textId="77777777" w:rsidR="00A02919" w:rsidRPr="00113720" w:rsidRDefault="00A02919" w:rsidP="00D06BB9">
      <w:pPr>
        <w:ind w:left="720"/>
        <w:jc w:val="both"/>
        <w:rPr>
          <w:b/>
          <w:bCs/>
          <w:iCs/>
          <w:color w:val="000000" w:themeColor="text1"/>
        </w:rPr>
      </w:pPr>
      <w:r w:rsidRPr="00113720">
        <w:rPr>
          <w:b/>
          <w:bCs/>
          <w:iCs/>
          <w:color w:val="000000" w:themeColor="text1"/>
        </w:rPr>
        <w:t>Фискално правило по отношение на номиналния размер на консолидирания дълг на сектор „Държавно управление“</w:t>
      </w:r>
    </w:p>
    <w:p w14:paraId="25471C04" w14:textId="205E723A" w:rsidR="00A02919" w:rsidRPr="00113720" w:rsidRDefault="00A02919" w:rsidP="00A02919">
      <w:pPr>
        <w:spacing w:after="120"/>
        <w:ind w:firstLine="709"/>
        <w:jc w:val="both"/>
        <w:rPr>
          <w:bCs/>
          <w:color w:val="000000" w:themeColor="text1"/>
        </w:rPr>
      </w:pPr>
      <w:r w:rsidRPr="00113720">
        <w:rPr>
          <w:bCs/>
          <w:color w:val="000000" w:themeColor="text1"/>
        </w:rPr>
        <w:t xml:space="preserve">През </w:t>
      </w:r>
      <w:r>
        <w:rPr>
          <w:bCs/>
          <w:color w:val="000000" w:themeColor="text1"/>
        </w:rPr>
        <w:t>202</w:t>
      </w:r>
      <w:r w:rsidRPr="004D5FFC">
        <w:rPr>
          <w:bCs/>
          <w:color w:val="000000" w:themeColor="text1"/>
          <w:lang w:val="ru-RU"/>
        </w:rPr>
        <w:t>2</w:t>
      </w:r>
      <w:r w:rsidRPr="00113720">
        <w:rPr>
          <w:bCs/>
          <w:color w:val="000000" w:themeColor="text1"/>
        </w:rPr>
        <w:t xml:space="preserve"> г. фискалното правило по чл. 29 от Закона за публичните финанси относно номиналния размер на консолидирания дълг на сектор „Държавно управление“, който към края на всяка година не може да надвишава 60 на сто от брутния вътрешен продукт е спазено, запазвайки нивото си далеч под горния праг на Маастрихтския критерий за конвергенция. По предварителни данни, съгласно априлските Нотификационни таблици за дефицита и дълга към края на 202</w:t>
      </w:r>
      <w:r w:rsidRPr="004D5FFC">
        <w:rPr>
          <w:bCs/>
          <w:color w:val="000000" w:themeColor="text1"/>
          <w:lang w:val="ru-RU"/>
        </w:rPr>
        <w:t>2</w:t>
      </w:r>
      <w:r w:rsidRPr="00113720">
        <w:rPr>
          <w:bCs/>
          <w:color w:val="000000" w:themeColor="text1"/>
        </w:rPr>
        <w:t xml:space="preserve"> г.</w:t>
      </w:r>
      <w:r>
        <w:rPr>
          <w:bCs/>
          <w:color w:val="000000" w:themeColor="text1"/>
        </w:rPr>
        <w:t>,</w:t>
      </w:r>
      <w:r w:rsidRPr="00113720">
        <w:rPr>
          <w:bCs/>
          <w:color w:val="000000" w:themeColor="text1"/>
        </w:rPr>
        <w:t xml:space="preserve"> стойността на индикатора, определящ степента на държавна задлъжнялост и един от основните критерии за конвергенция – показателят „консолидиран дълг на сектор „Държавно управле</w:t>
      </w:r>
      <w:r>
        <w:rPr>
          <w:bCs/>
          <w:color w:val="000000" w:themeColor="text1"/>
        </w:rPr>
        <w:t xml:space="preserve">ние“/БВП“ достига до ниво от </w:t>
      </w:r>
      <w:r w:rsidRPr="004D5FFC">
        <w:rPr>
          <w:bCs/>
          <w:color w:val="000000" w:themeColor="text1"/>
          <w:lang w:val="ru-RU"/>
        </w:rPr>
        <w:t>22</w:t>
      </w:r>
      <w:r w:rsidR="00B63AB8">
        <w:rPr>
          <w:bCs/>
          <w:color w:val="000000" w:themeColor="text1"/>
        </w:rPr>
        <w:t>,</w:t>
      </w:r>
      <w:r w:rsidRPr="004D5FFC">
        <w:rPr>
          <w:bCs/>
          <w:color w:val="000000" w:themeColor="text1"/>
          <w:lang w:val="ru-RU"/>
        </w:rPr>
        <w:t>9</w:t>
      </w:r>
      <w:r w:rsidRPr="00113720">
        <w:rPr>
          <w:bCs/>
          <w:color w:val="000000" w:themeColor="text1"/>
        </w:rPr>
        <w:t xml:space="preserve"> % (при </w:t>
      </w:r>
      <w:r w:rsidRPr="004D5FFC">
        <w:rPr>
          <w:bCs/>
          <w:color w:val="000000" w:themeColor="text1"/>
          <w:lang w:val="ru-RU"/>
        </w:rPr>
        <w:t>23</w:t>
      </w:r>
      <w:r w:rsidR="00B63AB8">
        <w:rPr>
          <w:bCs/>
          <w:color w:val="000000" w:themeColor="text1"/>
        </w:rPr>
        <w:t>,</w:t>
      </w:r>
      <w:r w:rsidRPr="004D5FFC">
        <w:rPr>
          <w:bCs/>
          <w:color w:val="000000" w:themeColor="text1"/>
          <w:lang w:val="ru-RU"/>
        </w:rPr>
        <w:t>9</w:t>
      </w:r>
      <w:r w:rsidRPr="00113720">
        <w:rPr>
          <w:bCs/>
          <w:color w:val="000000" w:themeColor="text1"/>
        </w:rPr>
        <w:t xml:space="preserve"> % през 20</w:t>
      </w:r>
      <w:r>
        <w:rPr>
          <w:bCs/>
          <w:color w:val="000000" w:themeColor="text1"/>
        </w:rPr>
        <w:t>2</w:t>
      </w:r>
      <w:r w:rsidRPr="004D5FFC">
        <w:rPr>
          <w:bCs/>
          <w:color w:val="000000" w:themeColor="text1"/>
          <w:lang w:val="ru-RU"/>
        </w:rPr>
        <w:t>1</w:t>
      </w:r>
      <w:r w:rsidRPr="00113720">
        <w:rPr>
          <w:bCs/>
          <w:color w:val="000000" w:themeColor="text1"/>
        </w:rPr>
        <w:t> г.). На база на отчетените данни за показателя изискванията на чл. 29 от ЗПФ са изпълнени.</w:t>
      </w:r>
    </w:p>
    <w:p w14:paraId="4C784204" w14:textId="1CE10CB3" w:rsidR="00456635" w:rsidRPr="004D5FFC" w:rsidRDefault="00456635" w:rsidP="00BD39E0">
      <w:pPr>
        <w:pStyle w:val="Heading3"/>
        <w:numPr>
          <w:ilvl w:val="1"/>
          <w:numId w:val="44"/>
        </w:numPr>
        <w:jc w:val="both"/>
        <w:rPr>
          <w:rFonts w:ascii="Times New Roman" w:hAnsi="Times New Roman"/>
          <w:sz w:val="24"/>
          <w:lang w:val="ru-RU"/>
        </w:rPr>
      </w:pPr>
      <w:bookmarkStart w:id="68" w:name="_Toc146037880"/>
      <w:r w:rsidRPr="004D5FFC">
        <w:rPr>
          <w:rFonts w:ascii="Times New Roman" w:hAnsi="Times New Roman"/>
          <w:sz w:val="24"/>
          <w:lang w:val="ru-RU"/>
        </w:rPr>
        <w:t>Програми за компенсации за високите цени на електрическата енергия и природния газ</w:t>
      </w:r>
      <w:bookmarkEnd w:id="68"/>
    </w:p>
    <w:p w14:paraId="5C4EBCA6" w14:textId="632655BD" w:rsidR="00013772" w:rsidRPr="004923D3" w:rsidRDefault="00013772" w:rsidP="009A5791">
      <w:pPr>
        <w:ind w:firstLine="709"/>
        <w:jc w:val="both"/>
        <w:rPr>
          <w:color w:val="000000"/>
        </w:rPr>
      </w:pPr>
      <w:r w:rsidRPr="004923D3">
        <w:rPr>
          <w:color w:val="000000"/>
        </w:rPr>
        <w:t xml:space="preserve">В края на 2021 г. бяха одобрени </w:t>
      </w:r>
      <w:r w:rsidRPr="004923D3">
        <w:rPr>
          <w:i/>
          <w:color w:val="000000"/>
        </w:rPr>
        <w:t xml:space="preserve">Програма за компенсиране на небитови крайни клиенти на електрическа енергия </w:t>
      </w:r>
      <w:r w:rsidRPr="004923D3">
        <w:rPr>
          <w:color w:val="000000"/>
        </w:rPr>
        <w:t>и</w:t>
      </w:r>
      <w:r w:rsidRPr="004923D3">
        <w:rPr>
          <w:i/>
          <w:color w:val="000000"/>
        </w:rPr>
        <w:t xml:space="preserve"> Програма за компенсиране на разходите на операторите на електропреносната и на електроразпределителните мрежи за закупуване на количества електрическа енергия, потребена за технологични разходи</w:t>
      </w:r>
      <w:r w:rsidRPr="004923D3">
        <w:rPr>
          <w:color w:val="000000"/>
        </w:rPr>
        <w:t xml:space="preserve"> (РМС №739/2021; РМС №771/2021; РМС №885/2021; РМС №893/2021). Подкрепата по програмите е насочена към всички небитови крайни клиенти по смисъла на § 1, т.27г и 33а от Допълнителните разпоредби на Закона за енергетиката. Програмите предвиждат механизъм за подкрепа на небитовите крайни клиенти чрез търговците на електрическа енергия, доставчиците от последна инстанция, производителите на електрическа енергия, продаващи директно на небитови крайни клиенти, и оператора на организиран борсов пазар на електрическа енергия. Възползвалите се от тази програма се оценяват на около 633 000 небитови крайни клиенти на електрическа енергия. Същите са подпомогнати ежемесечно чрез извършване на компенсация на базата на количествата активна електрическа енергия, върху която по принцип следва да се начисли цена „задължение към обществото“, с фиксирана сума за подпомагане на един </w:t>
      </w:r>
      <w:r w:rsidRPr="004923D3">
        <w:rPr>
          <w:color w:val="000000"/>
          <w:lang w:val="en-US"/>
        </w:rPr>
        <w:t>MWh</w:t>
      </w:r>
      <w:r w:rsidRPr="004923D3">
        <w:rPr>
          <w:color w:val="000000"/>
        </w:rPr>
        <w:t xml:space="preserve">. Действието на тези програми бе продължено първоначално до края на първото тримесечие, а в последствие и до края полугодието на 2022 г., като те бяха многократно модифицирани и доразвити (РМС № 15/2022 г., РМС №30/2022; РМС №92/2022; РМС №105/2022; РМС №202/2022; РМС №301/2022; РМС №356/2022). </w:t>
      </w:r>
    </w:p>
    <w:p w14:paraId="53A81B7F" w14:textId="77777777" w:rsidR="00013772" w:rsidRPr="004923D3" w:rsidRDefault="00013772" w:rsidP="009A5791">
      <w:pPr>
        <w:ind w:firstLine="709"/>
        <w:jc w:val="both"/>
        <w:rPr>
          <w:color w:val="000000"/>
        </w:rPr>
      </w:pPr>
      <w:r w:rsidRPr="004923D3">
        <w:rPr>
          <w:color w:val="000000"/>
        </w:rPr>
        <w:t>Освен компенсациите за небитовите потребители на електрическа енергия и за операторите на електропреносната и на електроразпределителните мрежи за закупуване на количества електрическа енергия, потребена за технологични разходи, бяха одобрени и:</w:t>
      </w:r>
    </w:p>
    <w:p w14:paraId="7333C641" w14:textId="77777777" w:rsidR="00013772" w:rsidRPr="004923D3" w:rsidRDefault="00013772" w:rsidP="00BD39E0">
      <w:pPr>
        <w:numPr>
          <w:ilvl w:val="0"/>
          <w:numId w:val="83"/>
        </w:numPr>
        <w:tabs>
          <w:tab w:val="left" w:pos="993"/>
        </w:tabs>
        <w:ind w:left="0" w:firstLine="709"/>
        <w:jc w:val="both"/>
        <w:rPr>
          <w:color w:val="000000"/>
        </w:rPr>
      </w:pPr>
      <w:r w:rsidRPr="004923D3">
        <w:rPr>
          <w:i/>
          <w:color w:val="000000"/>
        </w:rPr>
        <w:t>Програма за компенсиране на битовите клиенти на природен газ и топлофикационни дружества, използващи като основно гориво природен газ, с подпомагане с фиксирана сума за един MWh (РМС№ 31/2022)</w:t>
      </w:r>
      <w:r w:rsidRPr="004923D3">
        <w:rPr>
          <w:color w:val="000000"/>
        </w:rPr>
        <w:t xml:space="preserve">. Програмата предвижда механизъм за подпомагане на битовите клиенти чрез крайните снабдители на природен газ и чрез обществения доставчик при продажбата на природен газ на лица, на които е издадена лицензия за производство и пренос на топлинна енергия, в качеството им на топлоснабдителни дружества. От програмата се възползват около 137 951 битови клиенти на природен газ и топлофикации, които използват основно гориво природен газ, като подпомагането се извършваше чрез компенсация на базата на количествата потребен природен газ за съответния месец до фиксирана сума на </w:t>
      </w:r>
      <w:r w:rsidRPr="004923D3">
        <w:rPr>
          <w:color w:val="000000"/>
          <w:lang w:val="en-US"/>
        </w:rPr>
        <w:t>MWh</w:t>
      </w:r>
      <w:r w:rsidRPr="004923D3">
        <w:rPr>
          <w:color w:val="000000"/>
        </w:rPr>
        <w:t>.</w:t>
      </w:r>
    </w:p>
    <w:p w14:paraId="244993C4" w14:textId="77777777" w:rsidR="00013772" w:rsidRPr="004923D3" w:rsidRDefault="00013772" w:rsidP="00BD39E0">
      <w:pPr>
        <w:numPr>
          <w:ilvl w:val="0"/>
          <w:numId w:val="83"/>
        </w:numPr>
        <w:tabs>
          <w:tab w:val="left" w:pos="993"/>
        </w:tabs>
        <w:ind w:left="0" w:firstLine="709"/>
        <w:jc w:val="both"/>
        <w:rPr>
          <w:color w:val="000000"/>
        </w:rPr>
      </w:pPr>
      <w:r w:rsidRPr="004923D3">
        <w:rPr>
          <w:i/>
          <w:color w:val="000000"/>
        </w:rPr>
        <w:t>Програма за компенсиране на непредвидените разходи на дружествата от отрасъл ВиК за потребена електрическа енергия (РМС №40/2022).</w:t>
      </w:r>
      <w:r w:rsidRPr="004923D3">
        <w:rPr>
          <w:color w:val="000000"/>
        </w:rPr>
        <w:t xml:space="preserve"> Програмата има за цел да минимизира допълнително формирания отрицателен ефект за небитовите потребители от отрасъл ВиК от поскъпването на електрическата енергия ма международните пазари и да отрази специфичния характер на предоставяне на ВиК услуги от дружествата на потребителите на регулирани от държавен орган цени.</w:t>
      </w:r>
    </w:p>
    <w:p w14:paraId="35B68C43" w14:textId="77777777" w:rsidR="00013772" w:rsidRPr="004923D3" w:rsidRDefault="00013772" w:rsidP="00BD39E0">
      <w:pPr>
        <w:numPr>
          <w:ilvl w:val="0"/>
          <w:numId w:val="83"/>
        </w:numPr>
        <w:tabs>
          <w:tab w:val="left" w:pos="993"/>
        </w:tabs>
        <w:ind w:left="0" w:firstLine="709"/>
        <w:jc w:val="both"/>
        <w:rPr>
          <w:color w:val="000000"/>
          <w:u w:val="single"/>
        </w:rPr>
      </w:pPr>
      <w:r w:rsidRPr="004923D3">
        <w:rPr>
          <w:i/>
          <w:color w:val="000000"/>
        </w:rPr>
        <w:t xml:space="preserve">Програма за подпомагане на студенти и докторанти, настанени в студентски общежития, стопанисвани от държавните висши училища и „Студентски столове и общежития“ ЕАД (ССО ЕАД) (РМС №162/2022). </w:t>
      </w:r>
      <w:r w:rsidRPr="004923D3">
        <w:t>Принципът за изчисляване на компенсациите по програмата се обосновава на необходимостта да се компенсират превишените разходи за закупуване на електрическа енергия по пазарни цени, спрямо стойността на същите количества електрическа енергия по регулирани цени за битови крайни клиенти на държавните висши училища и Студентски столове и общежития ЕАД. Тази необходимост е породена от факта, че организациите, стопанисващи общежитията, купуват електрическа енергия като небитови крайни клиенти, а преобладаващи количества от нея се потребяват за битови нужди от ползвателите на общежитията. На база направените предварителни изчисления се предвижда от компенсацията да се възползват средно месечно около 30 000 студенти и докторанти, настанени в студентски общежития.</w:t>
      </w:r>
    </w:p>
    <w:p w14:paraId="372FB9D0" w14:textId="0407B4B7" w:rsidR="00013772" w:rsidRPr="004923D3" w:rsidRDefault="00013772" w:rsidP="00BB7D5E">
      <w:pPr>
        <w:ind w:firstLine="709"/>
        <w:jc w:val="both"/>
        <w:rPr>
          <w:color w:val="4E67C8"/>
        </w:rPr>
      </w:pPr>
      <w:r w:rsidRPr="004923D3">
        <w:t>Посочените три програми бяха допълвани няколкократно ( РМС № 93/2022, РМС №</w:t>
      </w:r>
      <w:r w:rsidR="00EA10CA">
        <w:t> </w:t>
      </w:r>
      <w:r w:rsidRPr="004923D3">
        <w:t>105/2022 г., РМС № 202/2022 г., РМС № 301/2022 г., РМС № 356/2022 г., РМС № 734/2022)</w:t>
      </w:r>
      <w:r>
        <w:t>.</w:t>
      </w:r>
    </w:p>
    <w:p w14:paraId="3CF82160" w14:textId="2FE11E7A" w:rsidR="00013772" w:rsidRPr="004923D3" w:rsidRDefault="00013772" w:rsidP="00BB7D5E">
      <w:pPr>
        <w:ind w:firstLine="709"/>
        <w:jc w:val="both"/>
      </w:pPr>
      <w:r w:rsidRPr="004923D3">
        <w:t xml:space="preserve">С влизането в сила на ЗИД на ЗДБРБ за 2022 г. (ДВ, бр. 52 от 2022 г.) </w:t>
      </w:r>
      <w:r w:rsidR="009C0831">
        <w:t>с</w:t>
      </w:r>
      <w:r w:rsidRPr="004923D3">
        <w:t xml:space="preserve"> §23 и §24 от </w:t>
      </w:r>
      <w:r w:rsidR="009C0831">
        <w:t>п</w:t>
      </w:r>
      <w:r w:rsidRPr="004923D3">
        <w:t xml:space="preserve">реходните и заключителни разпоредби (ПЗР) на закона, с които бе регламентиран нов механизъм за финансиране на компенсации за небитовите крайни клиенти на електрическа енергия чрез бюджета на ФСЕС. </w:t>
      </w:r>
      <w:r w:rsidR="003E4267">
        <w:t>П</w:t>
      </w:r>
      <w:r w:rsidRPr="004923D3">
        <w:t>редвижда</w:t>
      </w:r>
      <w:r w:rsidR="003E4267">
        <w:t xml:space="preserve"> се</w:t>
      </w:r>
      <w:r w:rsidRPr="004923D3">
        <w:t xml:space="preserve"> публичните предприятия от сектор енергетика със 100 на сто държавно участие в капитала да внасят целеви вноски във ФСЕС, които да се използват за покриване на разходите за компенсиране на небитовите крайни клиенти на електрическа енергия. Определено е компенсирането да бъде в размер на 100 на сто от разликата между реалната средномесечна борсова цена на сегмента "ден напред" на Българската независима енергийна борса ЕАД за съответния месец и базовата цена в размер 250 лв./MWh. Предвидено е този механизъм да се прилага за периода от 1 юли 2022 г. до 31 декември 2022 г., като по предложение на министъра на енергетиката Министерския съвет определя размера и сроковете за внасяне на целевите вноски</w:t>
      </w:r>
      <w:r w:rsidRPr="004923D3">
        <w:rPr>
          <w:color w:val="000000"/>
        </w:rPr>
        <w:t>.</w:t>
      </w:r>
      <w:r w:rsidRPr="004923D3">
        <w:rPr>
          <w:color w:val="4E67C8"/>
        </w:rPr>
        <w:t xml:space="preserve"> </w:t>
      </w:r>
      <w:r w:rsidRPr="004923D3">
        <w:t>Общият размер на приходите от целевите вноски, постъпили по бюджета на ФСЕС, в изпълнение на РМС №490/2022, РМС №587/2022, РМС №648/2022, РМС №735/2022, РМС №920/2022 и РМС №1035/2022 г. за периода юли-декември 2022 г. е в размер на 3</w:t>
      </w:r>
      <w:r w:rsidR="001073C7">
        <w:t> </w:t>
      </w:r>
      <w:r w:rsidRPr="004923D3">
        <w:t>181</w:t>
      </w:r>
      <w:r w:rsidR="001073C7">
        <w:t>,</w:t>
      </w:r>
      <w:r w:rsidRPr="004923D3">
        <w:t>0 млн. лв. (1</w:t>
      </w:r>
      <w:r w:rsidR="001073C7">
        <w:t>,</w:t>
      </w:r>
      <w:r w:rsidRPr="004923D3">
        <w:t>9</w:t>
      </w:r>
      <w:r w:rsidR="001073C7">
        <w:t xml:space="preserve"> </w:t>
      </w:r>
      <w:r w:rsidRPr="004923D3">
        <w:t xml:space="preserve">% от БВП). Със свое решение Министерският съвет одобри нова </w:t>
      </w:r>
      <w:r w:rsidRPr="004923D3">
        <w:rPr>
          <w:i/>
        </w:rPr>
        <w:t>Програма за компенсиране на разходите на небитовите крайни клиенти за електрическа енергия и на операторите на електропреносната мрежа за закупуване на количества електрическа енергия, потребена за технологични разходи за периода от 1 юли 2022 г. до 30 септември 2022 г.</w:t>
      </w:r>
      <w:r w:rsidRPr="004923D3">
        <w:t xml:space="preserve"> (РМС №534/</w:t>
      </w:r>
      <w:r w:rsidR="003E4267">
        <w:t xml:space="preserve"> </w:t>
      </w:r>
      <w:r w:rsidRPr="004923D3">
        <w:t xml:space="preserve">2022 г.), която бе удължена и за периода от 1 октомври 2022 г. до 31 декември 2022 г. (РМС №710/29.07.2022 г.). Програмата обединява съществувалите преди това </w:t>
      </w:r>
      <w:r w:rsidRPr="004923D3">
        <w:rPr>
          <w:color w:val="000000"/>
        </w:rPr>
        <w:t>Програма за компенсиране на небитови крайни клиенти на електрическа енергия и Програма за компенсиране на разходите на операторите на електропреносната и на електроразпределителните мрежи за закупуване на количества електрическа енергия, потребена за технологични разходи</w:t>
      </w:r>
      <w:r w:rsidRPr="004923D3">
        <w:t xml:space="preserve">, като е насочена към същата група засегнати небитови крайни потребители на електрическа енергия и използва механизма за компенсиране, регламентиран с разпоредбите на влезлия в сила ЗИД на ЗДБРБ 2022 г. </w:t>
      </w:r>
    </w:p>
    <w:p w14:paraId="00B0E235" w14:textId="7FC0C6CD" w:rsidR="00456635" w:rsidRPr="006D420C" w:rsidRDefault="00456635" w:rsidP="00BB7D5E">
      <w:pPr>
        <w:ind w:firstLine="709"/>
        <w:jc w:val="both"/>
        <w:rPr>
          <w:lang w:val="en-US"/>
        </w:rPr>
      </w:pPr>
      <w:r w:rsidRPr="006D420C">
        <w:t>На база на изложеното</w:t>
      </w:r>
      <w:r w:rsidR="00043934" w:rsidRPr="006D420C">
        <w:t>,</w:t>
      </w:r>
      <w:r w:rsidRPr="006D420C">
        <w:t xml:space="preserve"> през 2022 г. изплатените компенсации по различните прилагани програми за компенсации са в общ размер на </w:t>
      </w:r>
      <w:r w:rsidRPr="006D420C">
        <w:rPr>
          <w:b/>
        </w:rPr>
        <w:t>4,9 млрд. лв., което представлява 3,0 % от прогнозния БВП</w:t>
      </w:r>
      <w:r w:rsidRPr="006D420C">
        <w:t xml:space="preserve">, а постъпилите извънредни еднократни приходи от целеви вноски по реда на §24 от ПЗР на ЗДБРБ за 2022 г. са в размер на </w:t>
      </w:r>
      <w:r w:rsidRPr="006D420C">
        <w:rPr>
          <w:b/>
        </w:rPr>
        <w:t>3,2 млрд. лв. (</w:t>
      </w:r>
      <w:r w:rsidR="00A53E7C" w:rsidRPr="006D420C">
        <w:rPr>
          <w:b/>
        </w:rPr>
        <w:t>1,9</w:t>
      </w:r>
      <w:r w:rsidRPr="006D420C">
        <w:rPr>
          <w:b/>
        </w:rPr>
        <w:t xml:space="preserve"> % от прогнозния БВП)</w:t>
      </w:r>
      <w:r w:rsidRPr="006D420C">
        <w:t>.</w:t>
      </w:r>
    </w:p>
    <w:p w14:paraId="6D9C9FE1" w14:textId="77777777" w:rsidR="00FF56DD" w:rsidRPr="005D2B52" w:rsidRDefault="00FF56DD" w:rsidP="00BD39E0">
      <w:pPr>
        <w:pStyle w:val="Heading3"/>
        <w:numPr>
          <w:ilvl w:val="1"/>
          <w:numId w:val="44"/>
        </w:numPr>
        <w:jc w:val="both"/>
        <w:rPr>
          <w:rFonts w:ascii="Times New Roman" w:hAnsi="Times New Roman"/>
          <w:sz w:val="24"/>
          <w:lang w:val="bg-BG"/>
        </w:rPr>
      </w:pPr>
      <w:bookmarkStart w:id="69" w:name="_Toc146037881"/>
      <w:r w:rsidRPr="004D5FFC">
        <w:rPr>
          <w:rFonts w:ascii="Times New Roman" w:hAnsi="Times New Roman"/>
          <w:sz w:val="24"/>
          <w:lang w:val="ru-RU"/>
        </w:rPr>
        <w:t>Информация за разходи, свързани с хуманитарната криза породена от военните действия в Украйна</w:t>
      </w:r>
      <w:bookmarkEnd w:id="69"/>
    </w:p>
    <w:p w14:paraId="3930D3AC" w14:textId="70AF2C53" w:rsidR="001428EE" w:rsidRPr="00600469" w:rsidRDefault="001428EE" w:rsidP="001428EE">
      <w:pPr>
        <w:spacing w:before="120"/>
        <w:ind w:firstLine="709"/>
        <w:jc w:val="both"/>
        <w:rPr>
          <w:bCs/>
          <w:color w:val="0070C0"/>
        </w:rPr>
      </w:pPr>
      <w:bookmarkStart w:id="70" w:name="_Toc126329340"/>
      <w:r w:rsidRPr="00600469">
        <w:t>Отчетените от ПРБ разходи към 3</w:t>
      </w:r>
      <w:r w:rsidRPr="00600469">
        <w:rPr>
          <w:lang w:val="ru-RU"/>
        </w:rPr>
        <w:t>1</w:t>
      </w:r>
      <w:r w:rsidRPr="00600469">
        <w:t>.</w:t>
      </w:r>
      <w:r w:rsidRPr="00600469">
        <w:rPr>
          <w:lang w:val="ru-RU"/>
        </w:rPr>
        <w:t>12</w:t>
      </w:r>
      <w:r w:rsidRPr="00600469">
        <w:t>.2022 г. за финансиране на дейности по оказване на незабавна хуманитарна помощ на живеещите в Украйна български граждани и българи с украинско гражданство, включително при необходимост от евакуация, за предоставяне на хуманитарна помощ за Украйна, за хуманитарна помощ на украинските  бежанци в България, както и за извършване на разходи за справяне с последствията от военните действия срещу Украйна са в размер на 578,</w:t>
      </w:r>
      <w:r w:rsidRPr="004D5FFC">
        <w:rPr>
          <w:lang w:val="ru-RU"/>
        </w:rPr>
        <w:t>4</w:t>
      </w:r>
      <w:r w:rsidRPr="00600469">
        <w:t xml:space="preserve"> млн.</w:t>
      </w:r>
      <w:r w:rsidRPr="00600469">
        <w:rPr>
          <w:bCs/>
        </w:rPr>
        <w:t xml:space="preserve"> лв. от националния бюджет и 142,0 млн. лв. средства от ЕС.  По бюджетите на общините отчетените разходи са в размер на 2,0 млн. лева.</w:t>
      </w:r>
      <w:r w:rsidRPr="00600469">
        <w:rPr>
          <w:lang w:eastAsia="en-US"/>
        </w:rPr>
        <w:t xml:space="preserve"> О</w:t>
      </w:r>
      <w:r w:rsidRPr="00600469">
        <w:rPr>
          <w:bCs/>
        </w:rPr>
        <w:t>т одобрените с ПМС допълнителни разходи по реда на чл. 110 от ЗДБРБ за 2022 г. по бюджета на Министерството на туризма са отчетени разходи в размер на 56,</w:t>
      </w:r>
      <w:r w:rsidRPr="004D5FFC">
        <w:rPr>
          <w:bCs/>
          <w:lang w:val="ru-RU"/>
        </w:rPr>
        <w:t>4</w:t>
      </w:r>
      <w:r w:rsidR="00D07682">
        <w:rPr>
          <w:bCs/>
          <w:lang w:val="en-US"/>
        </w:rPr>
        <w:t> </w:t>
      </w:r>
      <w:r w:rsidRPr="00600469">
        <w:rPr>
          <w:bCs/>
        </w:rPr>
        <w:t>млн. лв. - хуманитарна помощ за лица, търсещи временна закрила в Република България вследствие на военните действия в Украйна.</w:t>
      </w:r>
    </w:p>
    <w:p w14:paraId="213550EB" w14:textId="77777777" w:rsidR="001428EE" w:rsidRPr="00600469" w:rsidRDefault="001428EE" w:rsidP="001428EE">
      <w:pPr>
        <w:spacing w:before="120"/>
        <w:ind w:firstLine="709"/>
        <w:jc w:val="both"/>
        <w:rPr>
          <w:b/>
          <w:i/>
        </w:rPr>
      </w:pPr>
      <w:r w:rsidRPr="00600469">
        <w:rPr>
          <w:b/>
          <w:i/>
        </w:rPr>
        <w:t xml:space="preserve">Програми за хуманитарна помощ за лица с бежански статут </w:t>
      </w:r>
    </w:p>
    <w:p w14:paraId="156DFC46" w14:textId="77777777" w:rsidR="001428EE" w:rsidRPr="00600469" w:rsidRDefault="001428EE" w:rsidP="0098708F">
      <w:pPr>
        <w:ind w:firstLine="709"/>
        <w:jc w:val="both"/>
        <w:rPr>
          <w:bCs/>
        </w:rPr>
      </w:pPr>
      <w:r w:rsidRPr="00600469">
        <w:t>В началото на март с РМС № 145/2022 г. бе одобрена „</w:t>
      </w:r>
      <w:r w:rsidRPr="00600469">
        <w:rPr>
          <w:u w:val="single"/>
        </w:rPr>
        <w:t>Програма за ползване на хуманитарна помощ за лица, търсещи временна закрила в Република България вследствие на военните действия в Украйна“</w:t>
      </w:r>
      <w:r w:rsidRPr="00600469">
        <w:t xml:space="preserve"> с първоначален срок за периода от 24.02.2022 до 31.05.2022 г. По-късно тази програма бе изменена и допълнена с РМС № 181, № 239, № 241, № 298 и № 423 от 2022 г. Програмата се администрира от Министерството на туризма – (МТ), като разходите е предвидено да се финансират от инструменти на ЕС и/или от държавния бюджет. Средствата по програмата са отпускани с ПМС №  61, 71, 93 146, 193 и 251 от 2022 г. Отчетените от МТ средства по тази програма за 2022 г. са в размер на 161,8 млн. лв.</w:t>
      </w:r>
    </w:p>
    <w:p w14:paraId="3773C60C" w14:textId="77777777" w:rsidR="001428EE" w:rsidRPr="00600469" w:rsidRDefault="001428EE" w:rsidP="0098708F">
      <w:pPr>
        <w:ind w:firstLine="709"/>
        <w:jc w:val="both"/>
      </w:pPr>
      <w:r w:rsidRPr="00600469">
        <w:t xml:space="preserve">С РМС № 317 от 20 май 2022 г. е одобрена нова </w:t>
      </w:r>
      <w:r w:rsidRPr="00600469">
        <w:rPr>
          <w:u w:val="single"/>
        </w:rPr>
        <w:t>„Програма за хуманитарно подпомагане на разселени лица от Украйна с предоставена временна закрила в Република България“</w:t>
      </w:r>
      <w:r w:rsidRPr="00600469">
        <w:t>, която по-късно бе изменена и допълнена с РМС № 535, 665, 856, 909, 963 и 1010 от 2022 г. и бе удължен периодът на действие на програмата до 24.02.2023 г. Програмата се администрира от МТ, като помощта се одобрява с акт на Министерския съвет. Средствата по програмата са одобрени с ПМС № 200, 271, 282, 336, 361, 426 и 484 от 2022 г. Изразходваните средства по тази програма от МТ към 31.12.2022 г. са в размер на  77,3 млн. лв.</w:t>
      </w:r>
    </w:p>
    <w:p w14:paraId="6F81922C" w14:textId="64BDE2CC" w:rsidR="001428EE" w:rsidRPr="00600469" w:rsidRDefault="001428EE" w:rsidP="0098708F">
      <w:pPr>
        <w:ind w:firstLine="709"/>
        <w:jc w:val="both"/>
        <w:rPr>
          <w:lang w:eastAsia="en-US"/>
        </w:rPr>
      </w:pPr>
      <w:r w:rsidRPr="00600469">
        <w:t>Към 31.12.2022 г. по бюджета на М</w:t>
      </w:r>
      <w:r w:rsidR="00515940">
        <w:t>Т</w:t>
      </w:r>
      <w:r w:rsidRPr="00600469">
        <w:t xml:space="preserve"> са отчетени разходи в общ размер на 239,1 млн. лв. по двете програми за хуманитарна помощ във връзка с военните действия в Украйна</w:t>
      </w:r>
      <w:r w:rsidRPr="00600469">
        <w:rPr>
          <w:lang w:eastAsia="en-US"/>
        </w:rPr>
        <w:t xml:space="preserve">, като част от разходите в размер на </w:t>
      </w:r>
      <w:r w:rsidR="00F71310" w:rsidRPr="00F71310">
        <w:rPr>
          <w:lang w:eastAsia="en-US"/>
        </w:rPr>
        <w:t>128,7 млн. лв. бяха възстановени от оперативните програми на Европейския съюз и 110,4 млн. лв. са осигурени от икономии по централния бюджет</w:t>
      </w:r>
      <w:r w:rsidRPr="00600469">
        <w:rPr>
          <w:lang w:eastAsia="en-US"/>
        </w:rPr>
        <w:t>.</w:t>
      </w:r>
    </w:p>
    <w:p w14:paraId="58D19DB1" w14:textId="5302FCDA" w:rsidR="001428EE" w:rsidRPr="00600469" w:rsidRDefault="001428EE" w:rsidP="001428EE">
      <w:pPr>
        <w:spacing w:before="120"/>
        <w:ind w:firstLine="709"/>
        <w:jc w:val="both"/>
        <w:rPr>
          <w:lang w:eastAsia="en-US"/>
        </w:rPr>
      </w:pPr>
      <w:r w:rsidRPr="00600469">
        <w:rPr>
          <w:b/>
          <w:i/>
          <w:lang w:eastAsia="en-US"/>
        </w:rPr>
        <w:t>В областта на социалната закрила</w:t>
      </w:r>
      <w:r w:rsidRPr="00600469">
        <w:rPr>
          <w:lang w:eastAsia="en-US"/>
        </w:rPr>
        <w:t xml:space="preserve"> - в рамките на действащата нормативна уредба в областта на системата на социалното подпомагане, пристигащите в страната лица със статут на временна закрила, за които след оценка на всеки конкретен случай се констатира, че се нуждаят от подкрепа за задоволяване на основните жизнени потребности, имат право на социални помощи и защита, в т. ч. и хора с увреждания. Наред с това, пристигащите от Украйна имат право да работят у нас без разрешение за достъп до пазара на труда, както и да ползват облекчени процедури за достъп до българския пазар на труда. Към 31.12.2022 г. Министерството на труда и социалната политика отчита разходи в размер на 16,3 млн. лв. за сметка на бюджета и 4,5 млн. лв. средства от ЕС</w:t>
      </w:r>
      <w:r w:rsidR="002E0F62">
        <w:rPr>
          <w:lang w:eastAsia="en-US"/>
        </w:rPr>
        <w:t>.</w:t>
      </w:r>
      <w:r w:rsidRPr="00600469">
        <w:rPr>
          <w:lang w:eastAsia="en-US"/>
        </w:rPr>
        <w:t xml:space="preserve">  За социални разходи за отпуснати еднократни помощи по реда на чл. 16 от Правилника за прилагане на Закона за социално подпомагане (ППЗСП) на разселени от Украйна лица с предоставена временна закрила, до петкратния размер на гарантирания минимален доход (375 лв.). Помощта се отпуска въз основа на подадено заявление-декларация в Агенцията за социално подпомагане по адрес на местопребиваването им с приложения за справка: регистрационна карта  на чужденец, на когото е предоставена временна закрила; документа за самоличност от Украйна; адресна карта на чужденец, издадена от Дирекция „Миграция“ към Районното управление на Министерството на вътрешните работи или хотела, в който е отседнало лицето. За периода от 24.02.2022 г. до 31.12.2022 г. са изплатени еднократни помощи на 43 483 лица с предоставена временна закрила.</w:t>
      </w:r>
    </w:p>
    <w:p w14:paraId="7C9B64F1" w14:textId="77777777" w:rsidR="001428EE" w:rsidRPr="00600469" w:rsidRDefault="001428EE" w:rsidP="001428EE">
      <w:pPr>
        <w:ind w:firstLine="709"/>
        <w:jc w:val="both"/>
        <w:rPr>
          <w:bCs/>
          <w:lang w:eastAsia="en-US"/>
        </w:rPr>
      </w:pPr>
      <w:r w:rsidRPr="00600469">
        <w:rPr>
          <w:lang w:eastAsia="en-US"/>
        </w:rPr>
        <w:t xml:space="preserve">По проект „Солидарност“ -  изплатените средства за предоставени субсидии в размер на 4,3 млн. лв. включват минимална помощ по смисъла на Регламент(ЕС) № 1407/2013 г. и интеграционна добавка за настаняване на лица, украински граждани. Възнагражденията на 2 785 украински граждани възлизат на стойност 2 714 765 лв. От интеграционната добавка в размер на 1 247 358 лв. са се възползвали 1 960 украински граждани. Възнагражденията на 633 ментори са в размер на 338 219 лв. </w:t>
      </w:r>
      <w:r w:rsidRPr="00600469">
        <w:rPr>
          <w:bCs/>
          <w:lang w:eastAsia="en-US"/>
        </w:rPr>
        <w:t xml:space="preserve">Проектът се реализира по ОП РЧР 2014-2020, приоритетна ос 6 „Подкрепа за преодоляването на последиците от кризата, предизвикана от пандемията от COVID-19 и подготовка за екологично, цифрово и устойчиво възстановяване на икономиката”. Средствата по проекта се предоставят съгласно Регламент (ЕС) 2022/613 на Европейския Парламент и на  Съвета от 12 април 2022 г. за изменение на Регламенти (ЕС) № 1303/2013 и (ЕС) № 223/2014 по отношение на увеличено предварително финансиране със средства по линия на REACT-EU и за определяне на разход за единица продукт. По проекта са изплатени средства на разселени лица от Украйна и техните семейства. </w:t>
      </w:r>
    </w:p>
    <w:p w14:paraId="6EEE8469" w14:textId="77777777" w:rsidR="001428EE" w:rsidRPr="00600469" w:rsidRDefault="001428EE" w:rsidP="00865D74">
      <w:pPr>
        <w:spacing w:before="120"/>
        <w:ind w:firstLine="709"/>
        <w:jc w:val="both"/>
        <w:rPr>
          <w:rFonts w:eastAsia="Calibri"/>
          <w:b/>
          <w:i/>
          <w:lang w:eastAsia="en-US"/>
        </w:rPr>
      </w:pPr>
      <w:r w:rsidRPr="00600469">
        <w:rPr>
          <w:rFonts w:eastAsia="Calibri"/>
          <w:b/>
          <w:i/>
          <w:lang w:eastAsia="en-US"/>
        </w:rPr>
        <w:t>Компенсации за българските земеделски производители за неблагоприятните последици от войната в Украйна</w:t>
      </w:r>
    </w:p>
    <w:p w14:paraId="4F5A9DC4" w14:textId="77777777" w:rsidR="001428EE" w:rsidRPr="00600469" w:rsidRDefault="001428EE" w:rsidP="0098708F">
      <w:pPr>
        <w:ind w:firstLine="709"/>
        <w:jc w:val="both"/>
        <w:rPr>
          <w:rFonts w:eastAsia="Calibri"/>
          <w:color w:val="0070C0"/>
          <w:lang w:eastAsia="en-US"/>
        </w:rPr>
      </w:pPr>
      <w:r w:rsidRPr="00600469">
        <w:rPr>
          <w:rFonts w:eastAsia="Calibri"/>
          <w:lang w:eastAsia="en-US"/>
        </w:rPr>
        <w:t xml:space="preserve">С ПМС № 247 от 17.08.2022 г. на Държавен фонд „Земеделие“ са предоставени средства в размер на 444,1 млн. лв. за осигуряване на ликвидност на земеделските стопани и за подкрепа на свиневъдите и птицевъдите за хуманно отношение към животните, както и за осигуряване на подкрепа на земеделските стопани по национални мерки за компенсации на повишените цени на енергоносители, фуражи, препарати за растителна защита, горива и торове. </w:t>
      </w:r>
      <w:r w:rsidRPr="00600469">
        <w:rPr>
          <w:lang w:eastAsia="en-US"/>
        </w:rPr>
        <w:t xml:space="preserve">Към 31.12.2022 г. Държавен фонд „Земеделие“ отчита  разходи в общ размер на 444,0 млн. лв. за осигуряване на ликвидност на земеделските стопани </w:t>
      </w:r>
      <w:r w:rsidRPr="00600469">
        <w:rPr>
          <w:rFonts w:eastAsia="Calibri"/>
          <w:lang w:eastAsia="en-US"/>
        </w:rPr>
        <w:t>по Временната рамка във връзка с военните действия в Украйна</w:t>
      </w:r>
      <w:r w:rsidRPr="00600469">
        <w:rPr>
          <w:lang w:eastAsia="en-US"/>
        </w:rPr>
        <w:t xml:space="preserve"> и за подкрепа на свиневъдите и птицевъдите за хуманно отношение към животните, както и за осигуряване на подкрепа на земеделските стопани по национални мерки за компенсации на повишените цени на енергоносители, фуражи, препарати за растителна защита, горива и торове. </w:t>
      </w:r>
    </w:p>
    <w:p w14:paraId="62633826" w14:textId="77777777" w:rsidR="001428EE" w:rsidRPr="00600469" w:rsidRDefault="001428EE" w:rsidP="001428EE">
      <w:pPr>
        <w:spacing w:before="120"/>
        <w:ind w:firstLine="709"/>
        <w:jc w:val="both"/>
        <w:rPr>
          <w:b/>
          <w:bCs/>
          <w:i/>
        </w:rPr>
      </w:pPr>
      <w:r w:rsidRPr="00600469">
        <w:rPr>
          <w:b/>
          <w:bCs/>
          <w:i/>
        </w:rPr>
        <w:t>Други разходи</w:t>
      </w:r>
    </w:p>
    <w:p w14:paraId="136E02BE" w14:textId="77777777" w:rsidR="001428EE" w:rsidRPr="00600469" w:rsidRDefault="001428EE" w:rsidP="00CC5FEC">
      <w:pPr>
        <w:ind w:firstLine="709"/>
        <w:jc w:val="both"/>
        <w:rPr>
          <w:bCs/>
          <w:lang w:eastAsia="en-US"/>
        </w:rPr>
      </w:pPr>
      <w:r w:rsidRPr="00600469">
        <w:rPr>
          <w:bCs/>
          <w:lang w:eastAsia="en-US"/>
        </w:rPr>
        <w:t xml:space="preserve">Министерство на вътрешните работи отчита извършени разходи в размер на 3,0 млн. лв. за </w:t>
      </w:r>
      <w:r w:rsidRPr="00600469">
        <w:rPr>
          <w:color w:val="000000"/>
          <w:lang w:eastAsia="en-US"/>
        </w:rPr>
        <w:t xml:space="preserve"> хуманитарна помощ, както и за справяне с последствията във връзка с военните действия в Украйна</w:t>
      </w:r>
      <w:r w:rsidRPr="00600469">
        <w:rPr>
          <w:lang w:eastAsia="en-US"/>
        </w:rPr>
        <w:t xml:space="preserve"> за периода 01.01 - 31.12.2022 г. Посочените данни включват разходи за положен извънреден труд и дължимите осигурителни вноски върху него, както и заплати и съответните осигурителни вноски за персонала в почивните бази на МВР, обслужващ настанените членове на семейства на служители на МВР на Украйна. З</w:t>
      </w:r>
      <w:r w:rsidRPr="00600469">
        <w:rPr>
          <w:color w:val="000000"/>
          <w:lang w:eastAsia="en-US"/>
        </w:rPr>
        <w:t xml:space="preserve">а закупуване на канцеларски материали и консумативи (фолио за ламиниране, хартия, копирен картон, папки, джобове и др.), ламинатори, УЕБ камери, скенери за лични документи, мрежови рутери, </w:t>
      </w:r>
      <w:r w:rsidRPr="00600469">
        <w:rPr>
          <w:lang w:eastAsia="en-US"/>
        </w:rPr>
        <w:t>USB и UTP кабели, букси,</w:t>
      </w:r>
      <w:r w:rsidRPr="00600469">
        <w:rPr>
          <w:color w:val="000000"/>
          <w:lang w:eastAsia="en-US"/>
        </w:rPr>
        <w:t xml:space="preserve"> разходи за командировки, ГСМ, туристически данък, материали за ремонт на кабини, автомобилни гуми, анкери и шайби, укрепващи колани за палатки, разклонители</w:t>
      </w:r>
      <w:r w:rsidRPr="00600469">
        <w:rPr>
          <w:lang w:eastAsia="en-US"/>
        </w:rPr>
        <w:t xml:space="preserve"> и други и преносими компютри и принтери.</w:t>
      </w:r>
    </w:p>
    <w:p w14:paraId="0D6DC30E" w14:textId="77777777" w:rsidR="001428EE" w:rsidRPr="00600469" w:rsidRDefault="001428EE" w:rsidP="00CC5FEC">
      <w:pPr>
        <w:tabs>
          <w:tab w:val="right" w:pos="8364"/>
        </w:tabs>
        <w:ind w:firstLine="709"/>
        <w:jc w:val="both"/>
        <w:rPr>
          <w:lang w:eastAsia="en-US"/>
        </w:rPr>
      </w:pPr>
      <w:r w:rsidRPr="00600469">
        <w:rPr>
          <w:lang w:eastAsia="en-US"/>
        </w:rPr>
        <w:t xml:space="preserve">Разходите на Министерския съвет в това направление са в размер на 5,4 млн. лв., от които за издръжка са отчетени </w:t>
      </w:r>
      <w:r w:rsidRPr="004D5FFC">
        <w:rPr>
          <w:lang w:val="ru-RU" w:eastAsia="en-US"/>
        </w:rPr>
        <w:t>4</w:t>
      </w:r>
      <w:r w:rsidRPr="00600469">
        <w:rPr>
          <w:lang w:eastAsia="en-US"/>
        </w:rPr>
        <w:t>,</w:t>
      </w:r>
      <w:r w:rsidRPr="004D5FFC">
        <w:rPr>
          <w:lang w:val="ru-RU" w:eastAsia="en-US"/>
        </w:rPr>
        <w:t>4</w:t>
      </w:r>
      <w:r w:rsidRPr="00600469">
        <w:rPr>
          <w:lang w:eastAsia="en-US"/>
        </w:rPr>
        <w:t xml:space="preserve"> млн. лева. </w:t>
      </w:r>
    </w:p>
    <w:p w14:paraId="46E099F9" w14:textId="26F70DFE" w:rsidR="001428EE" w:rsidRPr="00600469" w:rsidRDefault="001428EE" w:rsidP="00CC5FEC">
      <w:pPr>
        <w:ind w:firstLine="709"/>
        <w:jc w:val="both"/>
        <w:rPr>
          <w:bCs/>
          <w:color w:val="0070C0"/>
        </w:rPr>
      </w:pPr>
      <w:r w:rsidRPr="00600469">
        <w:rPr>
          <w:bCs/>
          <w:lang w:eastAsia="en-US"/>
        </w:rPr>
        <w:t>Извършените разходи от Министерството на отбраната за хуманитарна помощ, както и за справяне с последствията във връзка с военните действия в Украйна са в размер на 2,6</w:t>
      </w:r>
      <w:r w:rsidR="00CC5FEC">
        <w:rPr>
          <w:bCs/>
          <w:lang w:val="en-US" w:eastAsia="en-US"/>
        </w:rPr>
        <w:t> </w:t>
      </w:r>
      <w:r w:rsidRPr="00600469">
        <w:rPr>
          <w:bCs/>
          <w:lang w:eastAsia="en-US"/>
        </w:rPr>
        <w:t>млн. лв. за сметка на бюджета на Министерството на отбраната.</w:t>
      </w:r>
    </w:p>
    <w:p w14:paraId="317FAD8A" w14:textId="77777777" w:rsidR="001428EE" w:rsidRPr="00600469" w:rsidRDefault="001428EE" w:rsidP="001428EE">
      <w:pPr>
        <w:spacing w:before="120"/>
        <w:ind w:firstLine="709"/>
        <w:jc w:val="both"/>
        <w:rPr>
          <w:lang w:eastAsia="en-US"/>
        </w:rPr>
      </w:pPr>
      <w:r w:rsidRPr="00600469">
        <w:rPr>
          <w:b/>
          <w:i/>
          <w:lang w:eastAsia="en-US"/>
        </w:rPr>
        <w:t>В областта на здравеопазването</w:t>
      </w:r>
      <w:r w:rsidRPr="00600469">
        <w:rPr>
          <w:lang w:eastAsia="en-US"/>
        </w:rPr>
        <w:t xml:space="preserve"> - с приети от Народното събрание промени в Закона за здравното осигуряване на чуждите граждани с временна закрила бе осигурен достъп до пълния обхват медицинска помощ, заплащана от НЗОК, като конкретните въпроси, свързани с определяне на размера и реда за внасянето на здравноосигурителните вноски, лицата които ги внасят, момента на възникване на задълженията за заплащане и момента на възникване на правата на осигурените лица са определени с Постановление № 69 от 5 май 2022 г. на Министерския съвет за здравно осигуряване на лицата с временна закрила по чл. 1а, ал. 3 от Закона за убежището и бежанците и на лицата по чл. 39, ал. 6, т. 2 и чл. 40а, ал. 3а от Закона за здравното осигуряване.</w:t>
      </w:r>
    </w:p>
    <w:p w14:paraId="0A3156EF" w14:textId="77777777" w:rsidR="001428EE" w:rsidRPr="00600469" w:rsidRDefault="001428EE" w:rsidP="001428EE">
      <w:pPr>
        <w:spacing w:before="120"/>
        <w:ind w:firstLine="709"/>
        <w:jc w:val="both"/>
        <w:rPr>
          <w:lang w:eastAsia="en-US"/>
        </w:rPr>
      </w:pPr>
      <w:r w:rsidRPr="00600469">
        <w:rPr>
          <w:b/>
          <w:i/>
          <w:lang w:eastAsia="en-US"/>
        </w:rPr>
        <w:t>В областта на образованието</w:t>
      </w:r>
      <w:r w:rsidRPr="00600469">
        <w:rPr>
          <w:lang w:eastAsia="en-US"/>
        </w:rPr>
        <w:t xml:space="preserve"> - по отношение на образованието следва да се има предвид че системата е отворена за  приемане и обучение на деца и ученици в предучилищна и училищна възраст от Украйна в български държавни и общински детски градини и училища, което разширява обхвата на децата и съответно на разходите, свързани с тях.</w:t>
      </w:r>
    </w:p>
    <w:p w14:paraId="21E0D376" w14:textId="77777777" w:rsidR="001428EE" w:rsidRPr="0036718D" w:rsidRDefault="001428EE" w:rsidP="001428EE">
      <w:pPr>
        <w:ind w:firstLine="709"/>
        <w:jc w:val="both"/>
        <w:rPr>
          <w:color w:val="0070C0"/>
        </w:rPr>
      </w:pPr>
      <w:r w:rsidRPr="00600469">
        <w:rPr>
          <w:lang w:eastAsia="en-US"/>
        </w:rPr>
        <w:t>Във връзка с обезпечаването на дейности, насочени към лицата търсещи временна закрила в Република България в следствие на военните действия в Република Украйна, през  2022 г. са приети РМС № 144/2022 г. за предоставяне на временна закрила на разселени лица от Украйна и за изменение на Националния план за действие при временна закрила в Република България и ПМС № 105/2022 г.  за одобряване на допълнителни разходи по бюджетите на Министерския съвет и на Министерството на здравеопазването за 2022 г. за авансово финансиране на разходи за лица, търсещи временна закрила в Република България вследствие на военните действия в Украйна (изменено и допълнено с ПМС № 106/2022 г. и ПМС № 194/2022 г.) и ПМС № 414/2022 г. за одобряване на допълнителни средства по бюджета на Министерството на здравеопазването и одобряване на допълнителен трансфер по бюджета на Националната здравноосигурителна каса за 2022 г. за заплащане на медицинската помощ и здравноосигурителните вноски на лицата с предоставена временна закрила.</w:t>
      </w:r>
    </w:p>
    <w:p w14:paraId="42A04E9A" w14:textId="410E0CD7" w:rsidR="00C10E03" w:rsidRPr="000075D7" w:rsidRDefault="00C10E03" w:rsidP="00BD39E0">
      <w:pPr>
        <w:pStyle w:val="Heading3"/>
        <w:numPr>
          <w:ilvl w:val="1"/>
          <w:numId w:val="44"/>
        </w:numPr>
        <w:jc w:val="both"/>
        <w:rPr>
          <w:rFonts w:ascii="Times New Roman" w:hAnsi="Times New Roman"/>
          <w:sz w:val="24"/>
          <w:lang w:val="bg-BG"/>
        </w:rPr>
      </w:pPr>
      <w:bookmarkStart w:id="71" w:name="_Toc146037882"/>
      <w:r w:rsidRPr="000075D7">
        <w:rPr>
          <w:rFonts w:ascii="Times New Roman" w:hAnsi="Times New Roman"/>
          <w:sz w:val="24"/>
          <w:lang w:val="bg-BG"/>
        </w:rPr>
        <w:t>Информация за разходите по реда на чл. 110 от ЗДБРБ за 2022 г.</w:t>
      </w:r>
      <w:bookmarkEnd w:id="70"/>
      <w:bookmarkEnd w:id="71"/>
      <w:r w:rsidRPr="000075D7">
        <w:rPr>
          <w:rFonts w:ascii="Times New Roman" w:hAnsi="Times New Roman"/>
          <w:sz w:val="24"/>
          <w:lang w:val="bg-BG"/>
        </w:rPr>
        <w:t xml:space="preserve"> </w:t>
      </w:r>
    </w:p>
    <w:p w14:paraId="3DFB9719" w14:textId="751801E2" w:rsidR="002C00C3" w:rsidRPr="004D5FFC" w:rsidRDefault="002C00C3" w:rsidP="000075D7">
      <w:pPr>
        <w:spacing w:before="120"/>
        <w:ind w:firstLine="709"/>
        <w:jc w:val="both"/>
        <w:rPr>
          <w:lang w:val="ru-RU"/>
        </w:rPr>
      </w:pPr>
      <w:r w:rsidRPr="004D5FFC">
        <w:rPr>
          <w:lang w:val="ru-RU"/>
        </w:rPr>
        <w:t>За 2022 г. с постановления на Министерския съвет са одобрени  допълнителни разходи в размер на 75,3 млн. лв. по реда на чл. 110 от ЗДБРБ за 2022 г. за финансиране на дейности по оказване на незабавна хуманитарна помощ на живеещите в Украйна български граждани и българи с украинско гражданство, включително при необходимост от евакуация, за предоставяне на хуманитарна помощ за Украйна, както и за извършване на разходи за справяне с последствията от военните действия срещу Украйна. От тях 68,0 млн. лв. са предоставени по бюджета на Министерството на туризма и 7,3 млн. лв. като допълнителен трансфер по бюджета на Националната здравноосигурителна каса за заплащане на медицинска помощ на лицата с предоставена временна закрила и за заплащане на здравноосигурителни вноски. Средствата, предоставени по бюджета на Министерството на туризма, са одобрени за изплащане на хуманитарна помощ по Програмата за ползване на хуманитарна помощ за лица, търсещи временна закрила в Република България в следствие на военните действия в Украйна, одобрена в  началото на месец март с Решение № 145</w:t>
      </w:r>
      <w:r w:rsidR="006F0EB4">
        <w:rPr>
          <w:lang w:val="ru-RU"/>
        </w:rPr>
        <w:t>/ 2022 г.</w:t>
      </w:r>
      <w:r w:rsidRPr="004D5FFC">
        <w:rPr>
          <w:lang w:val="ru-RU"/>
        </w:rPr>
        <w:t xml:space="preserve"> на Министерския съвет и Програмата за хуманитарно подпомагане на разселени лица от Украйна с предоставена временна закрила в Република България“, одобрена с РМС № 317 от 20 май 2022 г. Програмите  се администрират от Министерството на туризма, като разходите по програмите са финансирани от инструменти на Европейския съюз и/или от държавния бюджет по реда на ЗПФ и ЗДБРБ за 2022 г. Помощта се изплаща от Министерството на туризма на категоризирани или регистрирани места за настаняване, вписани в Националния туристически регистър, и на обектите, вписани в създадения за целите на изпълнението на програмата Регистър на местата за подслон.</w:t>
      </w:r>
    </w:p>
    <w:p w14:paraId="0565F02C" w14:textId="47F5A4C0" w:rsidR="00C10E03" w:rsidRPr="004D5FFC" w:rsidRDefault="002C00C3" w:rsidP="002C00C3">
      <w:pPr>
        <w:ind w:firstLine="709"/>
        <w:jc w:val="both"/>
        <w:rPr>
          <w:lang w:val="ru-RU"/>
        </w:rPr>
      </w:pPr>
      <w:r w:rsidRPr="004D5FFC">
        <w:rPr>
          <w:lang w:val="ru-RU"/>
        </w:rPr>
        <w:t>За 2022 г. от одобрените с ПМС допълнителни разходи по реда на чл. 110 от ЗДБРБ за 2022 г. по бюджета на Министерството на туризма са отчетени разходи в размер на 56,0</w:t>
      </w:r>
      <w:r w:rsidRPr="004D5FFC">
        <w:t> </w:t>
      </w:r>
      <w:r w:rsidRPr="004D5FFC">
        <w:rPr>
          <w:lang w:val="ru-RU"/>
        </w:rPr>
        <w:t>млн. лв. - хуманитарна помощ за лица, търсещи временна закрила в Република България вследствие на военните действия в Украйна.</w:t>
      </w:r>
    </w:p>
    <w:p w14:paraId="761F50CF" w14:textId="75C3DD59" w:rsidR="0099134C" w:rsidRPr="003B085A" w:rsidRDefault="00076814" w:rsidP="00BD39E0">
      <w:pPr>
        <w:pStyle w:val="Heading3"/>
        <w:numPr>
          <w:ilvl w:val="1"/>
          <w:numId w:val="44"/>
        </w:numPr>
        <w:jc w:val="both"/>
        <w:rPr>
          <w:rFonts w:ascii="Times New Roman" w:hAnsi="Times New Roman"/>
          <w:sz w:val="24"/>
          <w:lang w:val="bg-BG"/>
        </w:rPr>
      </w:pPr>
      <w:bookmarkStart w:id="72" w:name="_Toc146037883"/>
      <w:r w:rsidRPr="003B085A">
        <w:rPr>
          <w:rFonts w:ascii="Times New Roman" w:hAnsi="Times New Roman"/>
          <w:sz w:val="24"/>
          <w:lang w:val="bg-BG"/>
        </w:rPr>
        <w:t>Информация за ефектите в приходите и разходите от мерките за борба с COVID-19 и преодоляване на социално-икономическите последствия от пандемията</w:t>
      </w:r>
      <w:bookmarkEnd w:id="72"/>
    </w:p>
    <w:p w14:paraId="0B91BF77" w14:textId="77777777" w:rsidR="00CC73CD" w:rsidRPr="00D4796A" w:rsidRDefault="00CC73CD" w:rsidP="00B02F97">
      <w:pPr>
        <w:spacing w:before="120"/>
        <w:ind w:right="-45" w:firstLine="720"/>
        <w:jc w:val="both"/>
        <w:rPr>
          <w:b/>
          <w:i/>
        </w:rPr>
      </w:pPr>
      <w:r w:rsidRPr="00D4796A">
        <w:rPr>
          <w:b/>
          <w:i/>
        </w:rPr>
        <w:t xml:space="preserve">Мерки в частта на приходите           </w:t>
      </w:r>
    </w:p>
    <w:p w14:paraId="7871AED1" w14:textId="77777777" w:rsidR="00D4796A" w:rsidRPr="00FB4CF3" w:rsidRDefault="00D4796A" w:rsidP="00F50D43">
      <w:pPr>
        <w:ind w:right="-45"/>
        <w:jc w:val="both"/>
      </w:pPr>
      <w:r w:rsidRPr="00FB4CF3">
        <w:t>Приетите през предходните години мерки, свързани с прилагане на намалена ставка за ДДС на определени стоки и услуги от 20 % на 9 %, и увеличения размера на данъчните облекчения за деца (чл. 22в и чл. 22г от ЗДДФЛ) продължиха да се прилагат през цялата 2022 година. До края на годината продължиха да се прилагат и мерките, свързани с промените в ЗДДС (обн. ДВ, бр. 107 от 18.12.2020 г.) за облагане с нулева ставка на доставките на ваксини срещу COVID-19 и услугите, пряко свързани с тези ваксини, както и на медицински изделия за инвитро диагностика на COVID-19 и услугите, пряко свързани с тези изделия, с място на изпълнение на територията на страната. Това данъчно третиране се приложи и по отношение на вътреобщностните придобивания с място на изпълнение на територията на страната на тези стоки. Освобождаването от облагане с мита и ДДС върху вноса на стоки от медицински характер и облагането с намалената ставка на ДДС на доставките на бира и вино, като част от ресторантьорски и кетъринг услуги, се прилагаше до 30.06.2022 година.</w:t>
      </w:r>
    </w:p>
    <w:p w14:paraId="3C4C6FC7" w14:textId="717B73ED" w:rsidR="00D4796A" w:rsidRPr="00624E62" w:rsidRDefault="00D4796A" w:rsidP="00D4796A">
      <w:pPr>
        <w:ind w:firstLine="567"/>
        <w:jc w:val="both"/>
        <w:rPr>
          <w:lang w:val="en-US"/>
        </w:rPr>
      </w:pPr>
      <w:r w:rsidRPr="006D18CA">
        <w:t xml:space="preserve">По данни на приходните агенции ефектът от действието на посочените мерки за 2022  г. се оценява на </w:t>
      </w:r>
      <w:r w:rsidRPr="006D18CA">
        <w:rPr>
          <w:b/>
        </w:rPr>
        <w:t>около 607,9</w:t>
      </w:r>
      <w:r w:rsidRPr="006D18CA">
        <w:t xml:space="preserve"> </w:t>
      </w:r>
      <w:r w:rsidRPr="006D18CA">
        <w:rPr>
          <w:b/>
        </w:rPr>
        <w:t>млн. лв.</w:t>
      </w:r>
      <w:r w:rsidRPr="006D18CA">
        <w:t xml:space="preserve"> по-малко данъчни приходи.</w:t>
      </w:r>
      <w:r w:rsidR="00624E62">
        <w:rPr>
          <w:lang w:val="en-US"/>
        </w:rPr>
        <w:t xml:space="preserve">  </w:t>
      </w:r>
    </w:p>
    <w:p w14:paraId="5B68F5D7" w14:textId="77777777" w:rsidR="00D4796A" w:rsidRPr="006A248C" w:rsidRDefault="00D4796A" w:rsidP="00EA2581">
      <w:pPr>
        <w:spacing w:before="240"/>
        <w:ind w:right="-45"/>
        <w:jc w:val="both"/>
        <w:rPr>
          <w:b/>
          <w:i/>
          <w:lang w:val="ru-RU"/>
        </w:rPr>
      </w:pPr>
      <w:r w:rsidRPr="006A248C">
        <w:rPr>
          <w:b/>
          <w:i/>
        </w:rPr>
        <w:t>Мерки в частта на разходите</w:t>
      </w:r>
    </w:p>
    <w:p w14:paraId="64AC1D0F" w14:textId="77777777" w:rsidR="00D4796A" w:rsidRDefault="00D4796A" w:rsidP="00D4796A">
      <w:pPr>
        <w:ind w:firstLine="567"/>
        <w:jc w:val="both"/>
      </w:pPr>
      <w:r w:rsidRPr="006A248C">
        <w:t>Във връзка с прилагането на мерките за борба с COVID-19 и преодоляване на социално-икономическите последствия от пандемията общо изразходените средства по линия на националния бюджет към 3</w:t>
      </w:r>
      <w:r w:rsidRPr="006A248C">
        <w:rPr>
          <w:lang w:val="ru-RU"/>
        </w:rPr>
        <w:t>1</w:t>
      </w:r>
      <w:r w:rsidRPr="006A248C">
        <w:t>.</w:t>
      </w:r>
      <w:r w:rsidRPr="006A248C">
        <w:rPr>
          <w:lang w:val="ru-RU"/>
        </w:rPr>
        <w:t>12</w:t>
      </w:r>
      <w:r w:rsidRPr="006A248C">
        <w:t xml:space="preserve">.2022 г. са в размер на </w:t>
      </w:r>
      <w:r w:rsidRPr="006A248C">
        <w:rPr>
          <w:b/>
        </w:rPr>
        <w:t>2 </w:t>
      </w:r>
      <w:r w:rsidRPr="006A248C">
        <w:rPr>
          <w:b/>
          <w:lang w:val="ru-RU"/>
        </w:rPr>
        <w:t>614</w:t>
      </w:r>
      <w:r w:rsidRPr="006A248C">
        <w:rPr>
          <w:b/>
        </w:rPr>
        <w:t>,</w:t>
      </w:r>
      <w:r>
        <w:rPr>
          <w:b/>
        </w:rPr>
        <w:t>5</w:t>
      </w:r>
      <w:r w:rsidRPr="006A248C">
        <w:rPr>
          <w:b/>
        </w:rPr>
        <w:t xml:space="preserve"> млн. лв., като в тази сума са включени 1 1</w:t>
      </w:r>
      <w:r w:rsidRPr="006A248C">
        <w:rPr>
          <w:b/>
          <w:lang w:val="ru-RU"/>
        </w:rPr>
        <w:t>40</w:t>
      </w:r>
      <w:r w:rsidRPr="006A248C">
        <w:rPr>
          <w:b/>
        </w:rPr>
        <w:t>,</w:t>
      </w:r>
      <w:r w:rsidRPr="006A248C">
        <w:rPr>
          <w:b/>
          <w:lang w:val="ru-RU"/>
        </w:rPr>
        <w:t>6</w:t>
      </w:r>
      <w:r w:rsidRPr="006A248C">
        <w:rPr>
          <w:b/>
        </w:rPr>
        <w:t xml:space="preserve"> млн.</w:t>
      </w:r>
      <w:r w:rsidRPr="006A248C">
        <w:rPr>
          <w:b/>
          <w:lang w:val="en-US"/>
        </w:rPr>
        <w:t> </w:t>
      </w:r>
      <w:r w:rsidRPr="006A248C">
        <w:rPr>
          <w:b/>
        </w:rPr>
        <w:t>лв.</w:t>
      </w:r>
      <w:r w:rsidRPr="006A248C">
        <w:t xml:space="preserve"> плащания от сметки за чужди средства от заделените в края на 2021 г. в изпълнение на постановления на МС средства: за изплащането до месец юни на 2022 г.</w:t>
      </w:r>
      <w:r w:rsidRPr="006A248C">
        <w:rPr>
          <w:lang w:val="ru-RU"/>
        </w:rPr>
        <w:t xml:space="preserve"> </w:t>
      </w:r>
      <w:r w:rsidRPr="006A248C">
        <w:t>на допълнителни суми в размер на 60 лв. към пенсиите на всички пенсионери</w:t>
      </w:r>
      <w:r>
        <w:t>;</w:t>
      </w:r>
      <w:r w:rsidRPr="006A248C">
        <w:t xml:space="preserve"> на добавка в размер на и на 75 лв. за всеки пенсионер, който е със завършен ваксинационен курс за COVID 19 до 31.12.2021 г. (който завърши ваксинационен курс за COVID 19 в периода 1.01-30.06.2022 </w:t>
      </w:r>
      <w:r>
        <w:t>г.;</w:t>
      </w:r>
      <w:r w:rsidRPr="006A248C">
        <w:t xml:space="preserve"> разходи за лекарствени продукти и ваксини</w:t>
      </w:r>
      <w:r>
        <w:t xml:space="preserve"> и др.;</w:t>
      </w:r>
      <w:r w:rsidRPr="006A248C">
        <w:rPr>
          <w:lang w:eastAsia="en-US"/>
        </w:rPr>
        <w:t xml:space="preserve"> плащания от НОИ към работодатели за запазване на заетостта на наетите от тях работници и служители (мярка 60/40), подпомагане на туристическия </w:t>
      </w:r>
      <w:r>
        <w:rPr>
          <w:lang w:eastAsia="en-US"/>
        </w:rPr>
        <w:t>сектор, автобусните и въздушни превозвачи; разходи за предпазни средства и</w:t>
      </w:r>
      <w:r w:rsidRPr="006A248C">
        <w:t xml:space="preserve"> други. В касовите отчети на ПРБ и общините към 31.12.2022 г. са отчетени </w:t>
      </w:r>
      <w:r w:rsidRPr="006A248C">
        <w:rPr>
          <w:b/>
          <w:lang w:val="ru-RU"/>
        </w:rPr>
        <w:t>1 473</w:t>
      </w:r>
      <w:r w:rsidRPr="006A248C">
        <w:rPr>
          <w:b/>
        </w:rPr>
        <w:t>,9 млн. лв.</w:t>
      </w:r>
      <w:r w:rsidRPr="006A248C">
        <w:t xml:space="preserve"> разходи за мерките за борба с COVID-19 и преодоляване на социално-икономическите последствия от пандемията.</w:t>
      </w:r>
    </w:p>
    <w:p w14:paraId="39E3AE21" w14:textId="193E20A0" w:rsidR="00D4796A" w:rsidRPr="00335380" w:rsidRDefault="00D4796A" w:rsidP="00D4796A">
      <w:pPr>
        <w:ind w:firstLine="567"/>
        <w:jc w:val="both"/>
        <w:rPr>
          <w:b/>
          <w:color w:val="0070C0"/>
          <w:lang w:val="ru-RU"/>
        </w:rPr>
      </w:pPr>
      <w:r w:rsidRPr="00335380">
        <w:t xml:space="preserve">В частта на </w:t>
      </w:r>
      <w:r w:rsidRPr="00335380">
        <w:rPr>
          <w:b/>
        </w:rPr>
        <w:t>мерките за подкрепа на домакинствата</w:t>
      </w:r>
      <w:r w:rsidRPr="00335380">
        <w:t xml:space="preserve"> са изразходени </w:t>
      </w:r>
      <w:r w:rsidRPr="00335380">
        <w:rPr>
          <w:b/>
        </w:rPr>
        <w:t xml:space="preserve">375,7 млн. лв. </w:t>
      </w:r>
      <w:r w:rsidRPr="00335380">
        <w:t>по линия на националния бюджет</w:t>
      </w:r>
      <w:r w:rsidRPr="00335380">
        <w:rPr>
          <w:b/>
          <w:lang w:val="ru-RU"/>
        </w:rPr>
        <w:t xml:space="preserve">. </w:t>
      </w:r>
      <w:r w:rsidRPr="00335380">
        <w:rPr>
          <w:lang w:eastAsia="en-US"/>
        </w:rPr>
        <w:t xml:space="preserve">С </w:t>
      </w:r>
      <w:r w:rsidRPr="00335380">
        <w:rPr>
          <w:color w:val="000000"/>
          <w:lang w:eastAsia="en-US"/>
        </w:rPr>
        <w:t>най-голям относителен дял са отчетените разходи в системата на Министерство</w:t>
      </w:r>
      <w:r w:rsidR="008C14F2">
        <w:rPr>
          <w:color w:val="000000"/>
          <w:lang w:eastAsia="en-US"/>
        </w:rPr>
        <w:t>то</w:t>
      </w:r>
      <w:r w:rsidRPr="00335380">
        <w:rPr>
          <w:color w:val="000000"/>
          <w:lang w:eastAsia="en-US"/>
        </w:rPr>
        <w:t xml:space="preserve"> на здравеопазването, в размер на </w:t>
      </w:r>
      <w:r w:rsidRPr="00335380">
        <w:rPr>
          <w:color w:val="000000"/>
          <w:lang w:val="ru-RU" w:eastAsia="en-US"/>
        </w:rPr>
        <w:t>237</w:t>
      </w:r>
      <w:r w:rsidRPr="00335380">
        <w:rPr>
          <w:color w:val="000000"/>
          <w:lang w:eastAsia="en-US"/>
        </w:rPr>
        <w:t>,</w:t>
      </w:r>
      <w:r w:rsidRPr="00335380">
        <w:rPr>
          <w:color w:val="000000"/>
          <w:lang w:val="ru-RU" w:eastAsia="en-US"/>
        </w:rPr>
        <w:t>5</w:t>
      </w:r>
      <w:r w:rsidRPr="00335380">
        <w:rPr>
          <w:color w:val="000000"/>
          <w:lang w:eastAsia="en-US"/>
        </w:rPr>
        <w:t xml:space="preserve"> млн. лв. за осигуряване на ваксини, лекарствени продукти (</w:t>
      </w:r>
      <w:r w:rsidRPr="00335380">
        <w:rPr>
          <w:rFonts w:eastAsia="Calibri"/>
          <w:lang w:eastAsia="en-US"/>
        </w:rPr>
        <w:t xml:space="preserve">Veklury (Ремдесивир), Regkirona 60mg/ml, Kineret (Кинерет), </w:t>
      </w:r>
      <w:r w:rsidRPr="00335380">
        <w:rPr>
          <w:rFonts w:eastAsia="Calibri"/>
          <w:lang w:val="en-US" w:eastAsia="en-US"/>
        </w:rPr>
        <w:t>M</w:t>
      </w:r>
      <w:r w:rsidRPr="00335380">
        <w:rPr>
          <w:rFonts w:eastAsia="Calibri"/>
          <w:lang w:eastAsia="en-US"/>
        </w:rPr>
        <w:t>olnupiravir и др</w:t>
      </w:r>
      <w:r w:rsidRPr="00335380">
        <w:rPr>
          <w:color w:val="000000"/>
          <w:lang w:eastAsia="en-US"/>
        </w:rPr>
        <w:t>) и бързи антигенни тестове в борбата с пандемията от COVID-19.</w:t>
      </w:r>
      <w:r w:rsidRPr="00335380">
        <w:rPr>
          <w:color w:val="0070C0"/>
          <w:lang w:eastAsia="en-US"/>
        </w:rPr>
        <w:t xml:space="preserve"> </w:t>
      </w:r>
      <w:r w:rsidRPr="00335380">
        <w:rPr>
          <w:color w:val="0070C0"/>
        </w:rPr>
        <w:t xml:space="preserve"> </w:t>
      </w:r>
    </w:p>
    <w:p w14:paraId="6E9BEE1E" w14:textId="77777777" w:rsidR="00D4796A" w:rsidRPr="00335380" w:rsidRDefault="00D4796A" w:rsidP="00D4796A">
      <w:pPr>
        <w:ind w:firstLine="567"/>
        <w:jc w:val="both"/>
        <w:rPr>
          <w:color w:val="0070C0"/>
        </w:rPr>
      </w:pPr>
      <w:r w:rsidRPr="00335380">
        <w:rPr>
          <w:lang w:eastAsia="en-US"/>
        </w:rPr>
        <w:t>В изпълнение на параграф 1 от П</w:t>
      </w:r>
      <w:r>
        <w:rPr>
          <w:lang w:eastAsia="en-US"/>
        </w:rPr>
        <w:t>ЗР</w:t>
      </w:r>
      <w:r w:rsidRPr="00335380">
        <w:rPr>
          <w:lang w:eastAsia="en-US"/>
        </w:rPr>
        <w:t xml:space="preserve"> на Закона за прилагане на разпоредби на Закона за държавния бюджет на Република България за 2021 г., Закона за бюджета на държавното обществено осигуряване за 2021 г. и Закона за бюджета на Националната здравноосигурителна каса за 2021 г., НОИ изплаща сума, представляваща разликата между дохода от пенсии с включена т.нар. „ковид добавка“ от 120 лв. за декември 2021 г. и дохода от пенсии с включена т.нар. „ковид добавка“ от 60 лв. за януари 2022 г. Компенсаторните суми се дължат за периода от януари до юни 2022 г. Към 31 декември 2022 г. са извършени разходи в размер на </w:t>
      </w:r>
      <w:r w:rsidRPr="00335380">
        <w:rPr>
          <w:bCs/>
          <w:lang w:eastAsia="en-US"/>
        </w:rPr>
        <w:t xml:space="preserve">101,9 млн. лв. </w:t>
      </w:r>
    </w:p>
    <w:p w14:paraId="6F0AF5B3" w14:textId="77777777" w:rsidR="00D4796A" w:rsidRPr="00335380" w:rsidRDefault="00D4796A" w:rsidP="00D4796A">
      <w:pPr>
        <w:ind w:firstLine="567"/>
        <w:jc w:val="both"/>
        <w:rPr>
          <w:lang w:eastAsia="en-US"/>
        </w:rPr>
      </w:pPr>
      <w:r w:rsidRPr="00335380">
        <w:rPr>
          <w:lang w:eastAsia="en-US"/>
        </w:rPr>
        <w:t xml:space="preserve">Изплатените месечни целеви помощи в подкрепа на семейства с деца до 14 г. възраст са в размер на 14,7 млн. лева. Помощта е регламентирана с ПМС №218 от 2020 г. и ПМС №322 от 2020 г. за допълнение на Правилника за прилагане на Закона за социално подпомагане. Този вид целева помощ се предоставя на семейства с деца до 14-годишна възраст, когато двамата или единият от работещите родители, или родител, отглеждащ сам дете. За 2022 г. са изплатени месечни целеви помощи на 5 484 средномесечен брой  семейства с деца до 14-годишна възраст. </w:t>
      </w:r>
    </w:p>
    <w:p w14:paraId="1280B729" w14:textId="77777777" w:rsidR="00D4796A" w:rsidRPr="00335380" w:rsidRDefault="00D4796A" w:rsidP="00D4796A">
      <w:pPr>
        <w:ind w:firstLine="567"/>
        <w:jc w:val="both"/>
        <w:rPr>
          <w:rFonts w:eastAsia="Calibri"/>
          <w:color w:val="000000"/>
          <w:lang w:eastAsia="zh-CN"/>
        </w:rPr>
      </w:pPr>
      <w:r w:rsidRPr="00335380">
        <w:rPr>
          <w:rFonts w:eastAsia="Calibri"/>
          <w:color w:val="000000"/>
          <w:lang w:eastAsia="zh-CN"/>
        </w:rPr>
        <w:t xml:space="preserve">Еднократно изплащане на допълнителни суми към пенсиите в размер на 50 лв. за периода август-декември 2020 г., месец януари-септември 2021 г. и по 120 лв. на месец за периода октомври-декември 2021 г. За периода от 1 януари до 31 декември 2022 г. са изплатени </w:t>
      </w:r>
      <w:r w:rsidRPr="00335380">
        <w:rPr>
          <w:rFonts w:eastAsia="Calibri"/>
          <w:bCs/>
          <w:color w:val="000000"/>
          <w:lang w:eastAsia="zh-CN"/>
        </w:rPr>
        <w:t>15,5 млн. лв.</w:t>
      </w:r>
      <w:r w:rsidRPr="00335380">
        <w:rPr>
          <w:rFonts w:eastAsia="Calibri"/>
          <w:color w:val="000000"/>
          <w:lang w:eastAsia="zh-CN"/>
        </w:rPr>
        <w:t xml:space="preserve"> на пенсионери, чиито пенсии са с начална дата преди 2022 г., но за които резултатите от производства по отпускане, възстановяване или възобновяване на пенсиите са приключили през 2022 г.</w:t>
      </w:r>
    </w:p>
    <w:p w14:paraId="6EFF5F5B" w14:textId="77777777" w:rsidR="00D4796A" w:rsidRPr="005761D8" w:rsidRDefault="00D4796A" w:rsidP="00D4796A">
      <w:pPr>
        <w:ind w:firstLine="567"/>
        <w:jc w:val="both"/>
      </w:pPr>
      <w:r w:rsidRPr="005761D8">
        <w:rPr>
          <w:lang w:eastAsia="en-US"/>
        </w:rPr>
        <w:t xml:space="preserve">Към 31.12.2022 г. за </w:t>
      </w:r>
      <w:r w:rsidRPr="005761D8">
        <w:rPr>
          <w:b/>
          <w:lang w:eastAsia="en-US"/>
        </w:rPr>
        <w:t>мерки в подкрепа на бизнеса</w:t>
      </w:r>
      <w:r w:rsidRPr="005761D8">
        <w:rPr>
          <w:lang w:eastAsia="en-US"/>
        </w:rPr>
        <w:t xml:space="preserve"> са предоставени </w:t>
      </w:r>
      <w:r w:rsidRPr="005761D8">
        <w:rPr>
          <w:b/>
          <w:lang w:eastAsia="en-US"/>
        </w:rPr>
        <w:t>35</w:t>
      </w:r>
      <w:r w:rsidRPr="005761D8">
        <w:rPr>
          <w:b/>
          <w:lang w:val="ru-RU" w:eastAsia="en-US"/>
        </w:rPr>
        <w:t>1</w:t>
      </w:r>
      <w:r w:rsidRPr="005761D8">
        <w:rPr>
          <w:b/>
          <w:lang w:eastAsia="en-US"/>
        </w:rPr>
        <w:t>,</w:t>
      </w:r>
      <w:r w:rsidRPr="005761D8">
        <w:rPr>
          <w:b/>
          <w:lang w:val="ru-RU" w:eastAsia="en-US"/>
        </w:rPr>
        <w:t>0</w:t>
      </w:r>
      <w:r w:rsidRPr="005761D8">
        <w:rPr>
          <w:b/>
          <w:lang w:eastAsia="en-US"/>
        </w:rPr>
        <w:t xml:space="preserve"> млн. лв.</w:t>
      </w:r>
      <w:r w:rsidRPr="005761D8">
        <w:rPr>
          <w:lang w:eastAsia="en-US"/>
        </w:rPr>
        <w:t xml:space="preserve"> от националния бюджет, от които 162,</w:t>
      </w:r>
      <w:r>
        <w:rPr>
          <w:lang w:eastAsia="en-US"/>
        </w:rPr>
        <w:t>1</w:t>
      </w:r>
      <w:r w:rsidRPr="005761D8">
        <w:rPr>
          <w:lang w:eastAsia="en-US"/>
        </w:rPr>
        <w:t xml:space="preserve"> млн. лв. </w:t>
      </w:r>
      <w:r w:rsidRPr="005761D8">
        <w:t xml:space="preserve">за запазване на заетостта на наети от работодатели работници и служители </w:t>
      </w:r>
      <w:r w:rsidRPr="005761D8">
        <w:rPr>
          <w:lang w:val="ru-RU"/>
        </w:rPr>
        <w:t>(</w:t>
      </w:r>
      <w:r w:rsidRPr="005761D8">
        <w:t>мярка 60/40</w:t>
      </w:r>
      <w:r w:rsidRPr="005761D8">
        <w:rPr>
          <w:lang w:val="ru-RU"/>
        </w:rPr>
        <w:t>)</w:t>
      </w:r>
      <w:r w:rsidRPr="005761D8">
        <w:t>. Извършените допълнителни разходи по бюджета на ДФ „Земеделие“ за подпомагане на засегнатите от негативните ефекти от пандемията земеделски стопани са в размер на 143,5 млн. лв. Помощта представлява подкрепа за осигуряване на достатъчна ликвидност за земеделските стопани от първичното селскостопанско производство – животновъди, отглеждащи едри и дребни преживни животни и пчелни семейства, и производители на плодове и зеленчуци, маслодайна роза и ориз, за да се противодейства на негативното влияние на последиците от пандемията от COVID-19 и за осигуряване на непрекъснатостта на икономическата дейност. Одобрените средства са предоставени на общо 26 673 земеделски стопани.</w:t>
      </w:r>
    </w:p>
    <w:p w14:paraId="55FA207E" w14:textId="77777777" w:rsidR="00D4796A" w:rsidRPr="005761D8" w:rsidRDefault="00D4796A" w:rsidP="00D4796A">
      <w:pPr>
        <w:ind w:firstLine="567"/>
        <w:jc w:val="both"/>
        <w:rPr>
          <w:lang w:eastAsia="en-US"/>
        </w:rPr>
      </w:pPr>
      <w:r w:rsidRPr="005761D8">
        <w:rPr>
          <w:lang w:eastAsia="en-US"/>
        </w:rPr>
        <w:t>За осигуряване на  финансова подкрепа в областта на културата и изкуствата в условията на обявена извънредна епидемична обстановка са изплатени 35,8 млн. лв.</w:t>
      </w:r>
    </w:p>
    <w:p w14:paraId="77BD541E" w14:textId="77777777" w:rsidR="00D4796A" w:rsidRDefault="00D4796A" w:rsidP="00D4796A">
      <w:pPr>
        <w:ind w:firstLine="567"/>
        <w:jc w:val="both"/>
        <w:rPr>
          <w:lang w:eastAsia="en-US"/>
        </w:rPr>
      </w:pPr>
      <w:r w:rsidRPr="005761D8">
        <w:rPr>
          <w:lang w:eastAsia="en-US"/>
        </w:rPr>
        <w:t>Към 31.12.2022 г. са изплатени 9,6 млн. лв. субсидии за туроператори, които използват въздушни превозвачи с валиден оперативен лиценз за изпълнение на чартърни полети до България с цел туризъм. Сумите са изплатени на основание Постановление № 253/18.08.2022 г. за одобряване на допълнителни разходи по бюджета на Министерство на туризма за 2022 г.</w:t>
      </w:r>
    </w:p>
    <w:p w14:paraId="3550F4A4" w14:textId="77777777" w:rsidR="00D4796A" w:rsidRDefault="00D4796A" w:rsidP="00D4796A">
      <w:pPr>
        <w:ind w:firstLine="567"/>
        <w:jc w:val="both"/>
      </w:pPr>
      <w:r w:rsidRPr="00670835">
        <w:rPr>
          <w:b/>
        </w:rPr>
        <w:t>За</w:t>
      </w:r>
      <w:r w:rsidRPr="00670835">
        <w:t xml:space="preserve"> </w:t>
      </w:r>
      <w:r w:rsidRPr="00670835">
        <w:rPr>
          <w:b/>
        </w:rPr>
        <w:t>мерки за органите на държавното управление, натоварени с дейности по овладяване на пандемията и последствията от COVID-19</w:t>
      </w:r>
      <w:r w:rsidRPr="00670835">
        <w:t xml:space="preserve"> по държавния бюджет и бюджетите на общините са предоставени общо</w:t>
      </w:r>
      <w:r w:rsidRPr="00670835">
        <w:rPr>
          <w:b/>
        </w:rPr>
        <w:t xml:space="preserve"> 747,2</w:t>
      </w:r>
      <w:r w:rsidRPr="00670835">
        <w:t xml:space="preserve"> </w:t>
      </w:r>
      <w:r w:rsidRPr="00670835">
        <w:rPr>
          <w:b/>
        </w:rPr>
        <w:t>млн. лева</w:t>
      </w:r>
      <w:r w:rsidRPr="00670835">
        <w:rPr>
          <w:b/>
          <w:lang w:val="ru-RU"/>
        </w:rPr>
        <w:t>.</w:t>
      </w:r>
      <w:r w:rsidRPr="00670835">
        <w:rPr>
          <w:lang w:val="ru-RU"/>
        </w:rPr>
        <w:t xml:space="preserve"> </w:t>
      </w:r>
      <w:r w:rsidRPr="00670835">
        <w:t>С най-голям дял са разходите за подкрепа на персонала на първа линия, пряко ангажиран с дейности по предотвратяване разпространението на COVID-19, вкл. за поставяне на ваксини срещу COVID-19</w:t>
      </w:r>
      <w:r w:rsidRPr="004D5FFC">
        <w:rPr>
          <w:lang w:val="ru-RU"/>
        </w:rPr>
        <w:t xml:space="preserve"> – 369,</w:t>
      </w:r>
      <w:r w:rsidRPr="00C567EF">
        <w:t>9 млн. лв.</w:t>
      </w:r>
      <w:r>
        <w:t>;</w:t>
      </w:r>
      <w:r w:rsidRPr="00C567EF">
        <w:t xml:space="preserve"> </w:t>
      </w:r>
      <w:r w:rsidRPr="00670835">
        <w:t>финансиране</w:t>
      </w:r>
      <w:r>
        <w:t>то</w:t>
      </w:r>
      <w:r w:rsidRPr="00670835">
        <w:t xml:space="preserve"> от НЗОК на изпълнителите на медицинска помощ, на дентална помощ и на медико-диагностични дейности за работа при неблагоприятни условия във връзка с обявената епидемична обстановка и лечението на COVID-19</w:t>
      </w:r>
      <w:r w:rsidRPr="00670835">
        <w:rPr>
          <w:lang w:val="ru-RU"/>
        </w:rPr>
        <w:t xml:space="preserve"> - </w:t>
      </w:r>
      <w:r>
        <w:rPr>
          <w:lang w:val="ru-RU"/>
        </w:rPr>
        <w:t>216</w:t>
      </w:r>
      <w:r w:rsidRPr="00670835">
        <w:t>,</w:t>
      </w:r>
      <w:r>
        <w:t>2</w:t>
      </w:r>
      <w:r w:rsidRPr="00670835">
        <w:t xml:space="preserve"> млн. лв. За изплащане на допълнителни трудови възнаграждения на изпълнителите на болнична медицинска помощ</w:t>
      </w:r>
      <w:r w:rsidRPr="00670835">
        <w:rPr>
          <w:lang w:val="ru-RU"/>
        </w:rPr>
        <w:t xml:space="preserve"> </w:t>
      </w:r>
      <w:r w:rsidRPr="00670835">
        <w:t>- 74,8 млн. лв. За осигуряване на лични предпазни средства, дезинфектанти и др. за училищата, лечебните заведения и работните помещения на администрацията са изразходвани 8,7 млн. лв. От общините са изразходвани средства за противоепидемични мерки в размер на 74,3 млн. лева.</w:t>
      </w:r>
    </w:p>
    <w:p w14:paraId="7DC60739" w14:textId="77777777" w:rsidR="00D4796A" w:rsidRDefault="00D4796A" w:rsidP="00D4796A">
      <w:pPr>
        <w:ind w:firstLine="567"/>
        <w:jc w:val="both"/>
      </w:pPr>
      <w:r>
        <w:t>Освен средствата от националния бюджет със средства от сметки те за средства от ЕС са разходи по мерките в размер на 108,5 млн. лв.</w:t>
      </w:r>
    </w:p>
    <w:p w14:paraId="31101922" w14:textId="77777777" w:rsidR="00D4796A" w:rsidRDefault="00D4796A" w:rsidP="00D4796A">
      <w:pPr>
        <w:ind w:firstLine="567"/>
      </w:pPr>
    </w:p>
    <w:p w14:paraId="5E015325" w14:textId="77777777" w:rsidR="00BC5B4D" w:rsidRDefault="00D4796A" w:rsidP="00D4796A">
      <w:pPr>
        <w:tabs>
          <w:tab w:val="left" w:pos="426"/>
          <w:tab w:val="left" w:pos="851"/>
        </w:tabs>
        <w:contextualSpacing/>
        <w:jc w:val="center"/>
        <w:rPr>
          <w:b/>
          <w:i/>
          <w:u w:val="single"/>
          <w:lang w:val="ru-RU" w:eastAsia="en-US"/>
        </w:rPr>
      </w:pPr>
      <w:r w:rsidRPr="00AE0D8E">
        <w:rPr>
          <w:b/>
          <w:i/>
          <w:u w:val="single"/>
          <w:lang w:eastAsia="en-US"/>
        </w:rPr>
        <w:t xml:space="preserve">Информация за средствата, в частта на разходите, </w:t>
      </w:r>
      <w:r w:rsidR="00CA74E5" w:rsidRPr="00CA74E5">
        <w:rPr>
          <w:b/>
          <w:i/>
          <w:u w:val="single"/>
          <w:lang w:eastAsia="en-US"/>
        </w:rPr>
        <w:t>изцяло финансирани със средства от националния бюджет,</w:t>
      </w:r>
      <w:r w:rsidR="00CA74E5" w:rsidRPr="003E4FBF">
        <w:rPr>
          <w:b/>
          <w:i/>
          <w:u w:val="single"/>
          <w:lang w:val="ru-RU" w:eastAsia="en-US"/>
        </w:rPr>
        <w:t xml:space="preserve"> </w:t>
      </w:r>
      <w:r w:rsidRPr="00AE0D8E">
        <w:rPr>
          <w:b/>
          <w:i/>
          <w:u w:val="single"/>
          <w:lang w:eastAsia="en-US"/>
        </w:rPr>
        <w:t>изразходвани за мерките за борба с COVID-19 и преодоляване на социално-икономическите последствия от пандемията</w:t>
      </w:r>
      <w:r w:rsidRPr="00AE0D8E">
        <w:rPr>
          <w:b/>
          <w:i/>
          <w:u w:val="single"/>
          <w:lang w:val="ru-RU" w:eastAsia="en-US"/>
        </w:rPr>
        <w:t xml:space="preserve"> </w:t>
      </w:r>
    </w:p>
    <w:p w14:paraId="51A0F7E8" w14:textId="190E8B43" w:rsidR="00D4796A" w:rsidRPr="00AE0D8E" w:rsidRDefault="00D4796A" w:rsidP="00D4796A">
      <w:pPr>
        <w:tabs>
          <w:tab w:val="left" w:pos="426"/>
          <w:tab w:val="left" w:pos="851"/>
        </w:tabs>
        <w:contextualSpacing/>
        <w:jc w:val="center"/>
        <w:rPr>
          <w:b/>
          <w:i/>
          <w:u w:val="single"/>
          <w:lang w:eastAsia="en-US"/>
        </w:rPr>
      </w:pPr>
      <w:r w:rsidRPr="00AE0D8E">
        <w:rPr>
          <w:b/>
          <w:i/>
          <w:u w:val="single"/>
          <w:lang w:eastAsia="en-US"/>
        </w:rPr>
        <w:t>към 31.12. 202</w:t>
      </w:r>
      <w:r w:rsidRPr="00AE0D8E">
        <w:rPr>
          <w:b/>
          <w:i/>
          <w:u w:val="single"/>
          <w:lang w:val="ru-RU" w:eastAsia="en-US"/>
        </w:rPr>
        <w:t>2</w:t>
      </w:r>
      <w:r w:rsidRPr="00AE0D8E">
        <w:rPr>
          <w:b/>
          <w:i/>
          <w:u w:val="single"/>
          <w:lang w:eastAsia="en-US"/>
        </w:rPr>
        <w:t> г.</w:t>
      </w:r>
    </w:p>
    <w:p w14:paraId="27534EDB" w14:textId="77777777" w:rsidR="00D4796A" w:rsidRDefault="00D4796A" w:rsidP="00D4796A">
      <w:pPr>
        <w:ind w:firstLine="567"/>
      </w:pPr>
    </w:p>
    <w:tbl>
      <w:tblPr>
        <w:tblW w:w="9776" w:type="dxa"/>
        <w:tblCellMar>
          <w:left w:w="70" w:type="dxa"/>
          <w:right w:w="70" w:type="dxa"/>
        </w:tblCellMar>
        <w:tblLook w:val="04A0" w:firstRow="1" w:lastRow="0" w:firstColumn="1" w:lastColumn="0" w:noHBand="0" w:noVBand="1"/>
      </w:tblPr>
      <w:tblGrid>
        <w:gridCol w:w="7508"/>
        <w:gridCol w:w="1196"/>
        <w:gridCol w:w="1072"/>
      </w:tblGrid>
      <w:tr w:rsidR="00D4796A" w:rsidRPr="00AE0D8E" w14:paraId="5D24456D" w14:textId="77777777" w:rsidTr="00277771">
        <w:trPr>
          <w:trHeight w:val="375"/>
        </w:trPr>
        <w:tc>
          <w:tcPr>
            <w:tcW w:w="7508" w:type="dxa"/>
            <w:vMerge w:val="restart"/>
            <w:tcBorders>
              <w:top w:val="single" w:sz="4" w:space="0" w:color="auto"/>
              <w:left w:val="single" w:sz="4" w:space="0" w:color="auto"/>
              <w:bottom w:val="single" w:sz="4" w:space="0" w:color="auto"/>
              <w:right w:val="single" w:sz="4" w:space="0" w:color="auto"/>
            </w:tcBorders>
            <w:shd w:val="clear" w:color="000000" w:fill="943634"/>
            <w:vAlign w:val="center"/>
            <w:hideMark/>
          </w:tcPr>
          <w:p w14:paraId="4204FDA7" w14:textId="77777777" w:rsidR="00D4796A" w:rsidRPr="00AE0D8E" w:rsidRDefault="00D4796A" w:rsidP="00277771">
            <w:pPr>
              <w:jc w:val="center"/>
              <w:rPr>
                <w:b/>
                <w:bCs/>
                <w:color w:val="FFFFFF"/>
              </w:rPr>
            </w:pPr>
            <w:r w:rsidRPr="00AE0D8E">
              <w:rPr>
                <w:b/>
                <w:bCs/>
                <w:color w:val="FFFFFF"/>
              </w:rPr>
              <w:t>МЕРКИ</w:t>
            </w:r>
          </w:p>
        </w:tc>
        <w:tc>
          <w:tcPr>
            <w:tcW w:w="2268" w:type="dxa"/>
            <w:gridSpan w:val="2"/>
            <w:tcBorders>
              <w:top w:val="single" w:sz="4" w:space="0" w:color="auto"/>
              <w:left w:val="nil"/>
              <w:bottom w:val="single" w:sz="4" w:space="0" w:color="auto"/>
              <w:right w:val="single" w:sz="4" w:space="0" w:color="auto"/>
            </w:tcBorders>
            <w:shd w:val="clear" w:color="000000" w:fill="943634"/>
            <w:noWrap/>
            <w:vAlign w:val="center"/>
            <w:hideMark/>
          </w:tcPr>
          <w:p w14:paraId="5483BE31" w14:textId="77777777" w:rsidR="00D4796A" w:rsidRPr="00AE0D8E" w:rsidRDefault="00D4796A" w:rsidP="00277771">
            <w:pPr>
              <w:jc w:val="center"/>
              <w:rPr>
                <w:b/>
                <w:bCs/>
                <w:color w:val="FFFFFF"/>
                <w:szCs w:val="22"/>
              </w:rPr>
            </w:pPr>
            <w:r w:rsidRPr="00AE0D8E">
              <w:rPr>
                <w:b/>
                <w:bCs/>
                <w:color w:val="FFFFFF"/>
                <w:szCs w:val="22"/>
              </w:rPr>
              <w:t>Към 31.12.2022 г.</w:t>
            </w:r>
          </w:p>
        </w:tc>
      </w:tr>
      <w:tr w:rsidR="00D4796A" w:rsidRPr="00AE0D8E" w14:paraId="2763837C" w14:textId="77777777" w:rsidTr="0092579B">
        <w:trPr>
          <w:trHeight w:val="230"/>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53884874" w14:textId="77777777" w:rsidR="00D4796A" w:rsidRPr="00AE0D8E" w:rsidRDefault="00D4796A" w:rsidP="00277771">
            <w:pPr>
              <w:rPr>
                <w:b/>
                <w:bCs/>
                <w:color w:val="FFFFFF"/>
              </w:rPr>
            </w:pPr>
          </w:p>
        </w:tc>
        <w:tc>
          <w:tcPr>
            <w:tcW w:w="1196" w:type="dxa"/>
            <w:tcBorders>
              <w:top w:val="nil"/>
              <w:left w:val="nil"/>
              <w:bottom w:val="single" w:sz="4" w:space="0" w:color="auto"/>
              <w:right w:val="single" w:sz="4" w:space="0" w:color="auto"/>
            </w:tcBorders>
            <w:shd w:val="clear" w:color="000000" w:fill="943634"/>
            <w:noWrap/>
            <w:vAlign w:val="center"/>
            <w:hideMark/>
          </w:tcPr>
          <w:p w14:paraId="2E506C86" w14:textId="77777777" w:rsidR="00D4796A" w:rsidRPr="00AE0D8E" w:rsidRDefault="00D4796A" w:rsidP="00277771">
            <w:pPr>
              <w:jc w:val="center"/>
              <w:rPr>
                <w:b/>
                <w:bCs/>
                <w:color w:val="FFFFFF"/>
                <w:szCs w:val="22"/>
              </w:rPr>
            </w:pPr>
            <w:r w:rsidRPr="00AE0D8E">
              <w:rPr>
                <w:b/>
                <w:bCs/>
                <w:color w:val="FFFFFF"/>
                <w:szCs w:val="22"/>
              </w:rPr>
              <w:t>млн. лв.</w:t>
            </w:r>
          </w:p>
        </w:tc>
        <w:tc>
          <w:tcPr>
            <w:tcW w:w="1072" w:type="dxa"/>
            <w:tcBorders>
              <w:top w:val="nil"/>
              <w:left w:val="nil"/>
              <w:bottom w:val="single" w:sz="4" w:space="0" w:color="auto"/>
              <w:right w:val="single" w:sz="4" w:space="0" w:color="auto"/>
            </w:tcBorders>
            <w:shd w:val="clear" w:color="000000" w:fill="943634"/>
            <w:noWrap/>
            <w:vAlign w:val="center"/>
            <w:hideMark/>
          </w:tcPr>
          <w:p w14:paraId="5E60171C" w14:textId="77777777" w:rsidR="00D4796A" w:rsidRPr="00AE0D8E" w:rsidRDefault="00D4796A" w:rsidP="00277771">
            <w:pPr>
              <w:jc w:val="center"/>
              <w:rPr>
                <w:b/>
                <w:bCs/>
                <w:color w:val="FFFFFF"/>
                <w:sz w:val="20"/>
              </w:rPr>
            </w:pPr>
            <w:r w:rsidRPr="00AE0D8E">
              <w:rPr>
                <w:b/>
                <w:bCs/>
                <w:color w:val="FFFFFF"/>
                <w:sz w:val="20"/>
              </w:rPr>
              <w:t xml:space="preserve">% от БВП </w:t>
            </w:r>
          </w:p>
        </w:tc>
      </w:tr>
      <w:tr w:rsidR="00D4796A" w:rsidRPr="00AE0D8E" w14:paraId="478D4D5E" w14:textId="77777777" w:rsidTr="00277771">
        <w:trPr>
          <w:trHeight w:val="930"/>
        </w:trPr>
        <w:tc>
          <w:tcPr>
            <w:tcW w:w="7508" w:type="dxa"/>
            <w:tcBorders>
              <w:top w:val="nil"/>
              <w:left w:val="single" w:sz="4" w:space="0" w:color="auto"/>
              <w:bottom w:val="single" w:sz="4" w:space="0" w:color="auto"/>
              <w:right w:val="single" w:sz="4" w:space="0" w:color="auto"/>
            </w:tcBorders>
            <w:shd w:val="clear" w:color="000000" w:fill="E2EFDA"/>
            <w:vAlign w:val="bottom"/>
            <w:hideMark/>
          </w:tcPr>
          <w:p w14:paraId="2FB7FE9F" w14:textId="617E32A9" w:rsidR="00D4796A" w:rsidRPr="00AE0D8E" w:rsidRDefault="00D4796A" w:rsidP="0052604D">
            <w:pPr>
              <w:rPr>
                <w:b/>
                <w:bCs/>
                <w:i/>
                <w:iCs/>
                <w:szCs w:val="22"/>
              </w:rPr>
            </w:pPr>
            <w:r w:rsidRPr="00AE0D8E">
              <w:rPr>
                <w:b/>
                <w:bCs/>
                <w:i/>
                <w:iCs/>
                <w:szCs w:val="22"/>
              </w:rPr>
              <w:t xml:space="preserve">Всичко средства изразходвани за мерки за борба с COVID-19 и преодоляване на социално-икономическите последствия от пандемията към </w:t>
            </w:r>
            <w:r w:rsidR="0052604D" w:rsidRPr="00AE0D8E">
              <w:rPr>
                <w:b/>
                <w:bCs/>
                <w:i/>
                <w:iCs/>
                <w:szCs w:val="22"/>
              </w:rPr>
              <w:t>3</w:t>
            </w:r>
            <w:r w:rsidR="0052604D" w:rsidRPr="003E4FBF">
              <w:rPr>
                <w:b/>
                <w:bCs/>
                <w:i/>
                <w:iCs/>
                <w:szCs w:val="22"/>
                <w:lang w:val="ru-RU"/>
              </w:rPr>
              <w:t>1</w:t>
            </w:r>
            <w:r w:rsidRPr="00AE0D8E">
              <w:rPr>
                <w:b/>
                <w:bCs/>
                <w:i/>
                <w:iCs/>
                <w:szCs w:val="22"/>
              </w:rPr>
              <w:t>.</w:t>
            </w:r>
            <w:r w:rsidR="0052604D" w:rsidRPr="003E4FBF">
              <w:rPr>
                <w:b/>
                <w:bCs/>
                <w:i/>
                <w:iCs/>
                <w:szCs w:val="22"/>
                <w:lang w:val="ru-RU"/>
              </w:rPr>
              <w:t>12</w:t>
            </w:r>
            <w:r w:rsidRPr="00AE0D8E">
              <w:rPr>
                <w:b/>
                <w:bCs/>
                <w:i/>
                <w:iCs/>
                <w:szCs w:val="22"/>
              </w:rPr>
              <w:t>. 2022 г. (А.+Б.+В.)</w:t>
            </w:r>
          </w:p>
        </w:tc>
        <w:tc>
          <w:tcPr>
            <w:tcW w:w="1196" w:type="dxa"/>
            <w:tcBorders>
              <w:top w:val="nil"/>
              <w:left w:val="nil"/>
              <w:bottom w:val="single" w:sz="4" w:space="0" w:color="auto"/>
              <w:right w:val="single" w:sz="4" w:space="0" w:color="auto"/>
            </w:tcBorders>
            <w:shd w:val="clear" w:color="000000" w:fill="E2EFDA"/>
            <w:noWrap/>
            <w:vAlign w:val="bottom"/>
            <w:hideMark/>
          </w:tcPr>
          <w:p w14:paraId="40AFD3AE" w14:textId="77777777" w:rsidR="00D4796A" w:rsidRPr="00AE0D8E" w:rsidRDefault="00D4796A" w:rsidP="00277771">
            <w:pPr>
              <w:jc w:val="right"/>
              <w:rPr>
                <w:b/>
                <w:bCs/>
                <w:color w:val="000000"/>
                <w:szCs w:val="22"/>
              </w:rPr>
            </w:pPr>
            <w:r w:rsidRPr="00AE0D8E">
              <w:rPr>
                <w:b/>
                <w:bCs/>
                <w:color w:val="000000"/>
                <w:szCs w:val="22"/>
              </w:rPr>
              <w:t>1 473,9</w:t>
            </w:r>
          </w:p>
        </w:tc>
        <w:tc>
          <w:tcPr>
            <w:tcW w:w="1072" w:type="dxa"/>
            <w:tcBorders>
              <w:top w:val="nil"/>
              <w:left w:val="nil"/>
              <w:bottom w:val="single" w:sz="4" w:space="0" w:color="auto"/>
              <w:right w:val="single" w:sz="4" w:space="0" w:color="auto"/>
            </w:tcBorders>
            <w:shd w:val="clear" w:color="000000" w:fill="E2EFDA"/>
            <w:noWrap/>
            <w:vAlign w:val="bottom"/>
            <w:hideMark/>
          </w:tcPr>
          <w:p w14:paraId="3458A3B6" w14:textId="77777777" w:rsidR="00D4796A" w:rsidRPr="00AE0D8E" w:rsidRDefault="00D4796A" w:rsidP="00277771">
            <w:pPr>
              <w:jc w:val="right"/>
              <w:rPr>
                <w:b/>
                <w:bCs/>
                <w:szCs w:val="22"/>
              </w:rPr>
            </w:pPr>
            <w:r w:rsidRPr="00AE0D8E">
              <w:rPr>
                <w:b/>
                <w:bCs/>
                <w:szCs w:val="22"/>
              </w:rPr>
              <w:t>0,89%</w:t>
            </w:r>
          </w:p>
        </w:tc>
      </w:tr>
      <w:tr w:rsidR="00D4796A" w:rsidRPr="00AE0D8E" w14:paraId="6969307C" w14:textId="77777777" w:rsidTr="0092579B">
        <w:trPr>
          <w:trHeight w:val="58"/>
        </w:trPr>
        <w:tc>
          <w:tcPr>
            <w:tcW w:w="7508" w:type="dxa"/>
            <w:tcBorders>
              <w:top w:val="nil"/>
              <w:left w:val="single" w:sz="4" w:space="0" w:color="auto"/>
              <w:bottom w:val="single" w:sz="4" w:space="0" w:color="auto"/>
              <w:right w:val="single" w:sz="4" w:space="0" w:color="auto"/>
            </w:tcBorders>
            <w:shd w:val="clear" w:color="000000" w:fill="FCE4D6"/>
            <w:vAlign w:val="center"/>
            <w:hideMark/>
          </w:tcPr>
          <w:p w14:paraId="12DDD73C" w14:textId="77777777" w:rsidR="00D4796A" w:rsidRPr="00AE0D8E" w:rsidRDefault="00D4796A" w:rsidP="00277771">
            <w:pPr>
              <w:rPr>
                <w:b/>
                <w:bCs/>
                <w:i/>
                <w:iCs/>
                <w:szCs w:val="22"/>
              </w:rPr>
            </w:pPr>
            <w:r w:rsidRPr="00AE0D8E">
              <w:rPr>
                <w:b/>
                <w:bCs/>
                <w:i/>
                <w:iCs/>
                <w:szCs w:val="22"/>
              </w:rPr>
              <w:t xml:space="preserve">     A. Мерки за подкрепа на домакинствата</w:t>
            </w:r>
          </w:p>
        </w:tc>
        <w:tc>
          <w:tcPr>
            <w:tcW w:w="1196" w:type="dxa"/>
            <w:tcBorders>
              <w:top w:val="nil"/>
              <w:left w:val="nil"/>
              <w:bottom w:val="single" w:sz="4" w:space="0" w:color="auto"/>
              <w:right w:val="single" w:sz="4" w:space="0" w:color="auto"/>
            </w:tcBorders>
            <w:shd w:val="clear" w:color="000000" w:fill="FCE4D6"/>
            <w:noWrap/>
            <w:vAlign w:val="bottom"/>
            <w:hideMark/>
          </w:tcPr>
          <w:p w14:paraId="6396C23B" w14:textId="77777777" w:rsidR="00D4796A" w:rsidRPr="00AE0D8E" w:rsidRDefault="00D4796A" w:rsidP="00277771">
            <w:pPr>
              <w:jc w:val="right"/>
              <w:rPr>
                <w:b/>
                <w:bCs/>
                <w:color w:val="000000"/>
                <w:szCs w:val="22"/>
              </w:rPr>
            </w:pPr>
            <w:r w:rsidRPr="00AE0D8E">
              <w:rPr>
                <w:b/>
                <w:bCs/>
                <w:color w:val="000000"/>
                <w:szCs w:val="22"/>
              </w:rPr>
              <w:t>375,7</w:t>
            </w:r>
          </w:p>
        </w:tc>
        <w:tc>
          <w:tcPr>
            <w:tcW w:w="1072" w:type="dxa"/>
            <w:tcBorders>
              <w:top w:val="nil"/>
              <w:left w:val="nil"/>
              <w:bottom w:val="single" w:sz="4" w:space="0" w:color="auto"/>
              <w:right w:val="single" w:sz="4" w:space="0" w:color="auto"/>
            </w:tcBorders>
            <w:shd w:val="clear" w:color="000000" w:fill="FCE4D6"/>
            <w:noWrap/>
            <w:vAlign w:val="bottom"/>
            <w:hideMark/>
          </w:tcPr>
          <w:p w14:paraId="29A63C6F" w14:textId="77777777" w:rsidR="00D4796A" w:rsidRPr="00AE0D8E" w:rsidRDefault="00D4796A" w:rsidP="00277771">
            <w:pPr>
              <w:jc w:val="right"/>
              <w:rPr>
                <w:b/>
                <w:bCs/>
                <w:szCs w:val="22"/>
              </w:rPr>
            </w:pPr>
            <w:r w:rsidRPr="00AE0D8E">
              <w:rPr>
                <w:b/>
                <w:bCs/>
                <w:szCs w:val="22"/>
              </w:rPr>
              <w:t>0,23%</w:t>
            </w:r>
          </w:p>
        </w:tc>
      </w:tr>
      <w:tr w:rsidR="00D4796A" w:rsidRPr="00AE0D8E" w14:paraId="67074662" w14:textId="77777777" w:rsidTr="0092579B">
        <w:trPr>
          <w:trHeight w:val="109"/>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0375EDCD" w14:textId="77777777" w:rsidR="00D4796A" w:rsidRPr="00AE0D8E" w:rsidRDefault="00D4796A" w:rsidP="00277771">
            <w:pPr>
              <w:rPr>
                <w:szCs w:val="22"/>
              </w:rPr>
            </w:pPr>
            <w:r w:rsidRPr="00AE0D8E">
              <w:rPr>
                <w:szCs w:val="22"/>
              </w:rPr>
              <w:t>от тях:</w:t>
            </w:r>
          </w:p>
        </w:tc>
        <w:tc>
          <w:tcPr>
            <w:tcW w:w="1196" w:type="dxa"/>
            <w:tcBorders>
              <w:top w:val="nil"/>
              <w:left w:val="nil"/>
              <w:bottom w:val="single" w:sz="4" w:space="0" w:color="auto"/>
              <w:right w:val="single" w:sz="4" w:space="0" w:color="auto"/>
            </w:tcBorders>
            <w:shd w:val="clear" w:color="auto" w:fill="auto"/>
            <w:noWrap/>
            <w:vAlign w:val="bottom"/>
            <w:hideMark/>
          </w:tcPr>
          <w:p w14:paraId="5E308266" w14:textId="77777777" w:rsidR="00D4796A" w:rsidRPr="00AE0D8E" w:rsidRDefault="00D4796A" w:rsidP="00277771">
            <w:pPr>
              <w:rPr>
                <w:b/>
                <w:bCs/>
                <w:color w:val="000000"/>
                <w:szCs w:val="22"/>
              </w:rPr>
            </w:pPr>
            <w:r w:rsidRPr="00AE0D8E">
              <w:rPr>
                <w:b/>
                <w:bCs/>
                <w:color w:val="000000"/>
                <w:szCs w:val="22"/>
              </w:rPr>
              <w:t> </w:t>
            </w:r>
          </w:p>
        </w:tc>
        <w:tc>
          <w:tcPr>
            <w:tcW w:w="1072" w:type="dxa"/>
            <w:tcBorders>
              <w:top w:val="nil"/>
              <w:left w:val="nil"/>
              <w:bottom w:val="single" w:sz="4" w:space="0" w:color="auto"/>
              <w:right w:val="single" w:sz="4" w:space="0" w:color="auto"/>
            </w:tcBorders>
            <w:shd w:val="clear" w:color="000000" w:fill="FFFFFF"/>
            <w:noWrap/>
            <w:vAlign w:val="bottom"/>
            <w:hideMark/>
          </w:tcPr>
          <w:p w14:paraId="0607745A" w14:textId="77777777" w:rsidR="00D4796A" w:rsidRPr="00AE0D8E" w:rsidRDefault="00D4796A" w:rsidP="00277771">
            <w:pPr>
              <w:jc w:val="right"/>
              <w:rPr>
                <w:b/>
                <w:bCs/>
                <w:szCs w:val="22"/>
              </w:rPr>
            </w:pPr>
            <w:r w:rsidRPr="00AE0D8E">
              <w:rPr>
                <w:b/>
                <w:bCs/>
                <w:szCs w:val="22"/>
              </w:rPr>
              <w:t> </w:t>
            </w:r>
          </w:p>
        </w:tc>
      </w:tr>
      <w:tr w:rsidR="00D4796A" w:rsidRPr="00AE0D8E" w14:paraId="2812EEBA" w14:textId="77777777" w:rsidTr="0092579B">
        <w:trPr>
          <w:trHeight w:val="58"/>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1D240574" w14:textId="77777777" w:rsidR="00D4796A" w:rsidRPr="0092579B" w:rsidRDefault="00D4796A" w:rsidP="00277771">
            <w:pPr>
              <w:rPr>
                <w:sz w:val="20"/>
                <w:szCs w:val="20"/>
              </w:rPr>
            </w:pPr>
            <w:r w:rsidRPr="0092579B">
              <w:rPr>
                <w:sz w:val="20"/>
                <w:szCs w:val="20"/>
              </w:rPr>
              <w:t xml:space="preserve">   Осигуряване на ваксини, лекарствени продукти и бързи антигенни тестове в борбата с пандемията от COVID-19 </w:t>
            </w:r>
          </w:p>
        </w:tc>
        <w:tc>
          <w:tcPr>
            <w:tcW w:w="1196" w:type="dxa"/>
            <w:tcBorders>
              <w:top w:val="nil"/>
              <w:left w:val="nil"/>
              <w:bottom w:val="single" w:sz="4" w:space="0" w:color="auto"/>
              <w:right w:val="single" w:sz="4" w:space="0" w:color="auto"/>
            </w:tcBorders>
            <w:shd w:val="clear" w:color="auto" w:fill="auto"/>
            <w:noWrap/>
            <w:vAlign w:val="bottom"/>
            <w:hideMark/>
          </w:tcPr>
          <w:p w14:paraId="09F2038B" w14:textId="77777777" w:rsidR="00D4796A" w:rsidRPr="0092579B" w:rsidRDefault="00D4796A" w:rsidP="00277771">
            <w:pPr>
              <w:jc w:val="right"/>
              <w:rPr>
                <w:color w:val="000000"/>
                <w:sz w:val="20"/>
                <w:szCs w:val="20"/>
              </w:rPr>
            </w:pPr>
            <w:r w:rsidRPr="0092579B">
              <w:rPr>
                <w:color w:val="000000"/>
                <w:sz w:val="20"/>
                <w:szCs w:val="20"/>
              </w:rPr>
              <w:t>237,5</w:t>
            </w:r>
          </w:p>
        </w:tc>
        <w:tc>
          <w:tcPr>
            <w:tcW w:w="1072" w:type="dxa"/>
            <w:tcBorders>
              <w:top w:val="nil"/>
              <w:left w:val="nil"/>
              <w:bottom w:val="single" w:sz="4" w:space="0" w:color="auto"/>
              <w:right w:val="single" w:sz="4" w:space="0" w:color="auto"/>
            </w:tcBorders>
            <w:shd w:val="clear" w:color="000000" w:fill="FFFFFF"/>
            <w:noWrap/>
            <w:vAlign w:val="bottom"/>
            <w:hideMark/>
          </w:tcPr>
          <w:p w14:paraId="247E9B27" w14:textId="77777777" w:rsidR="00D4796A" w:rsidRPr="0092579B" w:rsidRDefault="00D4796A" w:rsidP="00277771">
            <w:pPr>
              <w:jc w:val="right"/>
              <w:rPr>
                <w:sz w:val="20"/>
                <w:szCs w:val="20"/>
              </w:rPr>
            </w:pPr>
            <w:r w:rsidRPr="0092579B">
              <w:rPr>
                <w:sz w:val="20"/>
                <w:szCs w:val="20"/>
              </w:rPr>
              <w:t>0,14%</w:t>
            </w:r>
          </w:p>
        </w:tc>
      </w:tr>
      <w:tr w:rsidR="00D4796A" w:rsidRPr="00AE0D8E" w14:paraId="7D35892A" w14:textId="77777777" w:rsidTr="0092579B">
        <w:trPr>
          <w:trHeight w:val="58"/>
        </w:trPr>
        <w:tc>
          <w:tcPr>
            <w:tcW w:w="7508" w:type="dxa"/>
            <w:tcBorders>
              <w:top w:val="nil"/>
              <w:left w:val="single" w:sz="4" w:space="0" w:color="auto"/>
              <w:bottom w:val="single" w:sz="4" w:space="0" w:color="auto"/>
              <w:right w:val="single" w:sz="4" w:space="0" w:color="auto"/>
            </w:tcBorders>
            <w:shd w:val="clear" w:color="auto" w:fill="auto"/>
            <w:vAlign w:val="bottom"/>
            <w:hideMark/>
          </w:tcPr>
          <w:p w14:paraId="795D1AF3" w14:textId="77777777" w:rsidR="00D4796A" w:rsidRPr="0092579B" w:rsidRDefault="00D4796A" w:rsidP="00277771">
            <w:pPr>
              <w:rPr>
                <w:sz w:val="20"/>
                <w:szCs w:val="20"/>
              </w:rPr>
            </w:pPr>
            <w:r w:rsidRPr="0092579B">
              <w:rPr>
                <w:sz w:val="20"/>
                <w:szCs w:val="20"/>
              </w:rPr>
              <w:t xml:space="preserve">   Еднократна сума за компенсиране на дохода от пенсии до нивото от декември 2021 г. за периода до юни 2022 г.</w:t>
            </w:r>
          </w:p>
        </w:tc>
        <w:tc>
          <w:tcPr>
            <w:tcW w:w="1196" w:type="dxa"/>
            <w:tcBorders>
              <w:top w:val="nil"/>
              <w:left w:val="nil"/>
              <w:bottom w:val="single" w:sz="4" w:space="0" w:color="auto"/>
              <w:right w:val="single" w:sz="4" w:space="0" w:color="auto"/>
            </w:tcBorders>
            <w:shd w:val="clear" w:color="auto" w:fill="auto"/>
            <w:noWrap/>
            <w:vAlign w:val="bottom"/>
            <w:hideMark/>
          </w:tcPr>
          <w:p w14:paraId="03DFE420" w14:textId="77777777" w:rsidR="00D4796A" w:rsidRPr="0092579B" w:rsidRDefault="00D4796A" w:rsidP="00277771">
            <w:pPr>
              <w:jc w:val="right"/>
              <w:rPr>
                <w:sz w:val="20"/>
                <w:szCs w:val="20"/>
              </w:rPr>
            </w:pPr>
            <w:r w:rsidRPr="0092579B">
              <w:rPr>
                <w:sz w:val="20"/>
                <w:szCs w:val="20"/>
              </w:rPr>
              <w:t>101,9</w:t>
            </w:r>
          </w:p>
        </w:tc>
        <w:tc>
          <w:tcPr>
            <w:tcW w:w="1072" w:type="dxa"/>
            <w:tcBorders>
              <w:top w:val="nil"/>
              <w:left w:val="nil"/>
              <w:bottom w:val="single" w:sz="4" w:space="0" w:color="auto"/>
              <w:right w:val="single" w:sz="4" w:space="0" w:color="auto"/>
            </w:tcBorders>
            <w:shd w:val="clear" w:color="000000" w:fill="FFFFFF"/>
            <w:noWrap/>
            <w:vAlign w:val="bottom"/>
            <w:hideMark/>
          </w:tcPr>
          <w:p w14:paraId="3F3F5F3D" w14:textId="77777777" w:rsidR="00D4796A" w:rsidRPr="0092579B" w:rsidRDefault="00D4796A" w:rsidP="00277771">
            <w:pPr>
              <w:jc w:val="right"/>
              <w:rPr>
                <w:sz w:val="20"/>
                <w:szCs w:val="20"/>
              </w:rPr>
            </w:pPr>
            <w:r w:rsidRPr="0092579B">
              <w:rPr>
                <w:sz w:val="20"/>
                <w:szCs w:val="20"/>
              </w:rPr>
              <w:t>0,06%</w:t>
            </w:r>
          </w:p>
        </w:tc>
      </w:tr>
      <w:tr w:rsidR="00D4796A" w:rsidRPr="00AE0D8E" w14:paraId="40ABBCCF" w14:textId="77777777" w:rsidTr="00277771">
        <w:trPr>
          <w:trHeight w:val="615"/>
        </w:trPr>
        <w:tc>
          <w:tcPr>
            <w:tcW w:w="7508" w:type="dxa"/>
            <w:tcBorders>
              <w:top w:val="nil"/>
              <w:left w:val="single" w:sz="4" w:space="0" w:color="auto"/>
              <w:bottom w:val="single" w:sz="4" w:space="0" w:color="auto"/>
              <w:right w:val="single" w:sz="4" w:space="0" w:color="auto"/>
            </w:tcBorders>
            <w:shd w:val="clear" w:color="000000" w:fill="FFFFFF"/>
            <w:vAlign w:val="bottom"/>
            <w:hideMark/>
          </w:tcPr>
          <w:p w14:paraId="09DC0094" w14:textId="77777777" w:rsidR="00D4796A" w:rsidRPr="0092579B" w:rsidRDefault="00D4796A" w:rsidP="0092579B">
            <w:pPr>
              <w:ind w:firstLineChars="100" w:firstLine="200"/>
              <w:rPr>
                <w:sz w:val="20"/>
                <w:szCs w:val="20"/>
              </w:rPr>
            </w:pPr>
            <w:r w:rsidRPr="0092579B">
              <w:rPr>
                <w:sz w:val="20"/>
                <w:szCs w:val="20"/>
              </w:rPr>
              <w:t>Подкрепа на семейства с деца до 14 г. възраст, при които родителите не могат да извършват дистанционна работа от вкъщи и нямат възможност да ползват платен отпуск</w:t>
            </w:r>
          </w:p>
        </w:tc>
        <w:tc>
          <w:tcPr>
            <w:tcW w:w="1196" w:type="dxa"/>
            <w:tcBorders>
              <w:top w:val="nil"/>
              <w:left w:val="nil"/>
              <w:bottom w:val="single" w:sz="4" w:space="0" w:color="auto"/>
              <w:right w:val="single" w:sz="4" w:space="0" w:color="auto"/>
            </w:tcBorders>
            <w:shd w:val="clear" w:color="auto" w:fill="auto"/>
            <w:noWrap/>
            <w:vAlign w:val="bottom"/>
            <w:hideMark/>
          </w:tcPr>
          <w:p w14:paraId="580EEC08" w14:textId="77777777" w:rsidR="00D4796A" w:rsidRPr="0092579B" w:rsidRDefault="00D4796A" w:rsidP="00277771">
            <w:pPr>
              <w:jc w:val="right"/>
              <w:rPr>
                <w:color w:val="000000"/>
                <w:sz w:val="20"/>
                <w:szCs w:val="20"/>
              </w:rPr>
            </w:pPr>
            <w:r w:rsidRPr="0092579B">
              <w:rPr>
                <w:color w:val="000000"/>
                <w:sz w:val="20"/>
                <w:szCs w:val="20"/>
              </w:rPr>
              <w:t>14,7</w:t>
            </w:r>
          </w:p>
        </w:tc>
        <w:tc>
          <w:tcPr>
            <w:tcW w:w="1072" w:type="dxa"/>
            <w:tcBorders>
              <w:top w:val="nil"/>
              <w:left w:val="nil"/>
              <w:bottom w:val="single" w:sz="4" w:space="0" w:color="auto"/>
              <w:right w:val="single" w:sz="4" w:space="0" w:color="auto"/>
            </w:tcBorders>
            <w:shd w:val="clear" w:color="000000" w:fill="FFFFFF"/>
            <w:noWrap/>
            <w:vAlign w:val="bottom"/>
            <w:hideMark/>
          </w:tcPr>
          <w:p w14:paraId="4F81C692" w14:textId="77777777" w:rsidR="00D4796A" w:rsidRPr="0092579B" w:rsidRDefault="00D4796A" w:rsidP="00277771">
            <w:pPr>
              <w:jc w:val="right"/>
              <w:rPr>
                <w:sz w:val="20"/>
                <w:szCs w:val="20"/>
              </w:rPr>
            </w:pPr>
            <w:r w:rsidRPr="0092579B">
              <w:rPr>
                <w:sz w:val="20"/>
                <w:szCs w:val="20"/>
              </w:rPr>
              <w:t>0,01%</w:t>
            </w:r>
          </w:p>
        </w:tc>
      </w:tr>
      <w:tr w:rsidR="00D4796A" w:rsidRPr="00AE0D8E" w14:paraId="052B7D8C" w14:textId="77777777" w:rsidTr="0092579B">
        <w:trPr>
          <w:trHeight w:val="461"/>
        </w:trPr>
        <w:tc>
          <w:tcPr>
            <w:tcW w:w="7508" w:type="dxa"/>
            <w:tcBorders>
              <w:top w:val="nil"/>
              <w:left w:val="single" w:sz="4" w:space="0" w:color="auto"/>
              <w:bottom w:val="single" w:sz="4" w:space="0" w:color="auto"/>
              <w:right w:val="single" w:sz="4" w:space="0" w:color="auto"/>
            </w:tcBorders>
            <w:shd w:val="clear" w:color="000000" w:fill="FFFFFF"/>
            <w:vAlign w:val="bottom"/>
            <w:hideMark/>
          </w:tcPr>
          <w:p w14:paraId="17772F03" w14:textId="77777777" w:rsidR="00D4796A" w:rsidRPr="0092579B" w:rsidRDefault="00D4796A" w:rsidP="0092579B">
            <w:pPr>
              <w:ind w:firstLineChars="100" w:firstLine="200"/>
              <w:rPr>
                <w:sz w:val="20"/>
                <w:szCs w:val="20"/>
              </w:rPr>
            </w:pPr>
            <w:r w:rsidRPr="0092579B">
              <w:rPr>
                <w:sz w:val="20"/>
                <w:szCs w:val="20"/>
              </w:rPr>
              <w:t>Еднократно изплащане на допълнителни суми към пенсиите в размер на 50 лв. за периода август-декември 2020 г., месец януари-септември 2021 г. и по 120 лв. на месец за периода октомври-декември 2021 г.</w:t>
            </w:r>
          </w:p>
        </w:tc>
        <w:tc>
          <w:tcPr>
            <w:tcW w:w="1196" w:type="dxa"/>
            <w:tcBorders>
              <w:top w:val="nil"/>
              <w:left w:val="nil"/>
              <w:bottom w:val="single" w:sz="4" w:space="0" w:color="auto"/>
              <w:right w:val="single" w:sz="4" w:space="0" w:color="auto"/>
            </w:tcBorders>
            <w:shd w:val="clear" w:color="auto" w:fill="auto"/>
            <w:noWrap/>
            <w:vAlign w:val="bottom"/>
            <w:hideMark/>
          </w:tcPr>
          <w:p w14:paraId="52534973" w14:textId="77777777" w:rsidR="00D4796A" w:rsidRPr="0092579B" w:rsidRDefault="00D4796A" w:rsidP="00277771">
            <w:pPr>
              <w:jc w:val="right"/>
              <w:rPr>
                <w:color w:val="000000"/>
                <w:sz w:val="20"/>
                <w:szCs w:val="20"/>
              </w:rPr>
            </w:pPr>
            <w:r w:rsidRPr="0092579B">
              <w:rPr>
                <w:color w:val="000000"/>
                <w:sz w:val="20"/>
                <w:szCs w:val="20"/>
              </w:rPr>
              <w:t>15,5</w:t>
            </w:r>
          </w:p>
        </w:tc>
        <w:tc>
          <w:tcPr>
            <w:tcW w:w="1072" w:type="dxa"/>
            <w:tcBorders>
              <w:top w:val="nil"/>
              <w:left w:val="nil"/>
              <w:bottom w:val="single" w:sz="4" w:space="0" w:color="auto"/>
              <w:right w:val="single" w:sz="4" w:space="0" w:color="auto"/>
            </w:tcBorders>
            <w:shd w:val="clear" w:color="000000" w:fill="FFFFFF"/>
            <w:noWrap/>
            <w:vAlign w:val="bottom"/>
            <w:hideMark/>
          </w:tcPr>
          <w:p w14:paraId="6035A5EE" w14:textId="77777777" w:rsidR="00D4796A" w:rsidRPr="0092579B" w:rsidRDefault="00D4796A" w:rsidP="00277771">
            <w:pPr>
              <w:jc w:val="right"/>
              <w:rPr>
                <w:sz w:val="20"/>
                <w:szCs w:val="20"/>
              </w:rPr>
            </w:pPr>
            <w:r w:rsidRPr="0092579B">
              <w:rPr>
                <w:sz w:val="20"/>
                <w:szCs w:val="20"/>
              </w:rPr>
              <w:t>0,01%</w:t>
            </w:r>
          </w:p>
        </w:tc>
      </w:tr>
      <w:tr w:rsidR="00D4796A" w:rsidRPr="00AE0D8E" w14:paraId="36407806" w14:textId="77777777" w:rsidTr="0092579B">
        <w:trPr>
          <w:trHeight w:val="58"/>
        </w:trPr>
        <w:tc>
          <w:tcPr>
            <w:tcW w:w="7508" w:type="dxa"/>
            <w:tcBorders>
              <w:top w:val="nil"/>
              <w:left w:val="single" w:sz="4" w:space="0" w:color="auto"/>
              <w:bottom w:val="single" w:sz="4" w:space="0" w:color="auto"/>
              <w:right w:val="single" w:sz="4" w:space="0" w:color="auto"/>
            </w:tcBorders>
            <w:shd w:val="clear" w:color="000000" w:fill="FCE4D6"/>
            <w:vAlign w:val="center"/>
            <w:hideMark/>
          </w:tcPr>
          <w:p w14:paraId="707C0E6B" w14:textId="77777777" w:rsidR="00D4796A" w:rsidRPr="00AE0D8E" w:rsidRDefault="00D4796A" w:rsidP="00277771">
            <w:pPr>
              <w:rPr>
                <w:b/>
                <w:bCs/>
                <w:i/>
                <w:iCs/>
                <w:szCs w:val="22"/>
              </w:rPr>
            </w:pPr>
            <w:r w:rsidRPr="00AE0D8E">
              <w:rPr>
                <w:b/>
                <w:bCs/>
                <w:i/>
                <w:iCs/>
                <w:szCs w:val="22"/>
              </w:rPr>
              <w:t xml:space="preserve">     Б. Мерки за подкрепа на бизнеса</w:t>
            </w:r>
          </w:p>
        </w:tc>
        <w:tc>
          <w:tcPr>
            <w:tcW w:w="1196" w:type="dxa"/>
            <w:tcBorders>
              <w:top w:val="nil"/>
              <w:left w:val="nil"/>
              <w:bottom w:val="single" w:sz="4" w:space="0" w:color="auto"/>
              <w:right w:val="single" w:sz="4" w:space="0" w:color="auto"/>
            </w:tcBorders>
            <w:shd w:val="clear" w:color="000000" w:fill="FCE4D6"/>
            <w:noWrap/>
            <w:vAlign w:val="bottom"/>
            <w:hideMark/>
          </w:tcPr>
          <w:p w14:paraId="6241FF4D" w14:textId="77777777" w:rsidR="00D4796A" w:rsidRPr="00AE0D8E" w:rsidRDefault="00D4796A" w:rsidP="00277771">
            <w:pPr>
              <w:jc w:val="right"/>
              <w:rPr>
                <w:b/>
                <w:bCs/>
                <w:color w:val="000000"/>
                <w:szCs w:val="22"/>
              </w:rPr>
            </w:pPr>
            <w:r w:rsidRPr="00AE0D8E">
              <w:rPr>
                <w:b/>
                <w:bCs/>
                <w:color w:val="000000"/>
                <w:szCs w:val="22"/>
              </w:rPr>
              <w:t>351,0</w:t>
            </w:r>
          </w:p>
        </w:tc>
        <w:tc>
          <w:tcPr>
            <w:tcW w:w="1072" w:type="dxa"/>
            <w:tcBorders>
              <w:top w:val="nil"/>
              <w:left w:val="nil"/>
              <w:bottom w:val="single" w:sz="4" w:space="0" w:color="auto"/>
              <w:right w:val="single" w:sz="4" w:space="0" w:color="auto"/>
            </w:tcBorders>
            <w:shd w:val="clear" w:color="000000" w:fill="FCE4D6"/>
            <w:noWrap/>
            <w:vAlign w:val="bottom"/>
            <w:hideMark/>
          </w:tcPr>
          <w:p w14:paraId="18EC247C" w14:textId="77777777" w:rsidR="00D4796A" w:rsidRPr="00AE0D8E" w:rsidRDefault="00D4796A" w:rsidP="00277771">
            <w:pPr>
              <w:jc w:val="right"/>
              <w:rPr>
                <w:b/>
                <w:bCs/>
                <w:szCs w:val="22"/>
              </w:rPr>
            </w:pPr>
            <w:r w:rsidRPr="00AE0D8E">
              <w:rPr>
                <w:b/>
                <w:bCs/>
                <w:szCs w:val="22"/>
              </w:rPr>
              <w:t>0,21%</w:t>
            </w:r>
          </w:p>
        </w:tc>
      </w:tr>
      <w:tr w:rsidR="00D4796A" w:rsidRPr="00AE0D8E" w14:paraId="346E8285" w14:textId="77777777" w:rsidTr="00277771">
        <w:trPr>
          <w:trHeight w:val="300"/>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624942E3" w14:textId="77777777" w:rsidR="00D4796A" w:rsidRPr="0092579B" w:rsidRDefault="00D4796A" w:rsidP="0092579B">
            <w:pPr>
              <w:ind w:firstLineChars="100" w:firstLine="200"/>
              <w:rPr>
                <w:sz w:val="20"/>
                <w:szCs w:val="20"/>
              </w:rPr>
            </w:pPr>
            <w:r w:rsidRPr="0092579B">
              <w:rPr>
                <w:sz w:val="20"/>
                <w:szCs w:val="20"/>
              </w:rPr>
              <w:t>от тях:</w:t>
            </w:r>
          </w:p>
        </w:tc>
        <w:tc>
          <w:tcPr>
            <w:tcW w:w="1196" w:type="dxa"/>
            <w:tcBorders>
              <w:top w:val="nil"/>
              <w:left w:val="nil"/>
              <w:bottom w:val="single" w:sz="4" w:space="0" w:color="auto"/>
              <w:right w:val="single" w:sz="4" w:space="0" w:color="auto"/>
            </w:tcBorders>
            <w:shd w:val="clear" w:color="auto" w:fill="auto"/>
            <w:noWrap/>
            <w:vAlign w:val="bottom"/>
            <w:hideMark/>
          </w:tcPr>
          <w:p w14:paraId="2F97EDF6" w14:textId="77777777" w:rsidR="00D4796A" w:rsidRPr="0092579B" w:rsidRDefault="00D4796A" w:rsidP="00277771">
            <w:pPr>
              <w:rPr>
                <w:b/>
                <w:bCs/>
                <w:color w:val="000000"/>
                <w:sz w:val="20"/>
                <w:szCs w:val="20"/>
              </w:rPr>
            </w:pPr>
            <w:r w:rsidRPr="0092579B">
              <w:rPr>
                <w:b/>
                <w:bCs/>
                <w:color w:val="000000"/>
                <w:sz w:val="20"/>
                <w:szCs w:val="20"/>
              </w:rPr>
              <w:t> </w:t>
            </w:r>
          </w:p>
        </w:tc>
        <w:tc>
          <w:tcPr>
            <w:tcW w:w="1072" w:type="dxa"/>
            <w:tcBorders>
              <w:top w:val="nil"/>
              <w:left w:val="nil"/>
              <w:bottom w:val="single" w:sz="4" w:space="0" w:color="auto"/>
              <w:right w:val="single" w:sz="4" w:space="0" w:color="auto"/>
            </w:tcBorders>
            <w:shd w:val="clear" w:color="000000" w:fill="FFFFFF"/>
            <w:noWrap/>
            <w:vAlign w:val="bottom"/>
            <w:hideMark/>
          </w:tcPr>
          <w:p w14:paraId="7290B4A1" w14:textId="77777777" w:rsidR="00D4796A" w:rsidRPr="0092579B" w:rsidRDefault="00D4796A" w:rsidP="00277771">
            <w:pPr>
              <w:jc w:val="right"/>
              <w:rPr>
                <w:b/>
                <w:bCs/>
                <w:sz w:val="20"/>
                <w:szCs w:val="20"/>
              </w:rPr>
            </w:pPr>
            <w:r w:rsidRPr="0092579B">
              <w:rPr>
                <w:b/>
                <w:bCs/>
                <w:sz w:val="20"/>
                <w:szCs w:val="20"/>
              </w:rPr>
              <w:t> </w:t>
            </w:r>
          </w:p>
        </w:tc>
      </w:tr>
      <w:tr w:rsidR="00D4796A" w:rsidRPr="00AE0D8E" w14:paraId="32F214E8" w14:textId="77777777" w:rsidTr="00277771">
        <w:trPr>
          <w:trHeight w:val="300"/>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0E91EFE0" w14:textId="77777777" w:rsidR="00D4796A" w:rsidRPr="0092579B" w:rsidRDefault="00D4796A" w:rsidP="0092579B">
            <w:pPr>
              <w:ind w:firstLineChars="100" w:firstLine="200"/>
              <w:rPr>
                <w:sz w:val="20"/>
                <w:szCs w:val="20"/>
              </w:rPr>
            </w:pPr>
            <w:r w:rsidRPr="0092579B">
              <w:rPr>
                <w:sz w:val="20"/>
                <w:szCs w:val="20"/>
              </w:rPr>
              <w:t xml:space="preserve">Разходи за подпомагане на бизнеса и програми за заетост </w:t>
            </w:r>
          </w:p>
        </w:tc>
        <w:tc>
          <w:tcPr>
            <w:tcW w:w="1196" w:type="dxa"/>
            <w:tcBorders>
              <w:top w:val="nil"/>
              <w:left w:val="nil"/>
              <w:bottom w:val="single" w:sz="4" w:space="0" w:color="auto"/>
              <w:right w:val="single" w:sz="4" w:space="0" w:color="auto"/>
            </w:tcBorders>
            <w:shd w:val="clear" w:color="auto" w:fill="auto"/>
            <w:noWrap/>
            <w:vAlign w:val="bottom"/>
            <w:hideMark/>
          </w:tcPr>
          <w:p w14:paraId="0FAC29C3" w14:textId="77777777" w:rsidR="00D4796A" w:rsidRPr="0092579B" w:rsidRDefault="00D4796A" w:rsidP="00277771">
            <w:pPr>
              <w:jc w:val="right"/>
              <w:rPr>
                <w:color w:val="000000"/>
                <w:sz w:val="20"/>
                <w:szCs w:val="20"/>
              </w:rPr>
            </w:pPr>
            <w:r w:rsidRPr="0092579B">
              <w:rPr>
                <w:color w:val="000000"/>
                <w:sz w:val="20"/>
                <w:szCs w:val="20"/>
              </w:rPr>
              <w:t>162,1</w:t>
            </w:r>
          </w:p>
        </w:tc>
        <w:tc>
          <w:tcPr>
            <w:tcW w:w="1072" w:type="dxa"/>
            <w:tcBorders>
              <w:top w:val="nil"/>
              <w:left w:val="nil"/>
              <w:bottom w:val="single" w:sz="4" w:space="0" w:color="auto"/>
              <w:right w:val="single" w:sz="4" w:space="0" w:color="auto"/>
            </w:tcBorders>
            <w:shd w:val="clear" w:color="000000" w:fill="FFFFFF"/>
            <w:noWrap/>
            <w:vAlign w:val="bottom"/>
            <w:hideMark/>
          </w:tcPr>
          <w:p w14:paraId="5ACAD8F5" w14:textId="77777777" w:rsidR="00D4796A" w:rsidRPr="0092579B" w:rsidRDefault="00D4796A" w:rsidP="00277771">
            <w:pPr>
              <w:jc w:val="right"/>
              <w:rPr>
                <w:sz w:val="20"/>
                <w:szCs w:val="20"/>
              </w:rPr>
            </w:pPr>
            <w:r w:rsidRPr="0092579B">
              <w:rPr>
                <w:sz w:val="20"/>
                <w:szCs w:val="20"/>
              </w:rPr>
              <w:t>0,10%</w:t>
            </w:r>
          </w:p>
        </w:tc>
      </w:tr>
      <w:tr w:rsidR="00D4796A" w:rsidRPr="00AE0D8E" w14:paraId="0BA3E174" w14:textId="77777777" w:rsidTr="0092579B">
        <w:trPr>
          <w:trHeight w:val="299"/>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0C18E353" w14:textId="77777777" w:rsidR="00D4796A" w:rsidRPr="0092579B" w:rsidRDefault="00D4796A" w:rsidP="0092579B">
            <w:pPr>
              <w:ind w:firstLineChars="100" w:firstLine="200"/>
              <w:rPr>
                <w:sz w:val="20"/>
                <w:szCs w:val="20"/>
              </w:rPr>
            </w:pPr>
            <w:r w:rsidRPr="0092579B">
              <w:rPr>
                <w:sz w:val="20"/>
                <w:szCs w:val="20"/>
              </w:rPr>
              <w:t>Допълнителни разходи по бюджета на ДФ „Земеделие“ за подпомагане на засегнатите от негативните ефекти от пандемията земеделски стопани</w:t>
            </w:r>
          </w:p>
        </w:tc>
        <w:tc>
          <w:tcPr>
            <w:tcW w:w="1196" w:type="dxa"/>
            <w:tcBorders>
              <w:top w:val="nil"/>
              <w:left w:val="nil"/>
              <w:bottom w:val="single" w:sz="4" w:space="0" w:color="auto"/>
              <w:right w:val="single" w:sz="4" w:space="0" w:color="auto"/>
            </w:tcBorders>
            <w:shd w:val="clear" w:color="auto" w:fill="auto"/>
            <w:noWrap/>
            <w:vAlign w:val="bottom"/>
            <w:hideMark/>
          </w:tcPr>
          <w:p w14:paraId="31D58EDE" w14:textId="77777777" w:rsidR="00D4796A" w:rsidRPr="0092579B" w:rsidRDefault="00D4796A" w:rsidP="00277771">
            <w:pPr>
              <w:jc w:val="right"/>
              <w:rPr>
                <w:color w:val="000000"/>
                <w:sz w:val="20"/>
                <w:szCs w:val="20"/>
              </w:rPr>
            </w:pPr>
            <w:r w:rsidRPr="0092579B">
              <w:rPr>
                <w:color w:val="000000"/>
                <w:sz w:val="20"/>
                <w:szCs w:val="20"/>
              </w:rPr>
              <w:t>143,5</w:t>
            </w:r>
          </w:p>
        </w:tc>
        <w:tc>
          <w:tcPr>
            <w:tcW w:w="1072" w:type="dxa"/>
            <w:tcBorders>
              <w:top w:val="nil"/>
              <w:left w:val="nil"/>
              <w:bottom w:val="single" w:sz="4" w:space="0" w:color="auto"/>
              <w:right w:val="single" w:sz="4" w:space="0" w:color="auto"/>
            </w:tcBorders>
            <w:shd w:val="clear" w:color="000000" w:fill="FFFFFF"/>
            <w:noWrap/>
            <w:vAlign w:val="bottom"/>
            <w:hideMark/>
          </w:tcPr>
          <w:p w14:paraId="68D69876" w14:textId="77777777" w:rsidR="00D4796A" w:rsidRPr="0092579B" w:rsidRDefault="00D4796A" w:rsidP="00277771">
            <w:pPr>
              <w:jc w:val="right"/>
              <w:rPr>
                <w:sz w:val="20"/>
                <w:szCs w:val="20"/>
              </w:rPr>
            </w:pPr>
            <w:r w:rsidRPr="0092579B">
              <w:rPr>
                <w:sz w:val="20"/>
                <w:szCs w:val="20"/>
              </w:rPr>
              <w:t>0,09%</w:t>
            </w:r>
          </w:p>
        </w:tc>
      </w:tr>
      <w:tr w:rsidR="00D4796A" w:rsidRPr="00AE0D8E" w14:paraId="3D3D19CB" w14:textId="77777777" w:rsidTr="0092579B">
        <w:trPr>
          <w:trHeight w:val="110"/>
        </w:trPr>
        <w:tc>
          <w:tcPr>
            <w:tcW w:w="7508" w:type="dxa"/>
            <w:tcBorders>
              <w:top w:val="nil"/>
              <w:left w:val="single" w:sz="4" w:space="0" w:color="auto"/>
              <w:bottom w:val="single" w:sz="4" w:space="0" w:color="auto"/>
              <w:right w:val="single" w:sz="4" w:space="0" w:color="auto"/>
            </w:tcBorders>
            <w:shd w:val="clear" w:color="000000" w:fill="FFFFFF"/>
            <w:vAlign w:val="bottom"/>
            <w:hideMark/>
          </w:tcPr>
          <w:p w14:paraId="290CD8E9" w14:textId="77777777" w:rsidR="00D4796A" w:rsidRPr="0092579B" w:rsidRDefault="00D4796A" w:rsidP="0092579B">
            <w:pPr>
              <w:ind w:firstLineChars="100" w:firstLine="200"/>
              <w:rPr>
                <w:color w:val="000000"/>
                <w:sz w:val="20"/>
                <w:szCs w:val="20"/>
              </w:rPr>
            </w:pPr>
            <w:r w:rsidRPr="0092579B">
              <w:rPr>
                <w:color w:val="000000"/>
                <w:sz w:val="20"/>
                <w:szCs w:val="20"/>
              </w:rPr>
              <w:t>Финансова подкрепа в областта на културата и изкуствата в условията на обявена извънредна епидемична обстановка</w:t>
            </w:r>
          </w:p>
        </w:tc>
        <w:tc>
          <w:tcPr>
            <w:tcW w:w="1196" w:type="dxa"/>
            <w:tcBorders>
              <w:top w:val="nil"/>
              <w:left w:val="nil"/>
              <w:bottom w:val="single" w:sz="4" w:space="0" w:color="auto"/>
              <w:right w:val="single" w:sz="4" w:space="0" w:color="auto"/>
            </w:tcBorders>
            <w:shd w:val="clear" w:color="auto" w:fill="auto"/>
            <w:noWrap/>
            <w:vAlign w:val="bottom"/>
            <w:hideMark/>
          </w:tcPr>
          <w:p w14:paraId="6CEA3E34" w14:textId="77777777" w:rsidR="00D4796A" w:rsidRPr="0092579B" w:rsidRDefault="00D4796A" w:rsidP="00277771">
            <w:pPr>
              <w:jc w:val="right"/>
              <w:rPr>
                <w:color w:val="000000"/>
                <w:sz w:val="20"/>
                <w:szCs w:val="20"/>
              </w:rPr>
            </w:pPr>
            <w:r w:rsidRPr="0092579B">
              <w:rPr>
                <w:color w:val="000000"/>
                <w:sz w:val="20"/>
                <w:szCs w:val="20"/>
              </w:rPr>
              <w:t>35,8</w:t>
            </w:r>
          </w:p>
        </w:tc>
        <w:tc>
          <w:tcPr>
            <w:tcW w:w="1072" w:type="dxa"/>
            <w:tcBorders>
              <w:top w:val="nil"/>
              <w:left w:val="nil"/>
              <w:bottom w:val="single" w:sz="4" w:space="0" w:color="auto"/>
              <w:right w:val="single" w:sz="4" w:space="0" w:color="auto"/>
            </w:tcBorders>
            <w:shd w:val="clear" w:color="000000" w:fill="FFFFFF"/>
            <w:noWrap/>
            <w:vAlign w:val="bottom"/>
            <w:hideMark/>
          </w:tcPr>
          <w:p w14:paraId="71614FBE" w14:textId="77777777" w:rsidR="00D4796A" w:rsidRPr="0092579B" w:rsidRDefault="00D4796A" w:rsidP="00277771">
            <w:pPr>
              <w:jc w:val="right"/>
              <w:rPr>
                <w:sz w:val="20"/>
                <w:szCs w:val="20"/>
              </w:rPr>
            </w:pPr>
            <w:r w:rsidRPr="0092579B">
              <w:rPr>
                <w:sz w:val="20"/>
                <w:szCs w:val="20"/>
              </w:rPr>
              <w:t>0,02%</w:t>
            </w:r>
          </w:p>
        </w:tc>
      </w:tr>
      <w:tr w:rsidR="00D4796A" w:rsidRPr="00AE0D8E" w14:paraId="750E1B7A" w14:textId="77777777" w:rsidTr="00277771">
        <w:trPr>
          <w:trHeight w:val="705"/>
        </w:trPr>
        <w:tc>
          <w:tcPr>
            <w:tcW w:w="7508" w:type="dxa"/>
            <w:tcBorders>
              <w:top w:val="nil"/>
              <w:left w:val="single" w:sz="4" w:space="0" w:color="auto"/>
              <w:bottom w:val="single" w:sz="4" w:space="0" w:color="auto"/>
              <w:right w:val="single" w:sz="4" w:space="0" w:color="auto"/>
            </w:tcBorders>
            <w:shd w:val="clear" w:color="000000" w:fill="FFFFFF"/>
            <w:vAlign w:val="bottom"/>
            <w:hideMark/>
          </w:tcPr>
          <w:p w14:paraId="6C135EA1" w14:textId="77777777" w:rsidR="00D4796A" w:rsidRPr="0092579B" w:rsidRDefault="00D4796A" w:rsidP="0092579B">
            <w:pPr>
              <w:ind w:firstLineChars="100" w:firstLine="200"/>
              <w:rPr>
                <w:color w:val="000000"/>
                <w:sz w:val="20"/>
                <w:szCs w:val="20"/>
              </w:rPr>
            </w:pPr>
            <w:r w:rsidRPr="0092579B">
              <w:rPr>
                <w:color w:val="000000"/>
                <w:sz w:val="20"/>
                <w:szCs w:val="20"/>
              </w:rPr>
              <w:t>Субсидии за туроператори, които използват въздушни превозвачи с валиден оперативен лиценз за изпълнение на чартърни полети до Република България с цел туризъм</w:t>
            </w:r>
          </w:p>
        </w:tc>
        <w:tc>
          <w:tcPr>
            <w:tcW w:w="1196" w:type="dxa"/>
            <w:tcBorders>
              <w:top w:val="nil"/>
              <w:left w:val="nil"/>
              <w:bottom w:val="single" w:sz="4" w:space="0" w:color="auto"/>
              <w:right w:val="single" w:sz="4" w:space="0" w:color="auto"/>
            </w:tcBorders>
            <w:shd w:val="clear" w:color="auto" w:fill="auto"/>
            <w:noWrap/>
            <w:vAlign w:val="bottom"/>
            <w:hideMark/>
          </w:tcPr>
          <w:p w14:paraId="3E22372E" w14:textId="77777777" w:rsidR="00D4796A" w:rsidRPr="0092579B" w:rsidRDefault="00D4796A" w:rsidP="00277771">
            <w:pPr>
              <w:jc w:val="right"/>
              <w:rPr>
                <w:color w:val="000000"/>
                <w:sz w:val="20"/>
                <w:szCs w:val="20"/>
              </w:rPr>
            </w:pPr>
            <w:r w:rsidRPr="0092579B">
              <w:rPr>
                <w:color w:val="000000"/>
                <w:sz w:val="20"/>
                <w:szCs w:val="20"/>
              </w:rPr>
              <w:t>9,6</w:t>
            </w:r>
          </w:p>
        </w:tc>
        <w:tc>
          <w:tcPr>
            <w:tcW w:w="1072" w:type="dxa"/>
            <w:tcBorders>
              <w:top w:val="nil"/>
              <w:left w:val="nil"/>
              <w:bottom w:val="single" w:sz="4" w:space="0" w:color="auto"/>
              <w:right w:val="single" w:sz="4" w:space="0" w:color="auto"/>
            </w:tcBorders>
            <w:shd w:val="clear" w:color="000000" w:fill="FFFFFF"/>
            <w:noWrap/>
            <w:vAlign w:val="bottom"/>
            <w:hideMark/>
          </w:tcPr>
          <w:p w14:paraId="41ABC0BE" w14:textId="77777777" w:rsidR="00D4796A" w:rsidRPr="0092579B" w:rsidRDefault="00D4796A" w:rsidP="00277771">
            <w:pPr>
              <w:jc w:val="right"/>
              <w:rPr>
                <w:sz w:val="20"/>
                <w:szCs w:val="20"/>
              </w:rPr>
            </w:pPr>
            <w:r w:rsidRPr="0092579B">
              <w:rPr>
                <w:sz w:val="20"/>
                <w:szCs w:val="20"/>
              </w:rPr>
              <w:t>0,01%</w:t>
            </w:r>
          </w:p>
        </w:tc>
      </w:tr>
      <w:tr w:rsidR="00D4796A" w:rsidRPr="00AE0D8E" w14:paraId="450FC973" w14:textId="77777777" w:rsidTr="00277771">
        <w:trPr>
          <w:trHeight w:val="600"/>
        </w:trPr>
        <w:tc>
          <w:tcPr>
            <w:tcW w:w="7508" w:type="dxa"/>
            <w:tcBorders>
              <w:top w:val="nil"/>
              <w:left w:val="single" w:sz="4" w:space="0" w:color="auto"/>
              <w:bottom w:val="single" w:sz="4" w:space="0" w:color="auto"/>
              <w:right w:val="single" w:sz="4" w:space="0" w:color="auto"/>
            </w:tcBorders>
            <w:shd w:val="clear" w:color="000000" w:fill="FCE4D6"/>
            <w:vAlign w:val="center"/>
            <w:hideMark/>
          </w:tcPr>
          <w:p w14:paraId="39410B16" w14:textId="77777777" w:rsidR="00D4796A" w:rsidRPr="00AE0D8E" w:rsidRDefault="00D4796A" w:rsidP="00277771">
            <w:pPr>
              <w:rPr>
                <w:b/>
                <w:bCs/>
                <w:i/>
                <w:iCs/>
                <w:szCs w:val="22"/>
              </w:rPr>
            </w:pPr>
            <w:r w:rsidRPr="00AE0D8E">
              <w:rPr>
                <w:b/>
                <w:bCs/>
                <w:i/>
                <w:iCs/>
                <w:szCs w:val="22"/>
              </w:rPr>
              <w:t xml:space="preserve">     В. Мерки за органите на държавното управление, натоварени с дейности по овладяване на пандемията и последствията от COVID-19</w:t>
            </w:r>
          </w:p>
        </w:tc>
        <w:tc>
          <w:tcPr>
            <w:tcW w:w="1196" w:type="dxa"/>
            <w:tcBorders>
              <w:top w:val="nil"/>
              <w:left w:val="nil"/>
              <w:bottom w:val="single" w:sz="4" w:space="0" w:color="auto"/>
              <w:right w:val="single" w:sz="4" w:space="0" w:color="auto"/>
            </w:tcBorders>
            <w:shd w:val="clear" w:color="000000" w:fill="FCE4D6"/>
            <w:noWrap/>
            <w:vAlign w:val="bottom"/>
            <w:hideMark/>
          </w:tcPr>
          <w:p w14:paraId="0F5316E6" w14:textId="77777777" w:rsidR="00D4796A" w:rsidRPr="00AE0D8E" w:rsidRDefault="00D4796A" w:rsidP="00277771">
            <w:pPr>
              <w:jc w:val="right"/>
              <w:rPr>
                <w:b/>
                <w:bCs/>
                <w:color w:val="000000"/>
                <w:szCs w:val="22"/>
              </w:rPr>
            </w:pPr>
            <w:r w:rsidRPr="00AE0D8E">
              <w:rPr>
                <w:b/>
                <w:bCs/>
                <w:color w:val="000000"/>
                <w:szCs w:val="22"/>
              </w:rPr>
              <w:t>747,2</w:t>
            </w:r>
          </w:p>
        </w:tc>
        <w:tc>
          <w:tcPr>
            <w:tcW w:w="1072" w:type="dxa"/>
            <w:tcBorders>
              <w:top w:val="nil"/>
              <w:left w:val="nil"/>
              <w:bottom w:val="single" w:sz="4" w:space="0" w:color="auto"/>
              <w:right w:val="single" w:sz="4" w:space="0" w:color="auto"/>
            </w:tcBorders>
            <w:shd w:val="clear" w:color="000000" w:fill="FCE4D6"/>
            <w:noWrap/>
            <w:vAlign w:val="bottom"/>
            <w:hideMark/>
          </w:tcPr>
          <w:p w14:paraId="01A2291C" w14:textId="77777777" w:rsidR="00D4796A" w:rsidRPr="00AE0D8E" w:rsidRDefault="00D4796A" w:rsidP="00277771">
            <w:pPr>
              <w:jc w:val="right"/>
              <w:rPr>
                <w:b/>
                <w:bCs/>
                <w:szCs w:val="22"/>
              </w:rPr>
            </w:pPr>
            <w:r w:rsidRPr="00AE0D8E">
              <w:rPr>
                <w:b/>
                <w:bCs/>
                <w:szCs w:val="22"/>
              </w:rPr>
              <w:t>0,45%</w:t>
            </w:r>
          </w:p>
        </w:tc>
      </w:tr>
      <w:tr w:rsidR="00D4796A" w:rsidRPr="00AE0D8E" w14:paraId="12895D98" w14:textId="77777777" w:rsidTr="0092579B">
        <w:trPr>
          <w:trHeight w:val="58"/>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09B0160D" w14:textId="77777777" w:rsidR="00D4796A" w:rsidRPr="0092579B" w:rsidRDefault="00D4796A" w:rsidP="0092579B">
            <w:pPr>
              <w:ind w:firstLineChars="100" w:firstLine="200"/>
              <w:rPr>
                <w:sz w:val="20"/>
                <w:szCs w:val="20"/>
              </w:rPr>
            </w:pPr>
            <w:r w:rsidRPr="0092579B">
              <w:rPr>
                <w:sz w:val="20"/>
                <w:szCs w:val="20"/>
              </w:rPr>
              <w:t>от тях:</w:t>
            </w:r>
          </w:p>
        </w:tc>
        <w:tc>
          <w:tcPr>
            <w:tcW w:w="1196" w:type="dxa"/>
            <w:tcBorders>
              <w:top w:val="nil"/>
              <w:left w:val="nil"/>
              <w:bottom w:val="single" w:sz="4" w:space="0" w:color="auto"/>
              <w:right w:val="single" w:sz="4" w:space="0" w:color="auto"/>
            </w:tcBorders>
            <w:shd w:val="clear" w:color="auto" w:fill="auto"/>
            <w:noWrap/>
            <w:vAlign w:val="bottom"/>
            <w:hideMark/>
          </w:tcPr>
          <w:p w14:paraId="434AA46C" w14:textId="77777777" w:rsidR="00D4796A" w:rsidRPr="0092579B" w:rsidRDefault="00D4796A" w:rsidP="00277771">
            <w:pPr>
              <w:rPr>
                <w:b/>
                <w:bCs/>
                <w:color w:val="000000"/>
                <w:sz w:val="20"/>
                <w:szCs w:val="20"/>
              </w:rPr>
            </w:pPr>
            <w:r w:rsidRPr="0092579B">
              <w:rPr>
                <w:b/>
                <w:bCs/>
                <w:color w:val="000000"/>
                <w:sz w:val="20"/>
                <w:szCs w:val="20"/>
              </w:rPr>
              <w:t> </w:t>
            </w:r>
          </w:p>
        </w:tc>
        <w:tc>
          <w:tcPr>
            <w:tcW w:w="1072" w:type="dxa"/>
            <w:tcBorders>
              <w:top w:val="nil"/>
              <w:left w:val="nil"/>
              <w:bottom w:val="single" w:sz="4" w:space="0" w:color="auto"/>
              <w:right w:val="single" w:sz="4" w:space="0" w:color="auto"/>
            </w:tcBorders>
            <w:shd w:val="clear" w:color="000000" w:fill="FFFFFF"/>
            <w:noWrap/>
            <w:vAlign w:val="bottom"/>
            <w:hideMark/>
          </w:tcPr>
          <w:p w14:paraId="2192A9D0" w14:textId="77777777" w:rsidR="00D4796A" w:rsidRPr="0092579B" w:rsidRDefault="00D4796A" w:rsidP="00277771">
            <w:pPr>
              <w:jc w:val="right"/>
              <w:rPr>
                <w:b/>
                <w:bCs/>
                <w:sz w:val="20"/>
                <w:szCs w:val="20"/>
              </w:rPr>
            </w:pPr>
            <w:r w:rsidRPr="0092579B">
              <w:rPr>
                <w:b/>
                <w:bCs/>
                <w:sz w:val="20"/>
                <w:szCs w:val="20"/>
              </w:rPr>
              <w:t> </w:t>
            </w:r>
          </w:p>
        </w:tc>
      </w:tr>
      <w:tr w:rsidR="00D4796A" w:rsidRPr="00AE0D8E" w14:paraId="4743C1B0" w14:textId="77777777" w:rsidTr="0092579B">
        <w:trPr>
          <w:trHeight w:val="253"/>
        </w:trPr>
        <w:tc>
          <w:tcPr>
            <w:tcW w:w="7508" w:type="dxa"/>
            <w:tcBorders>
              <w:top w:val="nil"/>
              <w:left w:val="single" w:sz="4" w:space="0" w:color="auto"/>
              <w:bottom w:val="single" w:sz="4" w:space="0" w:color="auto"/>
              <w:right w:val="single" w:sz="4" w:space="0" w:color="auto"/>
            </w:tcBorders>
            <w:shd w:val="clear" w:color="000000" w:fill="FFFFFF"/>
            <w:vAlign w:val="center"/>
            <w:hideMark/>
          </w:tcPr>
          <w:p w14:paraId="3AD83935" w14:textId="77777777" w:rsidR="00D4796A" w:rsidRPr="0092579B" w:rsidRDefault="00D4796A" w:rsidP="0092579B">
            <w:pPr>
              <w:ind w:firstLineChars="100" w:firstLine="200"/>
              <w:rPr>
                <w:sz w:val="20"/>
                <w:szCs w:val="20"/>
              </w:rPr>
            </w:pPr>
            <w:r w:rsidRPr="0092579B">
              <w:rPr>
                <w:sz w:val="20"/>
                <w:szCs w:val="20"/>
              </w:rPr>
              <w:t>Подкрепа на персонала на първа линия, пряко ангажиран с дейности по предотвратяване разпространението на COVID-19, вкл. за поставяне на ваксини срещу COVID-19</w:t>
            </w:r>
          </w:p>
        </w:tc>
        <w:tc>
          <w:tcPr>
            <w:tcW w:w="1196" w:type="dxa"/>
            <w:tcBorders>
              <w:top w:val="nil"/>
              <w:left w:val="nil"/>
              <w:bottom w:val="single" w:sz="4" w:space="0" w:color="auto"/>
              <w:right w:val="single" w:sz="4" w:space="0" w:color="auto"/>
            </w:tcBorders>
            <w:shd w:val="clear" w:color="auto" w:fill="auto"/>
            <w:noWrap/>
            <w:vAlign w:val="bottom"/>
            <w:hideMark/>
          </w:tcPr>
          <w:p w14:paraId="14176772" w14:textId="77777777" w:rsidR="00D4796A" w:rsidRPr="0092579B" w:rsidRDefault="00D4796A" w:rsidP="00277771">
            <w:pPr>
              <w:jc w:val="right"/>
              <w:rPr>
                <w:color w:val="000000"/>
                <w:sz w:val="20"/>
                <w:szCs w:val="20"/>
              </w:rPr>
            </w:pPr>
            <w:r w:rsidRPr="0092579B">
              <w:rPr>
                <w:color w:val="000000"/>
                <w:sz w:val="20"/>
                <w:szCs w:val="20"/>
              </w:rPr>
              <w:t>369,9</w:t>
            </w:r>
          </w:p>
        </w:tc>
        <w:tc>
          <w:tcPr>
            <w:tcW w:w="1072" w:type="dxa"/>
            <w:tcBorders>
              <w:top w:val="nil"/>
              <w:left w:val="nil"/>
              <w:bottom w:val="single" w:sz="4" w:space="0" w:color="auto"/>
              <w:right w:val="single" w:sz="4" w:space="0" w:color="auto"/>
            </w:tcBorders>
            <w:shd w:val="clear" w:color="000000" w:fill="FFFFFF"/>
            <w:noWrap/>
            <w:vAlign w:val="bottom"/>
            <w:hideMark/>
          </w:tcPr>
          <w:p w14:paraId="60E834F0" w14:textId="77777777" w:rsidR="00D4796A" w:rsidRPr="0092579B" w:rsidRDefault="00D4796A" w:rsidP="00277771">
            <w:pPr>
              <w:jc w:val="right"/>
              <w:rPr>
                <w:sz w:val="20"/>
                <w:szCs w:val="20"/>
              </w:rPr>
            </w:pPr>
            <w:r w:rsidRPr="0092579B">
              <w:rPr>
                <w:sz w:val="20"/>
                <w:szCs w:val="20"/>
              </w:rPr>
              <w:t>0,22%</w:t>
            </w:r>
          </w:p>
        </w:tc>
      </w:tr>
      <w:tr w:rsidR="00D4796A" w:rsidRPr="00AE0D8E" w14:paraId="38FF17C6" w14:textId="77777777" w:rsidTr="0092579B">
        <w:trPr>
          <w:trHeight w:val="122"/>
        </w:trPr>
        <w:tc>
          <w:tcPr>
            <w:tcW w:w="7508" w:type="dxa"/>
            <w:tcBorders>
              <w:top w:val="nil"/>
              <w:left w:val="single" w:sz="4" w:space="0" w:color="auto"/>
              <w:bottom w:val="single" w:sz="4" w:space="0" w:color="auto"/>
              <w:right w:val="single" w:sz="4" w:space="0" w:color="auto"/>
            </w:tcBorders>
            <w:shd w:val="clear" w:color="auto" w:fill="auto"/>
            <w:vAlign w:val="bottom"/>
            <w:hideMark/>
          </w:tcPr>
          <w:p w14:paraId="0D6A695D" w14:textId="77777777" w:rsidR="00D4796A" w:rsidRPr="0092579B" w:rsidRDefault="00D4796A" w:rsidP="0092579B">
            <w:pPr>
              <w:ind w:firstLineChars="100" w:firstLine="200"/>
              <w:rPr>
                <w:sz w:val="20"/>
                <w:szCs w:val="20"/>
              </w:rPr>
            </w:pPr>
            <w:r w:rsidRPr="0092579B">
              <w:rPr>
                <w:sz w:val="20"/>
                <w:szCs w:val="20"/>
              </w:rPr>
              <w:t>Осигуряване на финансиране от НЗОК на изпълнителите на медицинска помощ, на дентална помощ и на медико-диагностични дейности за работа при неблагоприятни условия във връзка с обявената епидемична обстановка и лечението на COVID-19</w:t>
            </w:r>
          </w:p>
        </w:tc>
        <w:tc>
          <w:tcPr>
            <w:tcW w:w="1196" w:type="dxa"/>
            <w:tcBorders>
              <w:top w:val="nil"/>
              <w:left w:val="nil"/>
              <w:bottom w:val="single" w:sz="4" w:space="0" w:color="auto"/>
              <w:right w:val="single" w:sz="4" w:space="0" w:color="auto"/>
            </w:tcBorders>
            <w:shd w:val="clear" w:color="auto" w:fill="auto"/>
            <w:noWrap/>
            <w:vAlign w:val="bottom"/>
            <w:hideMark/>
          </w:tcPr>
          <w:p w14:paraId="4658C1E4" w14:textId="77777777" w:rsidR="00D4796A" w:rsidRPr="0092579B" w:rsidRDefault="00D4796A" w:rsidP="00277771">
            <w:pPr>
              <w:jc w:val="right"/>
              <w:rPr>
                <w:color w:val="000000"/>
                <w:sz w:val="20"/>
                <w:szCs w:val="20"/>
              </w:rPr>
            </w:pPr>
            <w:r w:rsidRPr="0092579B">
              <w:rPr>
                <w:color w:val="000000"/>
                <w:sz w:val="20"/>
                <w:szCs w:val="20"/>
              </w:rPr>
              <w:t>216,2</w:t>
            </w:r>
          </w:p>
        </w:tc>
        <w:tc>
          <w:tcPr>
            <w:tcW w:w="1072" w:type="dxa"/>
            <w:tcBorders>
              <w:top w:val="nil"/>
              <w:left w:val="nil"/>
              <w:bottom w:val="single" w:sz="4" w:space="0" w:color="auto"/>
              <w:right w:val="single" w:sz="4" w:space="0" w:color="auto"/>
            </w:tcBorders>
            <w:shd w:val="clear" w:color="000000" w:fill="FFFFFF"/>
            <w:noWrap/>
            <w:vAlign w:val="bottom"/>
            <w:hideMark/>
          </w:tcPr>
          <w:p w14:paraId="56132F01" w14:textId="77777777" w:rsidR="00D4796A" w:rsidRPr="0092579B" w:rsidRDefault="00D4796A" w:rsidP="00277771">
            <w:pPr>
              <w:jc w:val="right"/>
              <w:rPr>
                <w:sz w:val="20"/>
                <w:szCs w:val="20"/>
              </w:rPr>
            </w:pPr>
            <w:r w:rsidRPr="0092579B">
              <w:rPr>
                <w:sz w:val="20"/>
                <w:szCs w:val="20"/>
              </w:rPr>
              <w:t>0,13%</w:t>
            </w:r>
          </w:p>
        </w:tc>
      </w:tr>
      <w:tr w:rsidR="00D4796A" w:rsidRPr="00AE0D8E" w14:paraId="3E2039A9" w14:textId="77777777" w:rsidTr="0092579B">
        <w:trPr>
          <w:trHeight w:val="58"/>
        </w:trPr>
        <w:tc>
          <w:tcPr>
            <w:tcW w:w="7508" w:type="dxa"/>
            <w:tcBorders>
              <w:top w:val="nil"/>
              <w:left w:val="single" w:sz="4" w:space="0" w:color="auto"/>
              <w:bottom w:val="single" w:sz="4" w:space="0" w:color="auto"/>
              <w:right w:val="single" w:sz="4" w:space="0" w:color="auto"/>
            </w:tcBorders>
            <w:shd w:val="clear" w:color="000000" w:fill="FFFFFF"/>
            <w:vAlign w:val="bottom"/>
            <w:hideMark/>
          </w:tcPr>
          <w:p w14:paraId="2D3FDBAD" w14:textId="77777777" w:rsidR="00D4796A" w:rsidRPr="0092579B" w:rsidRDefault="00D4796A" w:rsidP="0092579B">
            <w:pPr>
              <w:ind w:firstLineChars="100" w:firstLine="200"/>
              <w:rPr>
                <w:color w:val="000000"/>
                <w:sz w:val="20"/>
                <w:szCs w:val="20"/>
              </w:rPr>
            </w:pPr>
            <w:r w:rsidRPr="0092579B">
              <w:rPr>
                <w:color w:val="000000"/>
                <w:sz w:val="20"/>
                <w:szCs w:val="20"/>
              </w:rPr>
              <w:t>Изплащане на допълнителни трудови възнаграждения на изпълнителите на болнична медицинска помощ</w:t>
            </w:r>
          </w:p>
        </w:tc>
        <w:tc>
          <w:tcPr>
            <w:tcW w:w="1196" w:type="dxa"/>
            <w:tcBorders>
              <w:top w:val="nil"/>
              <w:left w:val="nil"/>
              <w:bottom w:val="single" w:sz="4" w:space="0" w:color="auto"/>
              <w:right w:val="single" w:sz="4" w:space="0" w:color="auto"/>
            </w:tcBorders>
            <w:shd w:val="clear" w:color="auto" w:fill="auto"/>
            <w:noWrap/>
            <w:vAlign w:val="bottom"/>
            <w:hideMark/>
          </w:tcPr>
          <w:p w14:paraId="05DB4009" w14:textId="77777777" w:rsidR="00D4796A" w:rsidRPr="0092579B" w:rsidRDefault="00D4796A" w:rsidP="00277771">
            <w:pPr>
              <w:jc w:val="right"/>
              <w:rPr>
                <w:color w:val="000000"/>
                <w:sz w:val="20"/>
                <w:szCs w:val="20"/>
              </w:rPr>
            </w:pPr>
            <w:r w:rsidRPr="0092579B">
              <w:rPr>
                <w:color w:val="000000"/>
                <w:sz w:val="20"/>
                <w:szCs w:val="20"/>
              </w:rPr>
              <w:t>74,8</w:t>
            </w:r>
          </w:p>
        </w:tc>
        <w:tc>
          <w:tcPr>
            <w:tcW w:w="1072" w:type="dxa"/>
            <w:tcBorders>
              <w:top w:val="nil"/>
              <w:left w:val="nil"/>
              <w:bottom w:val="single" w:sz="4" w:space="0" w:color="auto"/>
              <w:right w:val="single" w:sz="4" w:space="0" w:color="auto"/>
            </w:tcBorders>
            <w:shd w:val="clear" w:color="000000" w:fill="FFFFFF"/>
            <w:noWrap/>
            <w:vAlign w:val="bottom"/>
            <w:hideMark/>
          </w:tcPr>
          <w:p w14:paraId="473457FC" w14:textId="77777777" w:rsidR="00D4796A" w:rsidRPr="0092579B" w:rsidRDefault="00D4796A" w:rsidP="00277771">
            <w:pPr>
              <w:jc w:val="right"/>
              <w:rPr>
                <w:sz w:val="20"/>
                <w:szCs w:val="20"/>
              </w:rPr>
            </w:pPr>
            <w:r w:rsidRPr="0092579B">
              <w:rPr>
                <w:sz w:val="20"/>
                <w:szCs w:val="20"/>
              </w:rPr>
              <w:t>0,05%</w:t>
            </w:r>
          </w:p>
        </w:tc>
      </w:tr>
      <w:tr w:rsidR="00D4796A" w:rsidRPr="00AE0D8E" w14:paraId="45E63989" w14:textId="77777777" w:rsidTr="0092579B">
        <w:trPr>
          <w:trHeight w:val="58"/>
        </w:trPr>
        <w:tc>
          <w:tcPr>
            <w:tcW w:w="7508" w:type="dxa"/>
            <w:tcBorders>
              <w:top w:val="nil"/>
              <w:left w:val="single" w:sz="4" w:space="0" w:color="auto"/>
              <w:bottom w:val="single" w:sz="4" w:space="0" w:color="auto"/>
              <w:right w:val="single" w:sz="4" w:space="0" w:color="auto"/>
            </w:tcBorders>
            <w:shd w:val="clear" w:color="000000" w:fill="FFFFFF"/>
            <w:vAlign w:val="bottom"/>
            <w:hideMark/>
          </w:tcPr>
          <w:p w14:paraId="7550DD6F" w14:textId="77777777" w:rsidR="00D4796A" w:rsidRPr="0092579B" w:rsidRDefault="00D4796A" w:rsidP="0092579B">
            <w:pPr>
              <w:ind w:firstLineChars="100" w:firstLine="200"/>
              <w:rPr>
                <w:color w:val="000000"/>
                <w:sz w:val="20"/>
                <w:szCs w:val="20"/>
              </w:rPr>
            </w:pPr>
            <w:r w:rsidRPr="0092579B">
              <w:rPr>
                <w:color w:val="000000"/>
                <w:sz w:val="20"/>
                <w:szCs w:val="20"/>
              </w:rPr>
              <w:t>Осигуряване на лични предпазни средства, дезинфектанти, консумативи и др</w:t>
            </w:r>
          </w:p>
        </w:tc>
        <w:tc>
          <w:tcPr>
            <w:tcW w:w="1196" w:type="dxa"/>
            <w:tcBorders>
              <w:top w:val="nil"/>
              <w:left w:val="nil"/>
              <w:bottom w:val="single" w:sz="4" w:space="0" w:color="auto"/>
              <w:right w:val="single" w:sz="4" w:space="0" w:color="auto"/>
            </w:tcBorders>
            <w:shd w:val="clear" w:color="auto" w:fill="auto"/>
            <w:noWrap/>
            <w:vAlign w:val="bottom"/>
            <w:hideMark/>
          </w:tcPr>
          <w:p w14:paraId="3A4BF1BF" w14:textId="77777777" w:rsidR="00D4796A" w:rsidRPr="0092579B" w:rsidRDefault="00D4796A" w:rsidP="00277771">
            <w:pPr>
              <w:jc w:val="right"/>
              <w:rPr>
                <w:color w:val="000000"/>
                <w:sz w:val="20"/>
                <w:szCs w:val="20"/>
              </w:rPr>
            </w:pPr>
            <w:r w:rsidRPr="0092579B">
              <w:rPr>
                <w:color w:val="000000"/>
                <w:sz w:val="20"/>
                <w:szCs w:val="20"/>
              </w:rPr>
              <w:t>8,7</w:t>
            </w:r>
          </w:p>
        </w:tc>
        <w:tc>
          <w:tcPr>
            <w:tcW w:w="1072" w:type="dxa"/>
            <w:tcBorders>
              <w:top w:val="nil"/>
              <w:left w:val="nil"/>
              <w:bottom w:val="single" w:sz="4" w:space="0" w:color="auto"/>
              <w:right w:val="single" w:sz="4" w:space="0" w:color="auto"/>
            </w:tcBorders>
            <w:shd w:val="clear" w:color="000000" w:fill="FFFFFF"/>
            <w:noWrap/>
            <w:vAlign w:val="bottom"/>
            <w:hideMark/>
          </w:tcPr>
          <w:p w14:paraId="0E860122" w14:textId="77777777" w:rsidR="00D4796A" w:rsidRPr="0092579B" w:rsidRDefault="00D4796A" w:rsidP="00277771">
            <w:pPr>
              <w:jc w:val="right"/>
              <w:rPr>
                <w:sz w:val="20"/>
                <w:szCs w:val="20"/>
              </w:rPr>
            </w:pPr>
            <w:r w:rsidRPr="0092579B">
              <w:rPr>
                <w:sz w:val="20"/>
                <w:szCs w:val="20"/>
              </w:rPr>
              <w:t>0,01%</w:t>
            </w:r>
          </w:p>
        </w:tc>
      </w:tr>
      <w:tr w:rsidR="00D4796A" w:rsidRPr="00AE0D8E" w14:paraId="76448B0F" w14:textId="77777777" w:rsidTr="0092579B">
        <w:trPr>
          <w:trHeight w:val="58"/>
        </w:trPr>
        <w:tc>
          <w:tcPr>
            <w:tcW w:w="7508" w:type="dxa"/>
            <w:tcBorders>
              <w:top w:val="nil"/>
              <w:left w:val="single" w:sz="4" w:space="0" w:color="auto"/>
              <w:bottom w:val="single" w:sz="4" w:space="0" w:color="auto"/>
              <w:right w:val="single" w:sz="4" w:space="0" w:color="auto"/>
            </w:tcBorders>
            <w:shd w:val="clear" w:color="auto" w:fill="auto"/>
            <w:noWrap/>
            <w:vAlign w:val="bottom"/>
            <w:hideMark/>
          </w:tcPr>
          <w:p w14:paraId="2C3A21D9" w14:textId="77777777" w:rsidR="00D4796A" w:rsidRPr="0092579B" w:rsidRDefault="00D4796A" w:rsidP="00277771">
            <w:pPr>
              <w:rPr>
                <w:color w:val="000000"/>
                <w:sz w:val="20"/>
                <w:szCs w:val="20"/>
              </w:rPr>
            </w:pPr>
            <w:r w:rsidRPr="0092579B">
              <w:rPr>
                <w:color w:val="000000"/>
                <w:sz w:val="20"/>
                <w:szCs w:val="20"/>
              </w:rPr>
              <w:t xml:space="preserve">   Общини - средства за противоепидемични мерки</w:t>
            </w:r>
          </w:p>
        </w:tc>
        <w:tc>
          <w:tcPr>
            <w:tcW w:w="1196" w:type="dxa"/>
            <w:tcBorders>
              <w:top w:val="nil"/>
              <w:left w:val="nil"/>
              <w:bottom w:val="single" w:sz="4" w:space="0" w:color="auto"/>
              <w:right w:val="single" w:sz="4" w:space="0" w:color="auto"/>
            </w:tcBorders>
            <w:shd w:val="clear" w:color="auto" w:fill="auto"/>
            <w:noWrap/>
            <w:vAlign w:val="bottom"/>
            <w:hideMark/>
          </w:tcPr>
          <w:p w14:paraId="4D315CF2" w14:textId="77777777" w:rsidR="00D4796A" w:rsidRPr="0092579B" w:rsidRDefault="00D4796A" w:rsidP="00277771">
            <w:pPr>
              <w:jc w:val="right"/>
              <w:rPr>
                <w:sz w:val="20"/>
                <w:szCs w:val="20"/>
              </w:rPr>
            </w:pPr>
            <w:r w:rsidRPr="0092579B">
              <w:rPr>
                <w:sz w:val="20"/>
                <w:szCs w:val="20"/>
              </w:rPr>
              <w:t>74,3</w:t>
            </w:r>
          </w:p>
        </w:tc>
        <w:tc>
          <w:tcPr>
            <w:tcW w:w="1072" w:type="dxa"/>
            <w:tcBorders>
              <w:top w:val="nil"/>
              <w:left w:val="nil"/>
              <w:bottom w:val="single" w:sz="4" w:space="0" w:color="auto"/>
              <w:right w:val="single" w:sz="4" w:space="0" w:color="auto"/>
            </w:tcBorders>
            <w:shd w:val="clear" w:color="000000" w:fill="FFFFFF"/>
            <w:noWrap/>
            <w:vAlign w:val="bottom"/>
            <w:hideMark/>
          </w:tcPr>
          <w:p w14:paraId="79C784F4" w14:textId="77777777" w:rsidR="00D4796A" w:rsidRPr="0092579B" w:rsidRDefault="00D4796A" w:rsidP="00277771">
            <w:pPr>
              <w:jc w:val="right"/>
              <w:rPr>
                <w:sz w:val="20"/>
                <w:szCs w:val="20"/>
              </w:rPr>
            </w:pPr>
            <w:r w:rsidRPr="0092579B">
              <w:rPr>
                <w:sz w:val="20"/>
                <w:szCs w:val="20"/>
              </w:rPr>
              <w:t>0,04%</w:t>
            </w:r>
          </w:p>
        </w:tc>
      </w:tr>
    </w:tbl>
    <w:p w14:paraId="640093DF" w14:textId="77777777" w:rsidR="00CC73CD" w:rsidRPr="007B48E9" w:rsidRDefault="00CC73CD" w:rsidP="0099134C">
      <w:pPr>
        <w:jc w:val="both"/>
        <w:rPr>
          <w:color w:val="0070C0"/>
        </w:rPr>
      </w:pPr>
    </w:p>
    <w:p w14:paraId="3D6A87D9" w14:textId="77777777" w:rsidR="00CC73CD" w:rsidRPr="007B48E9" w:rsidRDefault="00CC73CD">
      <w:pPr>
        <w:rPr>
          <w:color w:val="0070C0"/>
        </w:rPr>
      </w:pPr>
      <w:r w:rsidRPr="007B48E9">
        <w:rPr>
          <w:color w:val="0070C0"/>
        </w:rPr>
        <w:br w:type="page"/>
      </w:r>
    </w:p>
    <w:p w14:paraId="7E59CEAB" w14:textId="3CB0A8DD" w:rsidR="00925806" w:rsidRPr="00677029" w:rsidRDefault="00925806" w:rsidP="00BD39E0">
      <w:pPr>
        <w:pStyle w:val="Heading3"/>
        <w:numPr>
          <w:ilvl w:val="1"/>
          <w:numId w:val="44"/>
        </w:numPr>
        <w:rPr>
          <w:rFonts w:ascii="Times New Roman" w:hAnsi="Times New Roman"/>
          <w:sz w:val="24"/>
          <w:lang w:val="bg-BG"/>
        </w:rPr>
      </w:pPr>
      <w:bookmarkStart w:id="73" w:name="_Toc146037884"/>
      <w:r w:rsidRPr="00677029">
        <w:rPr>
          <w:rFonts w:ascii="Times New Roman" w:hAnsi="Times New Roman"/>
          <w:sz w:val="24"/>
          <w:lang w:val="bg-BG"/>
        </w:rPr>
        <w:t xml:space="preserve">Изпълнение на </w:t>
      </w:r>
      <w:r w:rsidR="004D27FB" w:rsidRPr="00677029">
        <w:rPr>
          <w:rFonts w:ascii="Times New Roman" w:hAnsi="Times New Roman"/>
          <w:sz w:val="24"/>
          <w:lang w:val="bg-BG"/>
        </w:rPr>
        <w:t xml:space="preserve">основните </w:t>
      </w:r>
      <w:r w:rsidRPr="00677029">
        <w:rPr>
          <w:rFonts w:ascii="Times New Roman" w:hAnsi="Times New Roman"/>
          <w:sz w:val="24"/>
          <w:lang w:val="bg-BG"/>
        </w:rPr>
        <w:t>дискреционни мерки за 20</w:t>
      </w:r>
      <w:r w:rsidR="000F3253" w:rsidRPr="00677029">
        <w:rPr>
          <w:rFonts w:ascii="Times New Roman" w:hAnsi="Times New Roman"/>
          <w:sz w:val="24"/>
          <w:lang w:val="bg-BG"/>
        </w:rPr>
        <w:t>2</w:t>
      </w:r>
      <w:r w:rsidR="00677029" w:rsidRPr="004D5FFC">
        <w:rPr>
          <w:rFonts w:ascii="Times New Roman" w:hAnsi="Times New Roman"/>
          <w:sz w:val="24"/>
          <w:lang w:val="ru-RU"/>
        </w:rPr>
        <w:t>2</w:t>
      </w:r>
      <w:r w:rsidRPr="00677029">
        <w:rPr>
          <w:rFonts w:ascii="Times New Roman" w:hAnsi="Times New Roman"/>
          <w:sz w:val="24"/>
          <w:lang w:val="bg-BG"/>
        </w:rPr>
        <w:t xml:space="preserve"> г.</w:t>
      </w:r>
      <w:bookmarkEnd w:id="73"/>
    </w:p>
    <w:p w14:paraId="68935838" w14:textId="78F93969" w:rsidR="00925806" w:rsidRPr="007B48E9" w:rsidRDefault="00925806" w:rsidP="00925806">
      <w:pPr>
        <w:rPr>
          <w:color w:val="0070C0"/>
        </w:rPr>
      </w:pPr>
    </w:p>
    <w:tbl>
      <w:tblPr>
        <w:tblW w:w="9696" w:type="dxa"/>
        <w:tblInd w:w="-15" w:type="dxa"/>
        <w:tblCellMar>
          <w:left w:w="0" w:type="dxa"/>
          <w:right w:w="0" w:type="dxa"/>
        </w:tblCellMar>
        <w:tblLook w:val="04A0" w:firstRow="1" w:lastRow="0" w:firstColumn="1" w:lastColumn="0" w:noHBand="0" w:noVBand="1"/>
      </w:tblPr>
      <w:tblGrid>
        <w:gridCol w:w="6536"/>
        <w:gridCol w:w="1559"/>
        <w:gridCol w:w="1590"/>
        <w:gridCol w:w="11"/>
      </w:tblGrid>
      <w:tr w:rsidR="00CA249B" w:rsidRPr="00DA45B6" w14:paraId="49C3119A" w14:textId="77777777" w:rsidTr="00D337DB">
        <w:trPr>
          <w:trHeight w:val="95"/>
        </w:trPr>
        <w:tc>
          <w:tcPr>
            <w:tcW w:w="9696" w:type="dxa"/>
            <w:gridSpan w:val="4"/>
            <w:tcBorders>
              <w:top w:val="nil"/>
              <w:left w:val="nil"/>
              <w:bottom w:val="nil"/>
              <w:right w:val="nil"/>
            </w:tcBorders>
            <w:shd w:val="clear" w:color="auto" w:fill="auto"/>
            <w:noWrap/>
            <w:tcMar>
              <w:top w:w="15" w:type="dxa"/>
              <w:left w:w="15" w:type="dxa"/>
              <w:bottom w:w="0" w:type="dxa"/>
              <w:right w:w="15" w:type="dxa"/>
            </w:tcMar>
            <w:vAlign w:val="bottom"/>
            <w:hideMark/>
          </w:tcPr>
          <w:p w14:paraId="2FB83B2E" w14:textId="759FE69E" w:rsidR="00CA249B" w:rsidRPr="00CF7E93" w:rsidRDefault="00CA249B" w:rsidP="00CA249B">
            <w:pPr>
              <w:jc w:val="center"/>
              <w:rPr>
                <w:b/>
                <w:bCs/>
              </w:rPr>
            </w:pPr>
            <w:r w:rsidRPr="00CF7E93">
              <w:rPr>
                <w:b/>
                <w:bCs/>
              </w:rPr>
              <w:t xml:space="preserve">Дискреционни приходни мерки, </w:t>
            </w:r>
            <w:r w:rsidR="00D74CA8" w:rsidRPr="00CF7E93">
              <w:rPr>
                <w:b/>
                <w:bCs/>
              </w:rPr>
              <w:t xml:space="preserve">изменение спрямо предходната година, </w:t>
            </w:r>
            <w:r w:rsidRPr="00CF7E93">
              <w:rPr>
                <w:b/>
                <w:bCs/>
              </w:rPr>
              <w:t>млн. лв.</w:t>
            </w:r>
          </w:p>
        </w:tc>
      </w:tr>
      <w:tr w:rsidR="00CA249B" w:rsidRPr="00CA249B" w14:paraId="67C66D2C" w14:textId="77777777" w:rsidTr="00D337DB">
        <w:trPr>
          <w:gridAfter w:val="1"/>
          <w:wAfter w:w="11" w:type="dxa"/>
          <w:trHeight w:val="317"/>
        </w:trPr>
        <w:tc>
          <w:tcPr>
            <w:tcW w:w="6536" w:type="dxa"/>
            <w:tcBorders>
              <w:top w:val="nil"/>
              <w:left w:val="nil"/>
              <w:bottom w:val="nil"/>
              <w:right w:val="nil"/>
            </w:tcBorders>
            <w:shd w:val="clear" w:color="auto" w:fill="auto"/>
            <w:noWrap/>
            <w:tcMar>
              <w:top w:w="15" w:type="dxa"/>
              <w:left w:w="15" w:type="dxa"/>
              <w:bottom w:w="0" w:type="dxa"/>
              <w:right w:w="15" w:type="dxa"/>
            </w:tcMar>
            <w:vAlign w:val="bottom"/>
          </w:tcPr>
          <w:p w14:paraId="5B871C22" w14:textId="77777777" w:rsidR="00CA249B" w:rsidRPr="00CA249B" w:rsidRDefault="00CA249B" w:rsidP="00CA249B">
            <w:pPr>
              <w:rPr>
                <w:b/>
                <w:bCs/>
              </w:rPr>
            </w:pPr>
          </w:p>
        </w:tc>
        <w:tc>
          <w:tcPr>
            <w:tcW w:w="1559" w:type="dxa"/>
            <w:tcBorders>
              <w:top w:val="nil"/>
              <w:left w:val="nil"/>
              <w:bottom w:val="nil"/>
              <w:right w:val="nil"/>
            </w:tcBorders>
            <w:shd w:val="clear" w:color="auto" w:fill="auto"/>
            <w:noWrap/>
            <w:tcMar>
              <w:top w:w="15" w:type="dxa"/>
              <w:left w:w="15" w:type="dxa"/>
              <w:bottom w:w="0" w:type="dxa"/>
              <w:right w:w="15" w:type="dxa"/>
            </w:tcMar>
          </w:tcPr>
          <w:p w14:paraId="694F205C" w14:textId="77777777" w:rsidR="00CA249B" w:rsidRPr="00CA249B" w:rsidRDefault="00CA249B" w:rsidP="00CA249B"/>
        </w:tc>
        <w:tc>
          <w:tcPr>
            <w:tcW w:w="1590" w:type="dxa"/>
            <w:tcBorders>
              <w:top w:val="nil"/>
              <w:left w:val="nil"/>
              <w:bottom w:val="nil"/>
              <w:right w:val="nil"/>
            </w:tcBorders>
            <w:shd w:val="clear" w:color="auto" w:fill="auto"/>
            <w:noWrap/>
            <w:tcMar>
              <w:top w:w="15" w:type="dxa"/>
              <w:left w:w="15" w:type="dxa"/>
              <w:bottom w:w="0" w:type="dxa"/>
              <w:right w:w="15" w:type="dxa"/>
            </w:tcMar>
            <w:vAlign w:val="bottom"/>
          </w:tcPr>
          <w:p w14:paraId="1B996BBA" w14:textId="77777777" w:rsidR="00CA249B" w:rsidRPr="00CA249B" w:rsidRDefault="00CA249B" w:rsidP="00CA249B"/>
        </w:tc>
      </w:tr>
      <w:tr w:rsidR="00CA249B" w:rsidRPr="00CA249B" w14:paraId="69E38F82" w14:textId="77777777" w:rsidTr="00D337DB">
        <w:trPr>
          <w:gridAfter w:val="1"/>
          <w:wAfter w:w="11" w:type="dxa"/>
          <w:trHeight w:val="708"/>
        </w:trPr>
        <w:tc>
          <w:tcPr>
            <w:tcW w:w="6536" w:type="dxa"/>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42573070" w14:textId="77777777" w:rsidR="00CA249B" w:rsidRPr="00CA249B" w:rsidRDefault="00CA249B" w:rsidP="00CA249B">
            <w:pPr>
              <w:ind w:firstLine="567"/>
              <w:rPr>
                <w:b/>
                <w:bCs/>
              </w:rPr>
            </w:pPr>
            <w:r w:rsidRPr="00CA249B">
              <w:rPr>
                <w:b/>
                <w:bCs/>
              </w:rPr>
              <w:t>Приходни мерки – годишен ефект</w:t>
            </w:r>
          </w:p>
        </w:tc>
        <w:tc>
          <w:tcPr>
            <w:tcW w:w="1559" w:type="dxa"/>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25EA1168" w14:textId="77777777" w:rsidR="00CA249B" w:rsidRPr="00CA249B" w:rsidRDefault="00CA249B" w:rsidP="00CA249B">
            <w:pPr>
              <w:rPr>
                <w:b/>
                <w:bCs/>
              </w:rPr>
            </w:pPr>
            <w:r w:rsidRPr="00CA249B">
              <w:rPr>
                <w:b/>
                <w:bCs/>
              </w:rPr>
              <w:t>План</w:t>
            </w:r>
          </w:p>
        </w:tc>
        <w:tc>
          <w:tcPr>
            <w:tcW w:w="1590" w:type="dxa"/>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1FAA78A8" w14:textId="77777777" w:rsidR="00CA249B" w:rsidRPr="00CA249B" w:rsidRDefault="00CA249B" w:rsidP="00CA249B">
            <w:pPr>
              <w:rPr>
                <w:b/>
                <w:bCs/>
              </w:rPr>
            </w:pPr>
            <w:r w:rsidRPr="00CA249B">
              <w:rPr>
                <w:b/>
                <w:bCs/>
              </w:rPr>
              <w:t>Отчет</w:t>
            </w:r>
          </w:p>
        </w:tc>
      </w:tr>
      <w:tr w:rsidR="00CA249B" w:rsidRPr="00CA249B" w14:paraId="2E7039C9" w14:textId="77777777" w:rsidTr="0092579B">
        <w:trPr>
          <w:gridAfter w:val="1"/>
          <w:wAfter w:w="11" w:type="dxa"/>
          <w:trHeight w:val="264"/>
        </w:trPr>
        <w:tc>
          <w:tcPr>
            <w:tcW w:w="6536" w:type="dxa"/>
            <w:tcBorders>
              <w:top w:val="nil"/>
              <w:left w:val="nil"/>
              <w:bottom w:val="nil"/>
              <w:right w:val="nil"/>
            </w:tcBorders>
            <w:shd w:val="clear" w:color="auto" w:fill="E7E6E6"/>
            <w:tcMar>
              <w:top w:w="15" w:type="dxa"/>
              <w:left w:w="15" w:type="dxa"/>
              <w:bottom w:w="0" w:type="dxa"/>
              <w:right w:w="15" w:type="dxa"/>
            </w:tcMar>
            <w:vAlign w:val="center"/>
          </w:tcPr>
          <w:p w14:paraId="5A055D32" w14:textId="77777777" w:rsidR="00CA249B" w:rsidRPr="00CA249B" w:rsidRDefault="00CA249B" w:rsidP="00CA249B">
            <w:pPr>
              <w:rPr>
                <w:sz w:val="20"/>
                <w:szCs w:val="20"/>
              </w:rPr>
            </w:pPr>
            <w:r w:rsidRPr="00CA249B">
              <w:rPr>
                <w:sz w:val="20"/>
                <w:szCs w:val="20"/>
              </w:rPr>
              <w:t>Приходи от ДДФЛ от увеличение на МРЗ, минималните осигурителни</w:t>
            </w:r>
          </w:p>
          <w:p w14:paraId="1AD52161" w14:textId="77777777" w:rsidR="00CA249B" w:rsidRPr="00CA249B" w:rsidRDefault="00CA249B" w:rsidP="00CA249B">
            <w:pPr>
              <w:rPr>
                <w:sz w:val="20"/>
                <w:szCs w:val="20"/>
              </w:rPr>
            </w:pPr>
            <w:r w:rsidRPr="00CA249B">
              <w:rPr>
                <w:sz w:val="20"/>
                <w:szCs w:val="20"/>
              </w:rPr>
              <w:t>прагове и минималния осигурителен доход</w:t>
            </w:r>
          </w:p>
        </w:tc>
        <w:tc>
          <w:tcPr>
            <w:tcW w:w="1559" w:type="dxa"/>
            <w:tcBorders>
              <w:top w:val="nil"/>
              <w:left w:val="nil"/>
              <w:bottom w:val="nil"/>
              <w:right w:val="nil"/>
            </w:tcBorders>
            <w:shd w:val="clear" w:color="auto" w:fill="E7E6E6"/>
            <w:noWrap/>
            <w:tcMar>
              <w:top w:w="15" w:type="dxa"/>
              <w:left w:w="15" w:type="dxa"/>
              <w:bottom w:w="0" w:type="dxa"/>
              <w:right w:w="15" w:type="dxa"/>
            </w:tcMar>
            <w:vAlign w:val="center"/>
          </w:tcPr>
          <w:p w14:paraId="7D6E5463" w14:textId="77777777" w:rsidR="00CA249B" w:rsidRPr="00CA249B" w:rsidRDefault="00CA249B" w:rsidP="007C3839">
            <w:pPr>
              <w:jc w:val="right"/>
              <w:rPr>
                <w:sz w:val="20"/>
                <w:szCs w:val="20"/>
              </w:rPr>
            </w:pPr>
            <w:r w:rsidRPr="00CA249B">
              <w:rPr>
                <w:sz w:val="20"/>
                <w:szCs w:val="20"/>
              </w:rPr>
              <w:t>14,6</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0CA8451E" w14:textId="77777777" w:rsidR="00CA249B" w:rsidRPr="00CA249B" w:rsidRDefault="00CA249B" w:rsidP="007C3839">
            <w:pPr>
              <w:jc w:val="right"/>
              <w:rPr>
                <w:sz w:val="20"/>
                <w:szCs w:val="20"/>
              </w:rPr>
            </w:pPr>
            <w:r w:rsidRPr="00CA249B">
              <w:rPr>
                <w:sz w:val="20"/>
                <w:szCs w:val="20"/>
              </w:rPr>
              <w:t>14,6</w:t>
            </w:r>
          </w:p>
        </w:tc>
      </w:tr>
      <w:tr w:rsidR="00CA249B" w:rsidRPr="00CA249B" w14:paraId="00AB40D8" w14:textId="77777777" w:rsidTr="0092579B">
        <w:trPr>
          <w:gridAfter w:val="1"/>
          <w:wAfter w:w="11" w:type="dxa"/>
          <w:trHeight w:val="219"/>
        </w:trPr>
        <w:tc>
          <w:tcPr>
            <w:tcW w:w="6536" w:type="dxa"/>
            <w:tcBorders>
              <w:top w:val="nil"/>
              <w:left w:val="nil"/>
              <w:bottom w:val="nil"/>
              <w:right w:val="nil"/>
            </w:tcBorders>
            <w:shd w:val="clear" w:color="auto" w:fill="auto"/>
            <w:tcMar>
              <w:top w:w="15" w:type="dxa"/>
              <w:left w:w="15" w:type="dxa"/>
              <w:bottom w:w="0" w:type="dxa"/>
              <w:right w:w="15" w:type="dxa"/>
            </w:tcMar>
            <w:vAlign w:val="center"/>
            <w:hideMark/>
          </w:tcPr>
          <w:p w14:paraId="22659C1A" w14:textId="77777777" w:rsidR="00CA249B" w:rsidRPr="00CA249B" w:rsidRDefault="00CA249B" w:rsidP="00CA249B">
            <w:pPr>
              <w:rPr>
                <w:sz w:val="20"/>
                <w:szCs w:val="20"/>
              </w:rPr>
            </w:pPr>
            <w:r w:rsidRPr="00CA249B">
              <w:rPr>
                <w:sz w:val="20"/>
                <w:szCs w:val="20"/>
              </w:rPr>
              <w:t>Приходи от ДДФЛ от промяна на максималния осигурителен доход</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hideMark/>
          </w:tcPr>
          <w:p w14:paraId="2F22613F" w14:textId="77777777" w:rsidR="00CA249B" w:rsidRPr="00CA249B" w:rsidRDefault="00CA249B" w:rsidP="007C3839">
            <w:pPr>
              <w:jc w:val="right"/>
              <w:rPr>
                <w:sz w:val="20"/>
                <w:szCs w:val="20"/>
              </w:rPr>
            </w:pPr>
            <w:r w:rsidRPr="00CA249B">
              <w:rPr>
                <w:sz w:val="20"/>
                <w:szCs w:val="20"/>
              </w:rPr>
              <w:t>-7,0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54F97285" w14:textId="77777777" w:rsidR="00CA249B" w:rsidRPr="00CA249B" w:rsidRDefault="00CA249B" w:rsidP="007C3839">
            <w:pPr>
              <w:jc w:val="right"/>
              <w:rPr>
                <w:sz w:val="20"/>
                <w:szCs w:val="20"/>
                <w:lang w:val="en-US"/>
              </w:rPr>
            </w:pPr>
            <w:r w:rsidRPr="00CA249B">
              <w:rPr>
                <w:sz w:val="20"/>
                <w:szCs w:val="20"/>
              </w:rPr>
              <w:t>-12,1</w:t>
            </w:r>
          </w:p>
        </w:tc>
      </w:tr>
      <w:tr w:rsidR="00CA249B" w:rsidRPr="00CA249B" w14:paraId="3B2309E4" w14:textId="77777777" w:rsidTr="0092579B">
        <w:trPr>
          <w:gridAfter w:val="1"/>
          <w:wAfter w:w="11" w:type="dxa"/>
          <w:trHeight w:val="123"/>
        </w:trPr>
        <w:tc>
          <w:tcPr>
            <w:tcW w:w="6536" w:type="dxa"/>
            <w:tcBorders>
              <w:top w:val="nil"/>
              <w:left w:val="nil"/>
              <w:bottom w:val="nil"/>
              <w:right w:val="nil"/>
            </w:tcBorders>
            <w:shd w:val="clear" w:color="000000" w:fill="E7E6E6"/>
            <w:tcMar>
              <w:top w:w="15" w:type="dxa"/>
              <w:left w:w="15" w:type="dxa"/>
              <w:bottom w:w="0" w:type="dxa"/>
              <w:right w:w="15" w:type="dxa"/>
            </w:tcMar>
            <w:vAlign w:val="center"/>
            <w:hideMark/>
          </w:tcPr>
          <w:p w14:paraId="44E360DB" w14:textId="77777777" w:rsidR="00CA249B" w:rsidRPr="00CA249B" w:rsidRDefault="00CA249B" w:rsidP="00CA249B">
            <w:pPr>
              <w:ind w:right="131"/>
              <w:rPr>
                <w:sz w:val="20"/>
                <w:szCs w:val="20"/>
              </w:rPr>
            </w:pPr>
            <w:r w:rsidRPr="00CA249B">
              <w:rPr>
                <w:sz w:val="20"/>
                <w:szCs w:val="20"/>
              </w:rPr>
              <w:t>Намаление на ставката на данъка върху разходите в натура от 10% на 3%</w:t>
            </w:r>
          </w:p>
        </w:tc>
        <w:tc>
          <w:tcPr>
            <w:tcW w:w="1559"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620788D9" w14:textId="77777777" w:rsidR="00CA249B" w:rsidRPr="00CA249B" w:rsidRDefault="00CA249B" w:rsidP="007C3839">
            <w:pPr>
              <w:jc w:val="right"/>
              <w:rPr>
                <w:sz w:val="20"/>
                <w:szCs w:val="20"/>
              </w:rPr>
            </w:pPr>
            <w:r w:rsidRPr="00CA249B">
              <w:rPr>
                <w:sz w:val="20"/>
                <w:szCs w:val="20"/>
              </w:rPr>
              <w:t>-11,0</w:t>
            </w:r>
          </w:p>
        </w:tc>
        <w:tc>
          <w:tcPr>
            <w:tcW w:w="1590"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5619E996" w14:textId="77777777" w:rsidR="00CA249B" w:rsidRPr="00CA249B" w:rsidRDefault="00CA249B" w:rsidP="007C3839">
            <w:pPr>
              <w:jc w:val="right"/>
              <w:rPr>
                <w:sz w:val="20"/>
                <w:szCs w:val="20"/>
              </w:rPr>
            </w:pPr>
            <w:r w:rsidRPr="00CA249B">
              <w:rPr>
                <w:sz w:val="20"/>
                <w:szCs w:val="20"/>
              </w:rPr>
              <w:t>-11,0</w:t>
            </w:r>
          </w:p>
        </w:tc>
      </w:tr>
      <w:tr w:rsidR="00CA249B" w:rsidRPr="00CA249B" w14:paraId="002CFCB8" w14:textId="77777777" w:rsidTr="0092579B">
        <w:trPr>
          <w:gridAfter w:val="1"/>
          <w:wAfter w:w="11" w:type="dxa"/>
          <w:trHeight w:val="168"/>
        </w:trPr>
        <w:tc>
          <w:tcPr>
            <w:tcW w:w="6536" w:type="dxa"/>
            <w:tcBorders>
              <w:top w:val="nil"/>
              <w:left w:val="nil"/>
              <w:bottom w:val="nil"/>
              <w:right w:val="nil"/>
            </w:tcBorders>
            <w:shd w:val="clear" w:color="auto" w:fill="auto"/>
            <w:noWrap/>
            <w:tcMar>
              <w:top w:w="15" w:type="dxa"/>
              <w:left w:w="15" w:type="dxa"/>
              <w:bottom w:w="0" w:type="dxa"/>
              <w:right w:w="15" w:type="dxa"/>
            </w:tcMar>
            <w:vAlign w:val="center"/>
            <w:hideMark/>
          </w:tcPr>
          <w:p w14:paraId="4A3F46F8" w14:textId="77777777" w:rsidR="00CA249B" w:rsidRPr="00CA249B" w:rsidRDefault="00CA249B" w:rsidP="00CA249B">
            <w:pPr>
              <w:rPr>
                <w:sz w:val="20"/>
                <w:szCs w:val="20"/>
              </w:rPr>
            </w:pPr>
            <w:r w:rsidRPr="00CA249B">
              <w:rPr>
                <w:sz w:val="20"/>
                <w:szCs w:val="20"/>
              </w:rPr>
              <w:t>Отмяна на данъка върху приходите от лихви по банкови сметки на физически лица</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hideMark/>
          </w:tcPr>
          <w:p w14:paraId="78927B72" w14:textId="77777777" w:rsidR="00CA249B" w:rsidRPr="00CA249B" w:rsidRDefault="00CA249B" w:rsidP="007C3839">
            <w:pPr>
              <w:jc w:val="right"/>
              <w:rPr>
                <w:sz w:val="20"/>
                <w:szCs w:val="20"/>
              </w:rPr>
            </w:pPr>
            <w:r w:rsidRPr="00CA249B">
              <w:rPr>
                <w:sz w:val="20"/>
                <w:szCs w:val="20"/>
              </w:rPr>
              <w:t>-2,8</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2696BF13" w14:textId="77777777" w:rsidR="00CA249B" w:rsidRPr="00CA249B" w:rsidRDefault="00CA249B" w:rsidP="007C3839">
            <w:pPr>
              <w:jc w:val="right"/>
              <w:rPr>
                <w:sz w:val="20"/>
                <w:szCs w:val="20"/>
              </w:rPr>
            </w:pPr>
            <w:r w:rsidRPr="00CA249B">
              <w:rPr>
                <w:sz w:val="20"/>
                <w:szCs w:val="20"/>
              </w:rPr>
              <w:t>-2,8</w:t>
            </w:r>
          </w:p>
        </w:tc>
      </w:tr>
      <w:tr w:rsidR="00CA249B" w:rsidRPr="00CA249B" w14:paraId="2BF16ABE" w14:textId="77777777" w:rsidTr="0092579B">
        <w:trPr>
          <w:gridAfter w:val="1"/>
          <w:wAfter w:w="11" w:type="dxa"/>
          <w:trHeight w:val="246"/>
        </w:trPr>
        <w:tc>
          <w:tcPr>
            <w:tcW w:w="6536" w:type="dxa"/>
            <w:tcBorders>
              <w:top w:val="nil"/>
              <w:left w:val="nil"/>
              <w:bottom w:val="nil"/>
              <w:right w:val="nil"/>
            </w:tcBorders>
            <w:shd w:val="clear" w:color="000000" w:fill="E7E6E6"/>
            <w:tcMar>
              <w:top w:w="15" w:type="dxa"/>
              <w:left w:w="15" w:type="dxa"/>
              <w:bottom w:w="0" w:type="dxa"/>
              <w:right w:w="15" w:type="dxa"/>
            </w:tcMar>
            <w:vAlign w:val="center"/>
            <w:hideMark/>
          </w:tcPr>
          <w:p w14:paraId="58E7D6E4" w14:textId="77777777" w:rsidR="00CA249B" w:rsidRPr="00CA249B" w:rsidRDefault="00CA249B" w:rsidP="00CA249B">
            <w:pPr>
              <w:rPr>
                <w:sz w:val="20"/>
                <w:szCs w:val="20"/>
              </w:rPr>
            </w:pPr>
            <w:r w:rsidRPr="00CA249B">
              <w:rPr>
                <w:sz w:val="20"/>
                <w:szCs w:val="20"/>
              </w:rPr>
              <w:t>Намаление на постъпленията от ДДС и акцизи в резултат на освобождаване от акциз на електрическата енергия, природния газ и втечнения нефтен газ (LPG)</w:t>
            </w:r>
          </w:p>
        </w:tc>
        <w:tc>
          <w:tcPr>
            <w:tcW w:w="1559" w:type="dxa"/>
            <w:tcBorders>
              <w:top w:val="nil"/>
              <w:left w:val="nil"/>
              <w:bottom w:val="nil"/>
              <w:right w:val="nil"/>
            </w:tcBorders>
            <w:shd w:val="clear" w:color="000000" w:fill="E7E6E6"/>
            <w:noWrap/>
            <w:tcMar>
              <w:top w:w="15" w:type="dxa"/>
              <w:left w:w="15" w:type="dxa"/>
              <w:bottom w:w="0" w:type="dxa"/>
              <w:right w:w="15" w:type="dxa"/>
            </w:tcMar>
            <w:vAlign w:val="center"/>
          </w:tcPr>
          <w:p w14:paraId="512BBD93" w14:textId="77777777" w:rsidR="00CA249B" w:rsidRPr="00CA249B" w:rsidRDefault="00CA249B" w:rsidP="007C3839">
            <w:pPr>
              <w:jc w:val="right"/>
              <w:rPr>
                <w:sz w:val="20"/>
                <w:szCs w:val="20"/>
              </w:rPr>
            </w:pPr>
          </w:p>
        </w:tc>
        <w:tc>
          <w:tcPr>
            <w:tcW w:w="1590"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161482FA" w14:textId="77777777" w:rsidR="00CA249B" w:rsidRPr="00CA249B" w:rsidRDefault="00CA249B" w:rsidP="007C3839">
            <w:pPr>
              <w:jc w:val="right"/>
              <w:rPr>
                <w:sz w:val="20"/>
                <w:szCs w:val="20"/>
              </w:rPr>
            </w:pPr>
            <w:r w:rsidRPr="00CA249B">
              <w:rPr>
                <w:sz w:val="20"/>
                <w:szCs w:val="20"/>
              </w:rPr>
              <w:t>-92,6</w:t>
            </w:r>
          </w:p>
        </w:tc>
      </w:tr>
      <w:tr w:rsidR="00CA249B" w:rsidRPr="00CA249B" w14:paraId="294A1E7B" w14:textId="77777777" w:rsidTr="0092579B">
        <w:trPr>
          <w:gridAfter w:val="1"/>
          <w:wAfter w:w="11" w:type="dxa"/>
          <w:trHeight w:val="101"/>
        </w:trPr>
        <w:tc>
          <w:tcPr>
            <w:tcW w:w="6536" w:type="dxa"/>
            <w:tcBorders>
              <w:top w:val="nil"/>
              <w:left w:val="nil"/>
              <w:bottom w:val="nil"/>
              <w:right w:val="nil"/>
            </w:tcBorders>
            <w:shd w:val="clear" w:color="auto" w:fill="auto"/>
            <w:tcMar>
              <w:top w:w="15" w:type="dxa"/>
              <w:left w:w="15" w:type="dxa"/>
              <w:bottom w:w="0" w:type="dxa"/>
              <w:right w:w="15" w:type="dxa"/>
            </w:tcMar>
            <w:vAlign w:val="center"/>
            <w:hideMark/>
          </w:tcPr>
          <w:p w14:paraId="6798BE28" w14:textId="77777777" w:rsidR="00CA249B" w:rsidRPr="00CA249B" w:rsidRDefault="00CA249B" w:rsidP="00CA249B">
            <w:pPr>
              <w:rPr>
                <w:sz w:val="20"/>
                <w:szCs w:val="20"/>
              </w:rPr>
            </w:pPr>
            <w:r w:rsidRPr="00CA249B">
              <w:rPr>
                <w:sz w:val="20"/>
                <w:szCs w:val="20"/>
              </w:rPr>
              <w:t>Намалена ставка на 9% на ДДС за централно отопление и природния газ</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hideMark/>
          </w:tcPr>
          <w:p w14:paraId="69C3FB24" w14:textId="77777777" w:rsidR="00CA249B" w:rsidRPr="00CA249B" w:rsidRDefault="00CA249B" w:rsidP="007C3839">
            <w:pPr>
              <w:jc w:val="right"/>
              <w:rPr>
                <w:sz w:val="20"/>
                <w:szCs w:val="20"/>
              </w:rPr>
            </w:pP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1E868286" w14:textId="77777777" w:rsidR="00CA249B" w:rsidRPr="00CA249B" w:rsidRDefault="00CA249B" w:rsidP="007C3839">
            <w:pPr>
              <w:jc w:val="right"/>
              <w:rPr>
                <w:sz w:val="20"/>
                <w:szCs w:val="20"/>
              </w:rPr>
            </w:pPr>
            <w:r w:rsidRPr="00CA249B">
              <w:rPr>
                <w:sz w:val="20"/>
                <w:szCs w:val="20"/>
              </w:rPr>
              <w:t>-61,0</w:t>
            </w:r>
          </w:p>
        </w:tc>
      </w:tr>
      <w:tr w:rsidR="00CA249B" w:rsidRPr="00CA249B" w14:paraId="7F1C2AD5" w14:textId="77777777" w:rsidTr="0092579B">
        <w:trPr>
          <w:gridAfter w:val="1"/>
          <w:wAfter w:w="11" w:type="dxa"/>
          <w:trHeight w:val="53"/>
        </w:trPr>
        <w:tc>
          <w:tcPr>
            <w:tcW w:w="6536" w:type="dxa"/>
            <w:tcBorders>
              <w:top w:val="nil"/>
              <w:left w:val="nil"/>
              <w:bottom w:val="nil"/>
              <w:right w:val="nil"/>
            </w:tcBorders>
            <w:shd w:val="clear" w:color="auto" w:fill="E7E6E6"/>
            <w:tcMar>
              <w:top w:w="15" w:type="dxa"/>
              <w:left w:w="15" w:type="dxa"/>
              <w:bottom w:w="0" w:type="dxa"/>
              <w:right w:w="15" w:type="dxa"/>
            </w:tcMar>
            <w:vAlign w:val="center"/>
          </w:tcPr>
          <w:p w14:paraId="1B801952" w14:textId="77777777" w:rsidR="00CA249B" w:rsidRPr="00CA249B" w:rsidRDefault="00CA249B" w:rsidP="00CA249B">
            <w:pPr>
              <w:rPr>
                <w:sz w:val="20"/>
                <w:szCs w:val="20"/>
              </w:rPr>
            </w:pPr>
            <w:r w:rsidRPr="00CA249B">
              <w:rPr>
                <w:sz w:val="20"/>
                <w:szCs w:val="20"/>
              </w:rPr>
              <w:t>Намалена ставка на 0% на ДДС за хляба и брашно</w:t>
            </w:r>
          </w:p>
        </w:tc>
        <w:tc>
          <w:tcPr>
            <w:tcW w:w="1559" w:type="dxa"/>
            <w:tcBorders>
              <w:top w:val="nil"/>
              <w:left w:val="nil"/>
              <w:bottom w:val="nil"/>
              <w:right w:val="nil"/>
            </w:tcBorders>
            <w:shd w:val="clear" w:color="auto" w:fill="E7E6E6"/>
            <w:noWrap/>
            <w:tcMar>
              <w:top w:w="15" w:type="dxa"/>
              <w:left w:w="15" w:type="dxa"/>
              <w:bottom w:w="0" w:type="dxa"/>
              <w:right w:w="15" w:type="dxa"/>
            </w:tcMar>
            <w:vAlign w:val="center"/>
          </w:tcPr>
          <w:p w14:paraId="1C5820F4" w14:textId="77777777" w:rsidR="00CA249B" w:rsidRPr="004D5FFC" w:rsidRDefault="00CA249B" w:rsidP="007C3839">
            <w:pPr>
              <w:jc w:val="right"/>
              <w:rPr>
                <w:sz w:val="20"/>
                <w:szCs w:val="20"/>
                <w:lang w:val="ru-RU"/>
              </w:rPr>
            </w:pP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7BF4F306" w14:textId="77777777" w:rsidR="00CA249B" w:rsidRPr="00CA249B" w:rsidRDefault="00CA249B" w:rsidP="007C3839">
            <w:pPr>
              <w:jc w:val="right"/>
              <w:rPr>
                <w:sz w:val="20"/>
                <w:szCs w:val="20"/>
              </w:rPr>
            </w:pPr>
            <w:r w:rsidRPr="00CA249B">
              <w:rPr>
                <w:sz w:val="20"/>
                <w:szCs w:val="20"/>
              </w:rPr>
              <w:t>-82,7</w:t>
            </w:r>
          </w:p>
        </w:tc>
      </w:tr>
      <w:tr w:rsidR="00CA249B" w:rsidRPr="00CA249B" w14:paraId="5A10C91F" w14:textId="77777777" w:rsidTr="00D337DB">
        <w:trPr>
          <w:gridAfter w:val="1"/>
          <w:wAfter w:w="11" w:type="dxa"/>
          <w:trHeight w:val="1301"/>
        </w:trPr>
        <w:tc>
          <w:tcPr>
            <w:tcW w:w="6536" w:type="dxa"/>
            <w:tcBorders>
              <w:top w:val="nil"/>
              <w:left w:val="nil"/>
              <w:bottom w:val="nil"/>
              <w:right w:val="nil"/>
            </w:tcBorders>
            <w:shd w:val="clear" w:color="auto" w:fill="auto"/>
            <w:tcMar>
              <w:top w:w="15" w:type="dxa"/>
              <w:left w:w="15" w:type="dxa"/>
              <w:bottom w:w="0" w:type="dxa"/>
              <w:right w:w="15" w:type="dxa"/>
            </w:tcMar>
            <w:vAlign w:val="center"/>
            <w:hideMark/>
          </w:tcPr>
          <w:p w14:paraId="76A41EBE" w14:textId="77777777" w:rsidR="00CA249B" w:rsidRPr="00CA249B" w:rsidRDefault="00CA249B" w:rsidP="00CA249B">
            <w:pPr>
              <w:rPr>
                <w:color w:val="0070C0"/>
                <w:sz w:val="20"/>
                <w:szCs w:val="20"/>
              </w:rPr>
            </w:pPr>
            <w:r w:rsidRPr="00CA249B">
              <w:rPr>
                <w:sz w:val="20"/>
                <w:szCs w:val="20"/>
              </w:rPr>
              <w:t>Въвеждане на временната солидарна вноска – внасят се от генерираните свръхпечалби от дружествата и местата на стопанска дейност в ЕС, извършващи дейност в отраслите на суровия нефт, природния газ, въглищата и нефтопреработването, за данъчните печалби за 2022 г. и за 2023 година</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hideMark/>
          </w:tcPr>
          <w:p w14:paraId="113C587C" w14:textId="77777777" w:rsidR="00CA249B" w:rsidRPr="00CA249B" w:rsidRDefault="00CA249B" w:rsidP="007C3839">
            <w:pPr>
              <w:jc w:val="right"/>
              <w:rPr>
                <w:sz w:val="20"/>
                <w:szCs w:val="20"/>
              </w:rPr>
            </w:pP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531B5175" w14:textId="77777777" w:rsidR="00CA249B" w:rsidRPr="00CA249B" w:rsidRDefault="00CA249B" w:rsidP="007C3839">
            <w:pPr>
              <w:jc w:val="right"/>
              <w:rPr>
                <w:sz w:val="20"/>
                <w:szCs w:val="20"/>
              </w:rPr>
            </w:pPr>
            <w:r w:rsidRPr="00CA249B">
              <w:rPr>
                <w:sz w:val="20"/>
                <w:szCs w:val="20"/>
              </w:rPr>
              <w:t>87,9</w:t>
            </w:r>
          </w:p>
        </w:tc>
      </w:tr>
      <w:tr w:rsidR="00CA249B" w:rsidRPr="00CA249B" w14:paraId="1C5429EB" w14:textId="77777777" w:rsidTr="0092579B">
        <w:trPr>
          <w:gridAfter w:val="1"/>
          <w:wAfter w:w="11" w:type="dxa"/>
          <w:trHeight w:val="297"/>
        </w:trPr>
        <w:tc>
          <w:tcPr>
            <w:tcW w:w="6536" w:type="dxa"/>
            <w:tcBorders>
              <w:top w:val="nil"/>
              <w:left w:val="nil"/>
              <w:bottom w:val="nil"/>
              <w:right w:val="nil"/>
            </w:tcBorders>
            <w:shd w:val="clear" w:color="000000" w:fill="E7E6E6"/>
            <w:tcMar>
              <w:top w:w="15" w:type="dxa"/>
              <w:left w:w="15" w:type="dxa"/>
              <w:bottom w:w="0" w:type="dxa"/>
              <w:right w:w="15" w:type="dxa"/>
            </w:tcMar>
            <w:vAlign w:val="center"/>
            <w:hideMark/>
          </w:tcPr>
          <w:p w14:paraId="51009F60" w14:textId="77777777" w:rsidR="00CA249B" w:rsidRPr="00CA249B" w:rsidRDefault="00CA249B" w:rsidP="00CA249B">
            <w:pPr>
              <w:rPr>
                <w:sz w:val="20"/>
                <w:szCs w:val="20"/>
              </w:rPr>
            </w:pPr>
            <w:r w:rsidRPr="00CA249B">
              <w:rPr>
                <w:sz w:val="20"/>
                <w:szCs w:val="20"/>
              </w:rPr>
              <w:t>Приходи от оперирането на ТОЛ системата</w:t>
            </w:r>
          </w:p>
        </w:tc>
        <w:tc>
          <w:tcPr>
            <w:tcW w:w="1559"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1FEEFC0B" w14:textId="77777777" w:rsidR="00CA249B" w:rsidRPr="00CA249B" w:rsidRDefault="00CA249B" w:rsidP="007C3839">
            <w:pPr>
              <w:jc w:val="right"/>
              <w:rPr>
                <w:sz w:val="20"/>
                <w:szCs w:val="20"/>
              </w:rPr>
            </w:pPr>
            <w:r w:rsidRPr="00CA249B">
              <w:rPr>
                <w:sz w:val="20"/>
                <w:szCs w:val="20"/>
              </w:rPr>
              <w:t>290,0</w:t>
            </w:r>
          </w:p>
        </w:tc>
        <w:tc>
          <w:tcPr>
            <w:tcW w:w="1590"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2E48077E" w14:textId="77777777" w:rsidR="00CA249B" w:rsidRPr="00CA249B" w:rsidRDefault="00CA249B" w:rsidP="007C3839">
            <w:pPr>
              <w:jc w:val="right"/>
              <w:rPr>
                <w:sz w:val="20"/>
                <w:szCs w:val="20"/>
              </w:rPr>
            </w:pPr>
            <w:r w:rsidRPr="00CA249B">
              <w:rPr>
                <w:sz w:val="20"/>
                <w:szCs w:val="20"/>
              </w:rPr>
              <w:t>151,7</w:t>
            </w:r>
          </w:p>
        </w:tc>
      </w:tr>
      <w:tr w:rsidR="00CA249B" w:rsidRPr="00CA249B" w14:paraId="1908E98D" w14:textId="77777777" w:rsidTr="0092579B">
        <w:trPr>
          <w:gridAfter w:val="1"/>
          <w:wAfter w:w="11" w:type="dxa"/>
          <w:trHeight w:val="53"/>
        </w:trPr>
        <w:tc>
          <w:tcPr>
            <w:tcW w:w="6536" w:type="dxa"/>
            <w:tcBorders>
              <w:top w:val="nil"/>
              <w:left w:val="nil"/>
              <w:bottom w:val="nil"/>
              <w:right w:val="nil"/>
            </w:tcBorders>
            <w:shd w:val="clear" w:color="auto" w:fill="auto"/>
            <w:tcMar>
              <w:top w:w="15" w:type="dxa"/>
              <w:left w:w="15" w:type="dxa"/>
              <w:bottom w:w="0" w:type="dxa"/>
              <w:right w:w="15" w:type="dxa"/>
            </w:tcMar>
            <w:vAlign w:val="center"/>
          </w:tcPr>
          <w:p w14:paraId="63D8D83D" w14:textId="77777777" w:rsidR="00CA249B" w:rsidRPr="00CA249B" w:rsidRDefault="00CA249B" w:rsidP="00CA249B">
            <w:pPr>
              <w:rPr>
                <w:sz w:val="20"/>
                <w:szCs w:val="20"/>
              </w:rPr>
            </w:pPr>
            <w:r w:rsidRPr="00CA249B">
              <w:rPr>
                <w:sz w:val="20"/>
                <w:szCs w:val="20"/>
              </w:rPr>
              <w:t>Приходи от избор на осигуряване</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tcPr>
          <w:p w14:paraId="10EC7B06" w14:textId="77777777" w:rsidR="00CA249B" w:rsidRPr="00CA249B" w:rsidRDefault="00CA249B" w:rsidP="007C3839">
            <w:pPr>
              <w:jc w:val="right"/>
              <w:rPr>
                <w:sz w:val="20"/>
                <w:szCs w:val="20"/>
              </w:rPr>
            </w:pPr>
            <w:r w:rsidRPr="00CA249B">
              <w:rPr>
                <w:sz w:val="20"/>
                <w:szCs w:val="20"/>
              </w:rPr>
              <w:t>79,9</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5B384701" w14:textId="77777777" w:rsidR="00CA249B" w:rsidRPr="00CA249B" w:rsidRDefault="00CA249B" w:rsidP="007C3839">
            <w:pPr>
              <w:jc w:val="right"/>
              <w:rPr>
                <w:sz w:val="20"/>
                <w:szCs w:val="20"/>
              </w:rPr>
            </w:pPr>
            <w:r w:rsidRPr="00CA249B">
              <w:rPr>
                <w:sz w:val="20"/>
                <w:szCs w:val="20"/>
              </w:rPr>
              <w:t>27,8</w:t>
            </w:r>
          </w:p>
        </w:tc>
      </w:tr>
      <w:tr w:rsidR="00CA249B" w:rsidRPr="00CA249B" w14:paraId="7738D897" w14:textId="77777777" w:rsidTr="00CA249B">
        <w:trPr>
          <w:gridAfter w:val="1"/>
          <w:wAfter w:w="11" w:type="dxa"/>
          <w:trHeight w:val="413"/>
        </w:trPr>
        <w:tc>
          <w:tcPr>
            <w:tcW w:w="6536" w:type="dxa"/>
            <w:tcBorders>
              <w:top w:val="nil"/>
              <w:left w:val="nil"/>
              <w:bottom w:val="nil"/>
              <w:right w:val="nil"/>
            </w:tcBorders>
            <w:shd w:val="clear" w:color="auto" w:fill="E7E6E6"/>
            <w:tcMar>
              <w:top w:w="15" w:type="dxa"/>
              <w:left w:w="15" w:type="dxa"/>
              <w:bottom w:w="0" w:type="dxa"/>
              <w:right w:w="15" w:type="dxa"/>
            </w:tcMar>
            <w:vAlign w:val="center"/>
          </w:tcPr>
          <w:p w14:paraId="05F48730" w14:textId="77777777" w:rsidR="00CA249B" w:rsidRPr="00CA249B" w:rsidRDefault="00CA249B" w:rsidP="00CA249B">
            <w:pPr>
              <w:ind w:right="273"/>
              <w:rPr>
                <w:color w:val="0070C0"/>
                <w:sz w:val="20"/>
                <w:szCs w:val="20"/>
              </w:rPr>
            </w:pPr>
            <w:r w:rsidRPr="00CA249B">
              <w:rPr>
                <w:sz w:val="20"/>
                <w:szCs w:val="20"/>
              </w:rPr>
              <w:t>Приходи от пенсионно-осигурителни вноски от промяната в политиката по доходите (вкл. увеличение на МРЗ, минималните осигурителни прагове и на минималните осигурителни доходи на самоосигуряващите се лица и минималния осигурителен доход на земеделските стопани и тютюнопроизводители, увеличение на максималния осигурителен доход)</w:t>
            </w:r>
          </w:p>
        </w:tc>
        <w:tc>
          <w:tcPr>
            <w:tcW w:w="1559" w:type="dxa"/>
            <w:tcBorders>
              <w:top w:val="nil"/>
              <w:left w:val="nil"/>
              <w:bottom w:val="nil"/>
              <w:right w:val="nil"/>
            </w:tcBorders>
            <w:shd w:val="clear" w:color="auto" w:fill="E7E6E6"/>
            <w:noWrap/>
            <w:tcMar>
              <w:top w:w="15" w:type="dxa"/>
              <w:left w:w="15" w:type="dxa"/>
              <w:bottom w:w="0" w:type="dxa"/>
              <w:right w:w="15" w:type="dxa"/>
            </w:tcMar>
            <w:vAlign w:val="center"/>
          </w:tcPr>
          <w:p w14:paraId="10F3026C" w14:textId="77777777" w:rsidR="00CA249B" w:rsidRPr="00CA249B" w:rsidRDefault="00CA249B" w:rsidP="007C3839">
            <w:pPr>
              <w:jc w:val="right"/>
              <w:rPr>
                <w:sz w:val="20"/>
                <w:szCs w:val="20"/>
              </w:rPr>
            </w:pPr>
            <w:r w:rsidRPr="00CA249B">
              <w:rPr>
                <w:sz w:val="20"/>
                <w:szCs w:val="20"/>
              </w:rPr>
              <w:t>267,4</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55B0B5BC" w14:textId="77777777" w:rsidR="00CA249B" w:rsidRPr="00CA249B" w:rsidRDefault="00CA249B" w:rsidP="007C3839">
            <w:pPr>
              <w:jc w:val="right"/>
              <w:rPr>
                <w:sz w:val="20"/>
                <w:szCs w:val="20"/>
              </w:rPr>
            </w:pPr>
            <w:r w:rsidRPr="00CA249B">
              <w:rPr>
                <w:sz w:val="20"/>
                <w:szCs w:val="20"/>
              </w:rPr>
              <w:t>267,4</w:t>
            </w:r>
          </w:p>
        </w:tc>
      </w:tr>
      <w:tr w:rsidR="00CA249B" w:rsidRPr="00CA249B" w14:paraId="0258664B" w14:textId="77777777" w:rsidTr="0092579B">
        <w:trPr>
          <w:gridAfter w:val="1"/>
          <w:wAfter w:w="11" w:type="dxa"/>
          <w:trHeight w:val="1175"/>
        </w:trPr>
        <w:tc>
          <w:tcPr>
            <w:tcW w:w="6536" w:type="dxa"/>
            <w:tcBorders>
              <w:top w:val="nil"/>
              <w:left w:val="nil"/>
              <w:bottom w:val="nil"/>
              <w:right w:val="nil"/>
            </w:tcBorders>
            <w:shd w:val="clear" w:color="auto" w:fill="auto"/>
            <w:tcMar>
              <w:top w:w="15" w:type="dxa"/>
              <w:left w:w="15" w:type="dxa"/>
              <w:bottom w:w="0" w:type="dxa"/>
              <w:right w:w="15" w:type="dxa"/>
            </w:tcMar>
            <w:vAlign w:val="center"/>
          </w:tcPr>
          <w:p w14:paraId="5ADA1D41" w14:textId="77777777" w:rsidR="00CA249B" w:rsidRPr="00CA249B" w:rsidRDefault="00CA249B" w:rsidP="00CA249B">
            <w:pPr>
              <w:rPr>
                <w:sz w:val="20"/>
                <w:szCs w:val="20"/>
              </w:rPr>
            </w:pPr>
            <w:r w:rsidRPr="00CA249B">
              <w:rPr>
                <w:sz w:val="20"/>
                <w:szCs w:val="20"/>
              </w:rPr>
              <w:t>Приходи от здравноосигурителни вноски от промяната в политиката по доходите (вкл. увеличение на МРЗ, минималните осигурителни прагове и на минималните осигурителни доходи на самоосигуряващите се лица и минималния осигурителен доход на земеделските стопани и тютюнопроизводители, увеличение на максималния осигурителен доход)</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tcPr>
          <w:p w14:paraId="7CA11EF3" w14:textId="77777777" w:rsidR="00CA249B" w:rsidRPr="00CA249B" w:rsidRDefault="00CA249B" w:rsidP="007C3839">
            <w:pPr>
              <w:jc w:val="right"/>
              <w:rPr>
                <w:sz w:val="20"/>
                <w:szCs w:val="20"/>
              </w:rPr>
            </w:pPr>
            <w:r w:rsidRPr="004D5FFC">
              <w:rPr>
                <w:sz w:val="20"/>
                <w:szCs w:val="20"/>
                <w:lang w:val="ru-RU"/>
              </w:rPr>
              <w:t xml:space="preserve"> </w:t>
            </w:r>
            <w:r w:rsidRPr="00CA249B">
              <w:rPr>
                <w:sz w:val="20"/>
                <w:szCs w:val="20"/>
              </w:rPr>
              <w:t>102,6</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4C2D5666" w14:textId="77777777" w:rsidR="00CA249B" w:rsidRPr="00CA249B" w:rsidRDefault="00CA249B" w:rsidP="007C3839">
            <w:pPr>
              <w:jc w:val="right"/>
              <w:rPr>
                <w:sz w:val="20"/>
                <w:szCs w:val="20"/>
              </w:rPr>
            </w:pPr>
            <w:r w:rsidRPr="00CA249B">
              <w:rPr>
                <w:sz w:val="20"/>
                <w:szCs w:val="20"/>
              </w:rPr>
              <w:t>102,6</w:t>
            </w:r>
          </w:p>
        </w:tc>
      </w:tr>
      <w:tr w:rsidR="00CA249B" w:rsidRPr="00CA249B" w14:paraId="01469786" w14:textId="77777777" w:rsidTr="00CA249B">
        <w:trPr>
          <w:gridAfter w:val="1"/>
          <w:wAfter w:w="11" w:type="dxa"/>
          <w:trHeight w:val="65"/>
        </w:trPr>
        <w:tc>
          <w:tcPr>
            <w:tcW w:w="6536" w:type="dxa"/>
            <w:tcBorders>
              <w:top w:val="nil"/>
              <w:left w:val="nil"/>
              <w:right w:val="nil"/>
            </w:tcBorders>
            <w:shd w:val="clear" w:color="auto" w:fill="E7E6E6"/>
            <w:tcMar>
              <w:top w:w="15" w:type="dxa"/>
              <w:left w:w="15" w:type="dxa"/>
              <w:bottom w:w="0" w:type="dxa"/>
              <w:right w:w="15" w:type="dxa"/>
            </w:tcMar>
            <w:vAlign w:val="center"/>
          </w:tcPr>
          <w:p w14:paraId="1458F98E" w14:textId="77777777" w:rsidR="00CA249B" w:rsidRPr="00CA249B" w:rsidRDefault="00CA249B" w:rsidP="00CA249B">
            <w:pPr>
              <w:rPr>
                <w:sz w:val="20"/>
                <w:szCs w:val="20"/>
              </w:rPr>
            </w:pPr>
            <w:r w:rsidRPr="00CA249B">
              <w:rPr>
                <w:sz w:val="20"/>
                <w:szCs w:val="20"/>
              </w:rPr>
              <w:t>Приходи от осигурителни вноски от увеличение на осигурителния стаж при пенсиониране</w:t>
            </w:r>
          </w:p>
        </w:tc>
        <w:tc>
          <w:tcPr>
            <w:tcW w:w="1559" w:type="dxa"/>
            <w:tcBorders>
              <w:top w:val="nil"/>
              <w:left w:val="nil"/>
              <w:right w:val="nil"/>
            </w:tcBorders>
            <w:shd w:val="clear" w:color="auto" w:fill="E7E6E6"/>
            <w:noWrap/>
            <w:tcMar>
              <w:top w:w="15" w:type="dxa"/>
              <w:left w:w="15" w:type="dxa"/>
              <w:bottom w:w="0" w:type="dxa"/>
              <w:right w:w="15" w:type="dxa"/>
            </w:tcMar>
            <w:vAlign w:val="center"/>
          </w:tcPr>
          <w:p w14:paraId="346A79CE" w14:textId="77777777" w:rsidR="00CA249B" w:rsidRPr="00CA249B" w:rsidRDefault="00CA249B" w:rsidP="007C3839">
            <w:pPr>
              <w:jc w:val="right"/>
              <w:rPr>
                <w:sz w:val="20"/>
                <w:szCs w:val="20"/>
              </w:rPr>
            </w:pPr>
            <w:r w:rsidRPr="004D5FFC">
              <w:rPr>
                <w:sz w:val="20"/>
                <w:szCs w:val="20"/>
                <w:lang w:val="ru-RU"/>
              </w:rPr>
              <w:t xml:space="preserve">  </w:t>
            </w:r>
            <w:r w:rsidRPr="00CA249B">
              <w:rPr>
                <w:sz w:val="20"/>
                <w:szCs w:val="20"/>
              </w:rPr>
              <w:t>0,5</w:t>
            </w:r>
          </w:p>
        </w:tc>
        <w:tc>
          <w:tcPr>
            <w:tcW w:w="1590" w:type="dxa"/>
            <w:tcBorders>
              <w:top w:val="nil"/>
              <w:left w:val="nil"/>
              <w:right w:val="nil"/>
            </w:tcBorders>
            <w:shd w:val="clear" w:color="auto" w:fill="E7E6E6"/>
            <w:noWrap/>
            <w:tcMar>
              <w:top w:w="15" w:type="dxa"/>
              <w:left w:w="15" w:type="dxa"/>
              <w:bottom w:w="0" w:type="dxa"/>
              <w:right w:w="15" w:type="dxa"/>
            </w:tcMar>
            <w:vAlign w:val="center"/>
          </w:tcPr>
          <w:p w14:paraId="73CFADAC" w14:textId="77777777" w:rsidR="00CA249B" w:rsidRPr="00CA249B" w:rsidRDefault="00CA249B" w:rsidP="007C3839">
            <w:pPr>
              <w:jc w:val="right"/>
              <w:rPr>
                <w:sz w:val="20"/>
                <w:szCs w:val="20"/>
              </w:rPr>
            </w:pPr>
            <w:r w:rsidRPr="00CA249B">
              <w:rPr>
                <w:sz w:val="20"/>
                <w:szCs w:val="20"/>
              </w:rPr>
              <w:t>0,5</w:t>
            </w:r>
          </w:p>
        </w:tc>
      </w:tr>
      <w:tr w:rsidR="00CA249B" w:rsidRPr="00CA249B" w14:paraId="1912A6B9" w14:textId="77777777" w:rsidTr="0092579B">
        <w:trPr>
          <w:gridAfter w:val="1"/>
          <w:wAfter w:w="11" w:type="dxa"/>
          <w:trHeight w:val="65"/>
        </w:trPr>
        <w:tc>
          <w:tcPr>
            <w:tcW w:w="6536" w:type="dxa"/>
            <w:tcBorders>
              <w:top w:val="nil"/>
              <w:left w:val="nil"/>
              <w:bottom w:val="nil"/>
              <w:right w:val="nil"/>
            </w:tcBorders>
            <w:shd w:val="clear" w:color="auto" w:fill="auto"/>
            <w:tcMar>
              <w:top w:w="15" w:type="dxa"/>
              <w:left w:w="15" w:type="dxa"/>
              <w:bottom w:w="0" w:type="dxa"/>
              <w:right w:w="15" w:type="dxa"/>
            </w:tcMar>
            <w:vAlign w:val="center"/>
            <w:hideMark/>
          </w:tcPr>
          <w:p w14:paraId="0C2FA2DC" w14:textId="77777777" w:rsidR="00CA249B" w:rsidRPr="00CA249B" w:rsidRDefault="00CA249B" w:rsidP="00CA249B">
            <w:pPr>
              <w:rPr>
                <w:sz w:val="20"/>
                <w:szCs w:val="20"/>
              </w:rPr>
            </w:pPr>
            <w:r w:rsidRPr="00CA249B">
              <w:rPr>
                <w:sz w:val="20"/>
                <w:szCs w:val="20"/>
              </w:rPr>
              <w:t>Отпадане на таксите за ползване на детски градини и на детски ясли</w:t>
            </w:r>
          </w:p>
        </w:tc>
        <w:tc>
          <w:tcPr>
            <w:tcW w:w="1559" w:type="dxa"/>
            <w:tcBorders>
              <w:top w:val="nil"/>
              <w:left w:val="nil"/>
              <w:bottom w:val="nil"/>
              <w:right w:val="nil"/>
            </w:tcBorders>
            <w:shd w:val="clear" w:color="auto" w:fill="auto"/>
            <w:noWrap/>
            <w:tcMar>
              <w:top w:w="15" w:type="dxa"/>
              <w:left w:w="15" w:type="dxa"/>
              <w:bottom w:w="0" w:type="dxa"/>
              <w:right w:w="15" w:type="dxa"/>
            </w:tcMar>
            <w:vAlign w:val="center"/>
            <w:hideMark/>
          </w:tcPr>
          <w:p w14:paraId="1A8787B9" w14:textId="77777777" w:rsidR="00CA249B" w:rsidRPr="00CA249B" w:rsidRDefault="00CA249B" w:rsidP="007C3839">
            <w:pPr>
              <w:jc w:val="right"/>
              <w:rPr>
                <w:sz w:val="20"/>
                <w:szCs w:val="20"/>
              </w:rPr>
            </w:pPr>
            <w:r w:rsidRPr="00CA249B">
              <w:rPr>
                <w:sz w:val="20"/>
                <w:szCs w:val="20"/>
              </w:rPr>
              <w:t>-35,6</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5C6E9338" w14:textId="77777777" w:rsidR="00CA249B" w:rsidRPr="00CA249B" w:rsidRDefault="00CA249B" w:rsidP="007C3839">
            <w:pPr>
              <w:jc w:val="right"/>
              <w:rPr>
                <w:sz w:val="20"/>
                <w:szCs w:val="20"/>
              </w:rPr>
            </w:pPr>
            <w:r w:rsidRPr="00CA249B">
              <w:rPr>
                <w:sz w:val="20"/>
                <w:szCs w:val="20"/>
              </w:rPr>
              <w:t>-28</w:t>
            </w:r>
            <w:r w:rsidRPr="00CA249B">
              <w:rPr>
                <w:sz w:val="20"/>
                <w:szCs w:val="20"/>
                <w:lang w:val="en-US"/>
              </w:rPr>
              <w:t>,</w:t>
            </w:r>
            <w:r w:rsidRPr="00CA249B">
              <w:rPr>
                <w:sz w:val="20"/>
                <w:szCs w:val="20"/>
              </w:rPr>
              <w:t>5</w:t>
            </w:r>
          </w:p>
        </w:tc>
      </w:tr>
      <w:tr w:rsidR="00CA249B" w:rsidRPr="00CA249B" w14:paraId="3105BF4E" w14:textId="77777777" w:rsidTr="0092579B">
        <w:trPr>
          <w:gridAfter w:val="1"/>
          <w:wAfter w:w="11" w:type="dxa"/>
          <w:trHeight w:val="53"/>
        </w:trPr>
        <w:tc>
          <w:tcPr>
            <w:tcW w:w="6536" w:type="dxa"/>
            <w:tcBorders>
              <w:top w:val="nil"/>
              <w:left w:val="nil"/>
              <w:bottom w:val="single" w:sz="4" w:space="0" w:color="auto"/>
              <w:right w:val="nil"/>
            </w:tcBorders>
            <w:shd w:val="clear" w:color="auto" w:fill="auto"/>
            <w:tcMar>
              <w:top w:w="15" w:type="dxa"/>
              <w:left w:w="15" w:type="dxa"/>
              <w:bottom w:w="0" w:type="dxa"/>
              <w:right w:w="15" w:type="dxa"/>
            </w:tcMar>
            <w:vAlign w:val="center"/>
          </w:tcPr>
          <w:p w14:paraId="471EFC99" w14:textId="7CA0297B" w:rsidR="00CA249B" w:rsidRPr="00CA249B" w:rsidRDefault="00E1175A" w:rsidP="00CA249B">
            <w:pPr>
              <w:rPr>
                <w:sz w:val="20"/>
                <w:szCs w:val="20"/>
              </w:rPr>
            </w:pPr>
            <w:r w:rsidRPr="00E1175A">
              <w:rPr>
                <w:sz w:val="20"/>
                <w:szCs w:val="20"/>
              </w:rPr>
              <w:t>Програми за смекчаване на икономическите последици от нестабилността на цените на електрическата енергия и природния газ</w:t>
            </w:r>
          </w:p>
        </w:tc>
        <w:tc>
          <w:tcPr>
            <w:tcW w:w="1559" w:type="dxa"/>
            <w:tcBorders>
              <w:top w:val="nil"/>
              <w:left w:val="nil"/>
              <w:bottom w:val="single" w:sz="4" w:space="0" w:color="auto"/>
              <w:right w:val="nil"/>
            </w:tcBorders>
            <w:shd w:val="clear" w:color="auto" w:fill="auto"/>
            <w:noWrap/>
            <w:tcMar>
              <w:top w:w="15" w:type="dxa"/>
              <w:left w:w="15" w:type="dxa"/>
              <w:bottom w:w="0" w:type="dxa"/>
              <w:right w:w="15" w:type="dxa"/>
            </w:tcMar>
            <w:vAlign w:val="center"/>
          </w:tcPr>
          <w:p w14:paraId="0ACD64CF" w14:textId="77777777" w:rsidR="00CA249B" w:rsidRPr="00CA249B" w:rsidRDefault="00CA249B" w:rsidP="007C3839">
            <w:pPr>
              <w:jc w:val="right"/>
              <w:rPr>
                <w:sz w:val="20"/>
                <w:szCs w:val="20"/>
              </w:rPr>
            </w:pPr>
          </w:p>
        </w:tc>
        <w:tc>
          <w:tcPr>
            <w:tcW w:w="1590" w:type="dxa"/>
            <w:tcBorders>
              <w:top w:val="nil"/>
              <w:left w:val="nil"/>
              <w:bottom w:val="single" w:sz="4" w:space="0" w:color="auto"/>
              <w:right w:val="nil"/>
            </w:tcBorders>
            <w:shd w:val="clear" w:color="auto" w:fill="auto"/>
            <w:noWrap/>
            <w:tcMar>
              <w:top w:w="15" w:type="dxa"/>
              <w:left w:w="15" w:type="dxa"/>
              <w:bottom w:w="0" w:type="dxa"/>
              <w:right w:w="15" w:type="dxa"/>
            </w:tcMar>
            <w:vAlign w:val="center"/>
          </w:tcPr>
          <w:p w14:paraId="04A109E8" w14:textId="27645430" w:rsidR="00CA249B" w:rsidRPr="00CA249B" w:rsidRDefault="00CA249B" w:rsidP="007C3839">
            <w:pPr>
              <w:jc w:val="right"/>
              <w:rPr>
                <w:sz w:val="20"/>
                <w:szCs w:val="20"/>
              </w:rPr>
            </w:pPr>
            <w:r w:rsidRPr="00CA249B">
              <w:rPr>
                <w:sz w:val="20"/>
                <w:szCs w:val="20"/>
              </w:rPr>
              <w:t>3 </w:t>
            </w:r>
            <w:r w:rsidR="00E1175A">
              <w:rPr>
                <w:sz w:val="20"/>
                <w:szCs w:val="20"/>
              </w:rPr>
              <w:t>150,3</w:t>
            </w:r>
          </w:p>
        </w:tc>
      </w:tr>
    </w:tbl>
    <w:p w14:paraId="543C4BB1" w14:textId="77777777" w:rsidR="0092579B" w:rsidRDefault="0092579B" w:rsidP="00CA249B">
      <w:pPr>
        <w:ind w:firstLine="567"/>
        <w:jc w:val="both"/>
      </w:pPr>
    </w:p>
    <w:p w14:paraId="4488EBC0" w14:textId="37037A7E" w:rsidR="00CA249B" w:rsidRPr="004D5FFC" w:rsidRDefault="00AE5AF7" w:rsidP="00CA249B">
      <w:pPr>
        <w:ind w:firstLine="567"/>
        <w:jc w:val="both"/>
        <w:rPr>
          <w:lang w:val="ru-RU" w:eastAsia="en-US"/>
        </w:rPr>
      </w:pPr>
      <w:r w:rsidRPr="003E4FBF">
        <w:t>Въпреки, че не са планирани с разчетите към ЗДБРБ за 2022 г., тъй като във внесения от правителството законопроект за изменение и допълнение на ЗДБРБ за 2022 г. не бе разписан конкретен механизъм за финансово обезпечаване и финансиране на разходите за изплащане на компенсации за високите цени на електрическата енергия за небитовите крайни клиенти в таблицата по-горе е посочен ефектът в приходите от прилагането на разпоредбата на §24 от ПЗР на ЗДБРБ за 2022 г. и приходите на фонд СЕС за компенсиране високите цени на енергията съгласно решенията на Комисията за енергийно и водно регулиране. Въвеждането на нов механизъм за финансово обезпечаване на програмите за изплащане на компенсации чрез бюджета на ФСЕС бе реализирано с предложени от народни представители конкретни текстове по време на обсъждането и гласуването на проекта на ЗИД на ЗДБРБ за 2022 г. по реда на чл. 79 от Правилника за организацията и дейността на Народното събрание. Конкретните текстове предвиждат ФСЕС да компенсира небитовите крайни клиенти на ел. енергия в размер на 100 на сто от разликата между реалната средномесечна борсова цена на сегмента „ден напред“ на „БНЕБ“ – ЕАД, за съответния месец и базовата цена в размер 250 лв./</w:t>
      </w:r>
      <w:r w:rsidRPr="003E4FBF">
        <w:rPr>
          <w:lang w:val="en-US"/>
        </w:rPr>
        <w:t>MWh</w:t>
      </w:r>
      <w:r w:rsidRPr="003E4FBF">
        <w:t>за периода от 1 юли до 31 декември 2022 г. (§23 от ПЗР на ЗДБРБ за 2022 г.). Средствата за компенсиране се получават от целеви вноски на публичните предприятия по смисъла на чл. 2, ал. 1 от Закона за публичните предприятия от сектор енергетика със 100 на сто държавно участие в капитала. Вноските се правят във ФСЕС, като  размерът и срокът за внасянето им се определят от Министерския съвет (§24 от ПЗР на ЗДБРБ за 2022 г.). Общата сума в абсолютен размер на вноските по §</w:t>
      </w:r>
      <w:r w:rsidR="00A45CAA">
        <w:t> </w:t>
      </w:r>
      <w:r w:rsidRPr="002E6779">
        <w:t>24 от ПЗР на ЗДБРБ за 2022 г. е 3 181,0 млн. лв.</w:t>
      </w:r>
      <w:r w:rsidRPr="00AE5AF7">
        <w:t>, като тази сума има най-голям бюджетен ефект сред дискреционните политики в частта на приходите и разходите</w:t>
      </w:r>
      <w:r w:rsidR="00CA249B" w:rsidRPr="00AE5AF7">
        <w:t>.</w:t>
      </w:r>
    </w:p>
    <w:p w14:paraId="53C90B7A" w14:textId="71FA3FC7" w:rsidR="00CA249B" w:rsidRPr="004D5FFC" w:rsidRDefault="00CA249B" w:rsidP="00CA249B">
      <w:pPr>
        <w:ind w:firstLine="567"/>
        <w:jc w:val="both"/>
        <w:rPr>
          <w:lang w:val="ru-RU" w:eastAsia="en-US"/>
        </w:rPr>
      </w:pPr>
      <w:r w:rsidRPr="00CA249B">
        <w:rPr>
          <w:lang w:eastAsia="en-US"/>
        </w:rPr>
        <w:t xml:space="preserve">Съществен бюджетен ефект имат и мерките, свързани с промяната на политиката по доходите, водещи до допълнителни приходи от осигурителни вноски </w:t>
      </w:r>
      <w:r w:rsidRPr="004D5FFC">
        <w:rPr>
          <w:lang w:val="ru-RU" w:eastAsia="en-US"/>
        </w:rPr>
        <w:t>(</w:t>
      </w:r>
      <w:r w:rsidRPr="00CA249B">
        <w:rPr>
          <w:lang w:eastAsia="en-US"/>
        </w:rPr>
        <w:t>вкл. от увеличение на минималната работна заплата на 710 лв., съответно нарастване на минималните осигурителни доходи на самоосигуряващите се лица и минималния осигурителен доход на земеделските  стопани и тютюнопроиводители, както и увеличение на максималния осигурителен доход на 3 400 лв. от април 2022 г.</w:t>
      </w:r>
      <w:r w:rsidRPr="004D5FFC">
        <w:rPr>
          <w:lang w:val="ru-RU" w:eastAsia="en-US"/>
        </w:rPr>
        <w:t>)</w:t>
      </w:r>
      <w:r w:rsidRPr="00CA249B">
        <w:rPr>
          <w:lang w:eastAsia="en-US"/>
        </w:rPr>
        <w:t xml:space="preserve">. Мерките, оказващи  влияние върху приходите от пенсионноосигурителни вноски за 2022 г., са с предвиден бюджетен ефект 267,4 млн. лева. </w:t>
      </w:r>
      <w:r w:rsidRPr="00CA249B">
        <w:t>Отчетеният ефект върху приходите от тези мерки е на нивото на планираните – 267,4 млн. лева.</w:t>
      </w:r>
    </w:p>
    <w:p w14:paraId="62CA2248" w14:textId="77777777" w:rsidR="00CA249B" w:rsidRPr="00CA249B" w:rsidRDefault="00CA249B" w:rsidP="00CA249B">
      <w:pPr>
        <w:ind w:firstLine="567"/>
        <w:jc w:val="both"/>
        <w:rPr>
          <w:bCs/>
        </w:rPr>
      </w:pPr>
      <w:r w:rsidRPr="00CA249B">
        <w:rPr>
          <w:lang w:eastAsia="en-US"/>
        </w:rPr>
        <w:t>Ефектът в приходите от здравноосигурителни вноски през 2022 г.</w:t>
      </w:r>
      <w:r w:rsidRPr="00CA249B">
        <w:rPr>
          <w:b/>
          <w:lang w:eastAsia="en-US"/>
        </w:rPr>
        <w:t xml:space="preserve"> </w:t>
      </w:r>
      <w:r w:rsidRPr="00CA249B">
        <w:rPr>
          <w:lang w:eastAsia="en-US"/>
        </w:rPr>
        <w:t>беше предвидени в размер на 102,6 млн. лв.</w:t>
      </w:r>
      <w:r w:rsidRPr="00CA249B">
        <w:t xml:space="preserve"> Отчетеният приходен ефект от здравноосигурителни вноски от промяната в политиката по доходите </w:t>
      </w:r>
      <w:r w:rsidRPr="004D5FFC">
        <w:rPr>
          <w:lang w:val="ru-RU"/>
        </w:rPr>
        <w:t>(</w:t>
      </w:r>
      <w:r w:rsidRPr="00CA249B">
        <w:t xml:space="preserve">вкл. увеличение на МРЗ, минималните осигурителни прагове и на минималните осигурителни доходи на само осигуряващите се лица и минималния осигурителен доход на земеделските стопани и тютюнопроизводители, увеличение на максималния осигурителен доход </w:t>
      </w:r>
      <w:r w:rsidRPr="004D5FFC">
        <w:rPr>
          <w:lang w:val="ru-RU"/>
        </w:rPr>
        <w:t xml:space="preserve">) </w:t>
      </w:r>
      <w:r w:rsidRPr="00CA249B">
        <w:t xml:space="preserve">е на нивото на посочения в </w:t>
      </w:r>
      <w:r w:rsidRPr="00CA249B">
        <w:rPr>
          <w:bCs/>
        </w:rPr>
        <w:t>АСБП за периода 2022-2024 г. - 102,6 млн. лева.</w:t>
      </w:r>
    </w:p>
    <w:p w14:paraId="7F92119F" w14:textId="646D6608" w:rsidR="00CA249B" w:rsidRPr="00CA249B" w:rsidRDefault="00CA249B" w:rsidP="00CA249B">
      <w:pPr>
        <w:ind w:firstLine="567"/>
        <w:jc w:val="both"/>
        <w:rPr>
          <w:b/>
          <w:bCs/>
        </w:rPr>
      </w:pPr>
      <w:r w:rsidRPr="00CA249B">
        <w:rPr>
          <w:lang w:eastAsia="en-US"/>
        </w:rPr>
        <w:t xml:space="preserve">През 2022 г. предвиденият ефект от приходните мерки, свързани с оперирането на ТОЛ системата е в размер на 290 млн. лева. Отчетеният ефект през 2022 г. в приходната част от </w:t>
      </w:r>
      <w:r w:rsidRPr="00CA249B">
        <w:t xml:space="preserve">ТОЛ такса за ползване на пътната инфраструктура от пътни превозни средства (събира се на основание чл.10, ал.1, т.2 от Закона за пътищата)  е </w:t>
      </w:r>
      <w:r w:rsidRPr="00CA249B">
        <w:rPr>
          <w:bCs/>
        </w:rPr>
        <w:t>151,7 млн. лева.</w:t>
      </w:r>
    </w:p>
    <w:p w14:paraId="21BB0F6D" w14:textId="77777777" w:rsidR="00CA249B" w:rsidRPr="00CA249B" w:rsidRDefault="00CA249B" w:rsidP="00CA249B">
      <w:pPr>
        <w:ind w:firstLine="567"/>
        <w:jc w:val="both"/>
        <w:rPr>
          <w:szCs w:val="22"/>
        </w:rPr>
      </w:pPr>
      <w:r w:rsidRPr="00CA249B">
        <w:rPr>
          <w:szCs w:val="22"/>
        </w:rPr>
        <w:t>Предвидените приходи от избор на осигуряване в първия стълб на пенсионната система през 2022 г. са в размер на 79,9 млн. лв., а отчетените за годината са  27,8 млн. лева.</w:t>
      </w:r>
    </w:p>
    <w:p w14:paraId="204B9C72" w14:textId="77777777" w:rsidR="00CA249B" w:rsidRPr="00CA249B" w:rsidRDefault="00CA249B" w:rsidP="00273FBE">
      <w:pPr>
        <w:ind w:firstLine="567"/>
        <w:jc w:val="both"/>
        <w:rPr>
          <w:color w:val="000000"/>
        </w:rPr>
      </w:pPr>
      <w:r w:rsidRPr="00CA249B">
        <w:rPr>
          <w:color w:val="000000"/>
        </w:rPr>
        <w:t>През 2022 г. отчетеният ефект в приходната част от увеличение на изискването за осигурителен стаж при пенсиониране са в размер на 0,5 млн. лв. и е на нивото на планирания.</w:t>
      </w:r>
    </w:p>
    <w:p w14:paraId="0FBD7EB5" w14:textId="77777777" w:rsidR="00CA249B" w:rsidRPr="00CA249B" w:rsidRDefault="00CA249B" w:rsidP="00CA249B">
      <w:pPr>
        <w:ind w:firstLine="567"/>
        <w:jc w:val="both"/>
        <w:rPr>
          <w:lang w:eastAsia="en-US"/>
        </w:rPr>
      </w:pPr>
      <w:r w:rsidRPr="00CA249B">
        <w:t>Отпадането на таксите за ползване на детските градини и на детските ясли е с отчетен негативен ефект в приходите от посочените такси през 2022 г. в размер на 28,5 млн. лева.</w:t>
      </w:r>
    </w:p>
    <w:p w14:paraId="73B2AF8E" w14:textId="77777777" w:rsidR="00CA249B" w:rsidRPr="00CA249B" w:rsidRDefault="00CA249B" w:rsidP="00CA249B">
      <w:pPr>
        <w:ind w:firstLine="567"/>
        <w:jc w:val="both"/>
      </w:pPr>
      <w:r w:rsidRPr="00CA249B">
        <w:rPr>
          <w:bCs/>
        </w:rPr>
        <w:t xml:space="preserve">Ситуацията, свързана със скока на цените както на нефта, природния газ, електрическата енергия и горивата, така и на цените на основни хранителни продукти, породени от нарасналото търсене в европейски и световен мащаб, </w:t>
      </w:r>
      <w:r w:rsidRPr="00CA249B">
        <w:t xml:space="preserve">постави сериозни предизвикателства пред бизнеса и гражданите. </w:t>
      </w:r>
    </w:p>
    <w:p w14:paraId="2905D791" w14:textId="5891F7EF" w:rsidR="00CA249B" w:rsidRPr="00CA249B" w:rsidRDefault="00CA249B" w:rsidP="00CA249B">
      <w:pPr>
        <w:ind w:firstLine="567"/>
        <w:jc w:val="both"/>
      </w:pPr>
      <w:r w:rsidRPr="00CA249B">
        <w:t xml:space="preserve">С направената актуализация на ЗДБРБ 2022 г. беше приет пакет от антикризисни мерки, в т. ч. в областта на данъчната политика. Тези антикризисни мерки включваха въвеждането от месец юли 2022 г. на намалена ставка на ДДС от 9 % за централно отопление и за природен газ, нулева ставка за доставките на хляб и на брашно, както и освобождаване от облагане с акциз на природния газ и втечнения нефтен газ (LPG), използвани като моторно гориво, и на електрическата енергия. В резултат на това броят на планираните за 2022 г. и посочените в АСБП за периода 2022-2024 г. дискреционни политики в приходите беше увеличен, като общият размер на нововъведените </w:t>
      </w:r>
      <w:r w:rsidR="00846D5C" w:rsidRPr="00846D5C">
        <w:t xml:space="preserve">през годината мерки </w:t>
      </w:r>
      <w:r w:rsidRPr="00CA249B">
        <w:t xml:space="preserve">е оценен на 236,3 млн. лв. по-малко приходи за 2022 година. В края на годината беше въведена временната солидарна вноска по Регламент (ЕС) 2022/1854 на Съвета на ЕС от 6 октомври 2022 година относно спешна намеса за справяне с високите цени на енергията, която води до допълнителни приходи от 87,9 млн. лв. за 2022 година. </w:t>
      </w:r>
    </w:p>
    <w:p w14:paraId="602BAE9D" w14:textId="77777777" w:rsidR="00CA249B" w:rsidRPr="00CA249B" w:rsidRDefault="00CA249B" w:rsidP="00CA249B">
      <w:pPr>
        <w:ind w:firstLine="567"/>
        <w:jc w:val="both"/>
        <w:rPr>
          <w:b/>
          <w:bCs/>
        </w:rPr>
      </w:pPr>
      <w:r w:rsidRPr="00CA249B">
        <w:t>По отношение на отчетените ефекти на посочените в АСБП за периода 2022-2024 г. дискреционни мерки, няма промени в техните оценки, с изключение на мярката, свързана с повишаване на максималния осигурителен доход. Актуализираната оценка е повишена и увеличава загубата за бюджета с 5,1 млн. лева</w:t>
      </w:r>
    </w:p>
    <w:p w14:paraId="06D6AE2E" w14:textId="77777777" w:rsidR="00CA249B" w:rsidRPr="00CA249B" w:rsidRDefault="00CA249B" w:rsidP="00CA249B">
      <w:pPr>
        <w:jc w:val="both"/>
      </w:pPr>
    </w:p>
    <w:tbl>
      <w:tblPr>
        <w:tblW w:w="9493" w:type="dxa"/>
        <w:tblInd w:w="-15" w:type="dxa"/>
        <w:tblCellMar>
          <w:left w:w="0" w:type="dxa"/>
          <w:right w:w="0" w:type="dxa"/>
        </w:tblCellMar>
        <w:tblLook w:val="04A0" w:firstRow="1" w:lastRow="0" w:firstColumn="1" w:lastColumn="0" w:noHBand="0" w:noVBand="1"/>
      </w:tblPr>
      <w:tblGrid>
        <w:gridCol w:w="6475"/>
        <w:gridCol w:w="1428"/>
        <w:gridCol w:w="1590"/>
      </w:tblGrid>
      <w:tr w:rsidR="00CA249B" w:rsidRPr="00CA249B" w14:paraId="0A5F06C0" w14:textId="77777777" w:rsidTr="00D337DB">
        <w:trPr>
          <w:trHeight w:val="95"/>
        </w:trPr>
        <w:tc>
          <w:tcPr>
            <w:tcW w:w="9493" w:type="dxa"/>
            <w:gridSpan w:val="3"/>
            <w:tcBorders>
              <w:top w:val="nil"/>
              <w:left w:val="nil"/>
              <w:bottom w:val="nil"/>
              <w:right w:val="nil"/>
            </w:tcBorders>
            <w:shd w:val="clear" w:color="auto" w:fill="auto"/>
            <w:noWrap/>
            <w:tcMar>
              <w:top w:w="15" w:type="dxa"/>
              <w:left w:w="15" w:type="dxa"/>
              <w:bottom w:w="0" w:type="dxa"/>
              <w:right w:w="15" w:type="dxa"/>
            </w:tcMar>
            <w:vAlign w:val="bottom"/>
            <w:hideMark/>
          </w:tcPr>
          <w:p w14:paraId="74E4D8D3" w14:textId="6B17B9F5" w:rsidR="00CA249B" w:rsidRPr="00CA249B" w:rsidRDefault="00CA249B" w:rsidP="00CA249B">
            <w:pPr>
              <w:ind w:firstLine="708"/>
              <w:jc w:val="center"/>
              <w:rPr>
                <w:b/>
                <w:bCs/>
                <w:color w:val="0070C0"/>
              </w:rPr>
            </w:pPr>
            <w:r w:rsidRPr="00CA249B">
              <w:rPr>
                <w:b/>
                <w:bCs/>
              </w:rPr>
              <w:t xml:space="preserve">Дискреционни разходни мерки, </w:t>
            </w:r>
            <w:r w:rsidR="007C05C7">
              <w:rPr>
                <w:b/>
                <w:bCs/>
              </w:rPr>
              <w:t xml:space="preserve">изменение спрямо предходната година, </w:t>
            </w:r>
            <w:r w:rsidRPr="00CA249B">
              <w:rPr>
                <w:b/>
                <w:bCs/>
              </w:rPr>
              <w:t>млн. лв.</w:t>
            </w:r>
          </w:p>
        </w:tc>
      </w:tr>
      <w:tr w:rsidR="00CA249B" w:rsidRPr="00CA249B" w14:paraId="19F8F3E7" w14:textId="77777777" w:rsidTr="00D337DB">
        <w:trPr>
          <w:trHeight w:val="317"/>
        </w:trPr>
        <w:tc>
          <w:tcPr>
            <w:tcW w:w="6475" w:type="dxa"/>
            <w:tcBorders>
              <w:top w:val="nil"/>
              <w:left w:val="nil"/>
              <w:bottom w:val="nil"/>
              <w:right w:val="nil"/>
            </w:tcBorders>
            <w:shd w:val="clear" w:color="auto" w:fill="auto"/>
            <w:noWrap/>
            <w:tcMar>
              <w:top w:w="15" w:type="dxa"/>
              <w:left w:w="15" w:type="dxa"/>
              <w:bottom w:w="0" w:type="dxa"/>
              <w:right w:w="15" w:type="dxa"/>
            </w:tcMar>
            <w:vAlign w:val="bottom"/>
          </w:tcPr>
          <w:p w14:paraId="7A929D08" w14:textId="77777777" w:rsidR="00CA249B" w:rsidRPr="00CA249B" w:rsidRDefault="00CA249B" w:rsidP="00CA249B">
            <w:pPr>
              <w:ind w:firstLine="708"/>
              <w:jc w:val="both"/>
              <w:rPr>
                <w:b/>
                <w:bCs/>
                <w:color w:val="0070C0"/>
              </w:rPr>
            </w:pPr>
          </w:p>
        </w:tc>
        <w:tc>
          <w:tcPr>
            <w:tcW w:w="1428" w:type="dxa"/>
            <w:tcBorders>
              <w:top w:val="nil"/>
              <w:left w:val="nil"/>
              <w:bottom w:val="nil"/>
              <w:right w:val="nil"/>
            </w:tcBorders>
            <w:shd w:val="clear" w:color="auto" w:fill="auto"/>
            <w:noWrap/>
            <w:tcMar>
              <w:top w:w="15" w:type="dxa"/>
              <w:left w:w="15" w:type="dxa"/>
              <w:bottom w:w="0" w:type="dxa"/>
              <w:right w:w="15" w:type="dxa"/>
            </w:tcMar>
          </w:tcPr>
          <w:p w14:paraId="659F3F54" w14:textId="77777777" w:rsidR="00CA249B" w:rsidRPr="00CA249B" w:rsidRDefault="00CA249B" w:rsidP="00CA249B">
            <w:pPr>
              <w:ind w:firstLine="708"/>
              <w:jc w:val="both"/>
              <w:rPr>
                <w:color w:val="0070C0"/>
              </w:rPr>
            </w:pPr>
          </w:p>
        </w:tc>
        <w:tc>
          <w:tcPr>
            <w:tcW w:w="1590" w:type="dxa"/>
            <w:tcBorders>
              <w:top w:val="nil"/>
              <w:left w:val="nil"/>
              <w:bottom w:val="nil"/>
              <w:right w:val="nil"/>
            </w:tcBorders>
            <w:shd w:val="clear" w:color="auto" w:fill="auto"/>
            <w:noWrap/>
            <w:tcMar>
              <w:top w:w="15" w:type="dxa"/>
              <w:left w:w="15" w:type="dxa"/>
              <w:bottom w:w="0" w:type="dxa"/>
              <w:right w:w="15" w:type="dxa"/>
            </w:tcMar>
            <w:vAlign w:val="bottom"/>
          </w:tcPr>
          <w:p w14:paraId="294D6A6F" w14:textId="77777777" w:rsidR="00CA249B" w:rsidRPr="00CA249B" w:rsidRDefault="00CA249B" w:rsidP="00CA249B">
            <w:pPr>
              <w:ind w:firstLine="708"/>
              <w:jc w:val="both"/>
              <w:rPr>
                <w:color w:val="0070C0"/>
              </w:rPr>
            </w:pPr>
          </w:p>
        </w:tc>
      </w:tr>
      <w:tr w:rsidR="00CA249B" w:rsidRPr="00CA249B" w14:paraId="410B7382" w14:textId="77777777" w:rsidTr="00D337DB">
        <w:trPr>
          <w:trHeight w:val="708"/>
        </w:trPr>
        <w:tc>
          <w:tcPr>
            <w:tcW w:w="6475" w:type="dxa"/>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7EB194A5" w14:textId="77777777" w:rsidR="00CA249B" w:rsidRPr="00CA249B" w:rsidRDefault="00CA249B" w:rsidP="00CA249B">
            <w:pPr>
              <w:ind w:firstLine="708"/>
              <w:rPr>
                <w:b/>
                <w:bCs/>
              </w:rPr>
            </w:pPr>
            <w:r w:rsidRPr="00CA249B">
              <w:rPr>
                <w:b/>
                <w:bCs/>
              </w:rPr>
              <w:t>Разходни  мерки – годишен ефект</w:t>
            </w:r>
          </w:p>
        </w:tc>
        <w:tc>
          <w:tcPr>
            <w:tcW w:w="1428" w:type="dxa"/>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7DA072D3" w14:textId="77777777" w:rsidR="00CA249B" w:rsidRPr="00CA249B" w:rsidRDefault="00CA249B" w:rsidP="00CA249B">
            <w:pPr>
              <w:ind w:firstLine="708"/>
              <w:jc w:val="both"/>
              <w:rPr>
                <w:b/>
                <w:bCs/>
              </w:rPr>
            </w:pPr>
            <w:r w:rsidRPr="00CA249B">
              <w:rPr>
                <w:b/>
                <w:bCs/>
              </w:rPr>
              <w:t>План</w:t>
            </w:r>
          </w:p>
        </w:tc>
        <w:tc>
          <w:tcPr>
            <w:tcW w:w="1590" w:type="dxa"/>
            <w:tcBorders>
              <w:top w:val="single" w:sz="8" w:space="0" w:color="auto"/>
              <w:left w:val="nil"/>
              <w:bottom w:val="single" w:sz="8" w:space="0" w:color="auto"/>
              <w:right w:val="nil"/>
            </w:tcBorders>
            <w:shd w:val="clear" w:color="auto" w:fill="auto"/>
            <w:noWrap/>
            <w:tcMar>
              <w:top w:w="15" w:type="dxa"/>
              <w:left w:w="15" w:type="dxa"/>
              <w:bottom w:w="0" w:type="dxa"/>
              <w:right w:w="15" w:type="dxa"/>
            </w:tcMar>
            <w:vAlign w:val="center"/>
            <w:hideMark/>
          </w:tcPr>
          <w:p w14:paraId="0F6216A5" w14:textId="77777777" w:rsidR="00CA249B" w:rsidRPr="00CA249B" w:rsidRDefault="00CA249B" w:rsidP="00CA249B">
            <w:pPr>
              <w:ind w:firstLine="708"/>
              <w:jc w:val="both"/>
              <w:rPr>
                <w:b/>
                <w:bCs/>
              </w:rPr>
            </w:pPr>
            <w:r w:rsidRPr="00CA249B">
              <w:rPr>
                <w:b/>
                <w:bCs/>
              </w:rPr>
              <w:t>Отчет</w:t>
            </w:r>
          </w:p>
        </w:tc>
      </w:tr>
      <w:tr w:rsidR="00CA249B" w:rsidRPr="00CA249B" w14:paraId="499CC9C6" w14:textId="77777777" w:rsidTr="00CA249B">
        <w:trPr>
          <w:trHeight w:val="538"/>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6F5B2B93" w14:textId="77777777" w:rsidR="00CA249B" w:rsidRPr="00CA249B" w:rsidRDefault="00CA249B" w:rsidP="00CA249B">
            <w:pPr>
              <w:autoSpaceDE w:val="0"/>
              <w:autoSpaceDN w:val="0"/>
              <w:adjustRightInd w:val="0"/>
              <w:jc w:val="both"/>
              <w:rPr>
                <w:sz w:val="20"/>
                <w:szCs w:val="20"/>
              </w:rPr>
            </w:pPr>
            <w:r w:rsidRPr="00CA249B">
              <w:rPr>
                <w:sz w:val="20"/>
                <w:szCs w:val="20"/>
              </w:rPr>
              <w:t>Увеличение на минималния размер на пенсията за осигурителен стаж и възраст от 300 на 370 лв.</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17A38F14" w14:textId="77777777" w:rsidR="00CA249B" w:rsidRPr="00CA249B" w:rsidRDefault="00CA249B" w:rsidP="00882750">
            <w:pPr>
              <w:ind w:firstLine="696"/>
              <w:jc w:val="right"/>
              <w:rPr>
                <w:sz w:val="20"/>
                <w:szCs w:val="20"/>
              </w:rPr>
            </w:pPr>
            <w:r w:rsidRPr="00CA249B">
              <w:rPr>
                <w:sz w:val="20"/>
                <w:szCs w:val="20"/>
              </w:rPr>
              <w:t>775,0</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78B4C2A9" w14:textId="77777777" w:rsidR="00CA249B" w:rsidRPr="00CA249B" w:rsidRDefault="00CA249B" w:rsidP="00882750">
            <w:pPr>
              <w:ind w:firstLine="708"/>
              <w:jc w:val="right"/>
              <w:rPr>
                <w:sz w:val="20"/>
                <w:szCs w:val="20"/>
              </w:rPr>
            </w:pPr>
            <w:r w:rsidRPr="00CA249B">
              <w:rPr>
                <w:sz w:val="20"/>
                <w:szCs w:val="20"/>
              </w:rPr>
              <w:t>756,6</w:t>
            </w:r>
          </w:p>
        </w:tc>
      </w:tr>
      <w:tr w:rsidR="00CA249B" w:rsidRPr="00CA249B" w14:paraId="55A5CFCA" w14:textId="77777777" w:rsidTr="0092579B">
        <w:trPr>
          <w:trHeight w:val="402"/>
        </w:trPr>
        <w:tc>
          <w:tcPr>
            <w:tcW w:w="6475" w:type="dxa"/>
            <w:tcBorders>
              <w:top w:val="nil"/>
              <w:left w:val="nil"/>
              <w:bottom w:val="nil"/>
              <w:right w:val="nil"/>
            </w:tcBorders>
            <w:shd w:val="clear" w:color="auto" w:fill="auto"/>
            <w:tcMar>
              <w:top w:w="15" w:type="dxa"/>
              <w:left w:w="15" w:type="dxa"/>
              <w:bottom w:w="0" w:type="dxa"/>
              <w:right w:w="15" w:type="dxa"/>
            </w:tcMar>
            <w:vAlign w:val="center"/>
            <w:hideMark/>
          </w:tcPr>
          <w:p w14:paraId="1EF59EDA" w14:textId="77777777" w:rsidR="00CA249B" w:rsidRPr="00CA249B" w:rsidRDefault="00CA249B" w:rsidP="00CA249B">
            <w:pPr>
              <w:jc w:val="both"/>
              <w:rPr>
                <w:sz w:val="20"/>
                <w:szCs w:val="20"/>
              </w:rPr>
            </w:pPr>
            <w:r w:rsidRPr="00CA249B">
              <w:rPr>
                <w:sz w:val="20"/>
                <w:szCs w:val="20"/>
              </w:rPr>
              <w:t>Увеличение на тежестта за година осигурителен стаж за пенсия</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hideMark/>
          </w:tcPr>
          <w:p w14:paraId="4FDBD694" w14:textId="77777777" w:rsidR="00CA249B" w:rsidRPr="00CA249B" w:rsidRDefault="00CA249B" w:rsidP="00882750">
            <w:pPr>
              <w:ind w:firstLine="696"/>
              <w:jc w:val="right"/>
              <w:rPr>
                <w:sz w:val="20"/>
                <w:szCs w:val="20"/>
              </w:rPr>
            </w:pPr>
            <w:r w:rsidRPr="00CA249B">
              <w:rPr>
                <w:sz w:val="20"/>
                <w:szCs w:val="20"/>
                <w:lang w:val="en-US"/>
              </w:rPr>
              <w:t>7</w:t>
            </w:r>
            <w:r w:rsidRPr="00CA249B">
              <w:rPr>
                <w:sz w:val="20"/>
                <w:szCs w:val="20"/>
              </w:rPr>
              <w:t>60,0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3FC3CD3F" w14:textId="77777777" w:rsidR="00CA249B" w:rsidRPr="00CA249B" w:rsidRDefault="00CA249B" w:rsidP="00882750">
            <w:pPr>
              <w:ind w:firstLine="708"/>
              <w:jc w:val="right"/>
              <w:rPr>
                <w:sz w:val="20"/>
                <w:szCs w:val="20"/>
                <w:lang w:val="en-US"/>
              </w:rPr>
            </w:pPr>
            <w:r w:rsidRPr="00CA249B">
              <w:rPr>
                <w:sz w:val="20"/>
                <w:szCs w:val="20"/>
              </w:rPr>
              <w:t>683,0</w:t>
            </w:r>
          </w:p>
        </w:tc>
      </w:tr>
      <w:tr w:rsidR="00CA249B" w:rsidRPr="00CA249B" w14:paraId="2DD06209" w14:textId="77777777" w:rsidTr="00D337DB">
        <w:trPr>
          <w:trHeight w:val="341"/>
        </w:trPr>
        <w:tc>
          <w:tcPr>
            <w:tcW w:w="6475" w:type="dxa"/>
            <w:tcBorders>
              <w:top w:val="nil"/>
              <w:left w:val="nil"/>
              <w:bottom w:val="nil"/>
              <w:right w:val="nil"/>
            </w:tcBorders>
            <w:shd w:val="clear" w:color="000000" w:fill="E7E6E6"/>
            <w:tcMar>
              <w:top w:w="15" w:type="dxa"/>
              <w:left w:w="15" w:type="dxa"/>
              <w:bottom w:w="0" w:type="dxa"/>
              <w:right w:w="15" w:type="dxa"/>
            </w:tcMar>
            <w:vAlign w:val="center"/>
            <w:hideMark/>
          </w:tcPr>
          <w:p w14:paraId="5521536B" w14:textId="77777777" w:rsidR="00CA249B" w:rsidRPr="00CA249B" w:rsidRDefault="00CA249B" w:rsidP="00CA249B">
            <w:pPr>
              <w:jc w:val="both"/>
              <w:rPr>
                <w:sz w:val="20"/>
                <w:szCs w:val="20"/>
              </w:rPr>
            </w:pPr>
            <w:r w:rsidRPr="00CA249B">
              <w:rPr>
                <w:sz w:val="20"/>
                <w:szCs w:val="20"/>
              </w:rPr>
              <w:t xml:space="preserve">Разходи за опериране на ТОЛ системата </w:t>
            </w:r>
          </w:p>
        </w:tc>
        <w:tc>
          <w:tcPr>
            <w:tcW w:w="1428"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7A8A244E" w14:textId="77777777" w:rsidR="00CA249B" w:rsidRPr="00CA249B" w:rsidRDefault="00CA249B" w:rsidP="00882750">
            <w:pPr>
              <w:ind w:firstLine="708"/>
              <w:jc w:val="right"/>
              <w:rPr>
                <w:sz w:val="20"/>
                <w:szCs w:val="20"/>
              </w:rPr>
            </w:pPr>
            <w:r w:rsidRPr="00CA249B">
              <w:rPr>
                <w:sz w:val="20"/>
                <w:szCs w:val="20"/>
              </w:rPr>
              <w:t>290,</w:t>
            </w:r>
            <w:r w:rsidRPr="00CA249B">
              <w:rPr>
                <w:sz w:val="20"/>
                <w:szCs w:val="20"/>
                <w:lang w:val="en-US"/>
              </w:rPr>
              <w:t>0</w:t>
            </w:r>
          </w:p>
        </w:tc>
        <w:tc>
          <w:tcPr>
            <w:tcW w:w="1590"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209FCEE1" w14:textId="1B7F13AF" w:rsidR="00CA249B" w:rsidRPr="00CA249B" w:rsidRDefault="00CA249B" w:rsidP="00882750">
            <w:pPr>
              <w:ind w:firstLine="708"/>
              <w:jc w:val="right"/>
              <w:rPr>
                <w:sz w:val="20"/>
                <w:szCs w:val="20"/>
              </w:rPr>
            </w:pPr>
            <w:r w:rsidRPr="00CA249B">
              <w:rPr>
                <w:sz w:val="20"/>
                <w:szCs w:val="20"/>
              </w:rPr>
              <w:t>151,</w:t>
            </w:r>
            <w:r w:rsidR="00AA5470">
              <w:rPr>
                <w:sz w:val="20"/>
                <w:szCs w:val="20"/>
              </w:rPr>
              <w:t>6</w:t>
            </w:r>
          </w:p>
        </w:tc>
      </w:tr>
      <w:tr w:rsidR="00CA249B" w:rsidRPr="00CA249B" w14:paraId="13272960" w14:textId="77777777" w:rsidTr="0092579B">
        <w:trPr>
          <w:trHeight w:val="186"/>
        </w:trPr>
        <w:tc>
          <w:tcPr>
            <w:tcW w:w="6475" w:type="dxa"/>
            <w:tcBorders>
              <w:top w:val="nil"/>
              <w:left w:val="nil"/>
              <w:bottom w:val="nil"/>
              <w:right w:val="nil"/>
            </w:tcBorders>
            <w:shd w:val="clear" w:color="auto" w:fill="auto"/>
            <w:noWrap/>
            <w:tcMar>
              <w:top w:w="15" w:type="dxa"/>
              <w:left w:w="15" w:type="dxa"/>
              <w:bottom w:w="0" w:type="dxa"/>
              <w:right w:w="15" w:type="dxa"/>
            </w:tcMar>
            <w:vAlign w:val="center"/>
            <w:hideMark/>
          </w:tcPr>
          <w:p w14:paraId="2E4DB402" w14:textId="77777777" w:rsidR="00CA249B" w:rsidRPr="00CA249B" w:rsidRDefault="00CA249B" w:rsidP="00CA249B">
            <w:pPr>
              <w:jc w:val="both"/>
              <w:rPr>
                <w:sz w:val="20"/>
                <w:szCs w:val="20"/>
              </w:rPr>
            </w:pPr>
            <w:r w:rsidRPr="00CA249B">
              <w:rPr>
                <w:sz w:val="20"/>
                <w:szCs w:val="20"/>
              </w:rPr>
              <w:t>Увеличаване на заплатите на педагогическия персонал</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hideMark/>
          </w:tcPr>
          <w:p w14:paraId="75FF882A" w14:textId="77777777" w:rsidR="00CA249B" w:rsidRPr="00CA249B" w:rsidRDefault="00CA249B" w:rsidP="00882750">
            <w:pPr>
              <w:ind w:firstLine="708"/>
              <w:jc w:val="right"/>
              <w:rPr>
                <w:sz w:val="20"/>
                <w:szCs w:val="20"/>
              </w:rPr>
            </w:pPr>
            <w:r w:rsidRPr="00CA249B">
              <w:rPr>
                <w:sz w:val="20"/>
                <w:szCs w:val="20"/>
              </w:rPr>
              <w:t>239,5</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6717B27C" w14:textId="77777777" w:rsidR="00CA249B" w:rsidRPr="00CA249B" w:rsidRDefault="00CA249B" w:rsidP="00882750">
            <w:pPr>
              <w:ind w:firstLine="708"/>
              <w:jc w:val="right"/>
              <w:rPr>
                <w:sz w:val="20"/>
                <w:szCs w:val="20"/>
              </w:rPr>
            </w:pPr>
            <w:r w:rsidRPr="00CA249B">
              <w:rPr>
                <w:sz w:val="20"/>
                <w:szCs w:val="20"/>
              </w:rPr>
              <w:t>239,5</w:t>
            </w:r>
          </w:p>
        </w:tc>
      </w:tr>
      <w:tr w:rsidR="00CA249B" w:rsidRPr="00CA249B" w14:paraId="093CDC8C" w14:textId="77777777" w:rsidTr="00D337DB">
        <w:trPr>
          <w:trHeight w:val="618"/>
        </w:trPr>
        <w:tc>
          <w:tcPr>
            <w:tcW w:w="6475" w:type="dxa"/>
            <w:tcBorders>
              <w:top w:val="nil"/>
              <w:left w:val="nil"/>
              <w:bottom w:val="nil"/>
              <w:right w:val="nil"/>
            </w:tcBorders>
            <w:shd w:val="clear" w:color="000000" w:fill="E7E6E6"/>
            <w:tcMar>
              <w:top w:w="15" w:type="dxa"/>
              <w:left w:w="15" w:type="dxa"/>
              <w:bottom w:w="0" w:type="dxa"/>
              <w:right w:w="15" w:type="dxa"/>
            </w:tcMar>
            <w:vAlign w:val="center"/>
            <w:hideMark/>
          </w:tcPr>
          <w:p w14:paraId="606AF1AF" w14:textId="77777777" w:rsidR="00CA249B" w:rsidRPr="00CA249B" w:rsidRDefault="00CA249B" w:rsidP="00CA249B">
            <w:pPr>
              <w:jc w:val="both"/>
              <w:rPr>
                <w:sz w:val="20"/>
                <w:szCs w:val="20"/>
              </w:rPr>
            </w:pPr>
            <w:r w:rsidRPr="00CA249B">
              <w:rPr>
                <w:sz w:val="20"/>
                <w:szCs w:val="20"/>
              </w:rPr>
              <w:t>Ефект от ръста на МРЗ на 710 лв. при определяне на часовата ставка</w:t>
            </w:r>
          </w:p>
          <w:p w14:paraId="01C6AE0E" w14:textId="77777777" w:rsidR="00CA249B" w:rsidRPr="00CA249B" w:rsidRDefault="00CA249B" w:rsidP="00CA249B">
            <w:pPr>
              <w:jc w:val="both"/>
              <w:rPr>
                <w:sz w:val="20"/>
                <w:szCs w:val="20"/>
              </w:rPr>
            </w:pPr>
            <w:r w:rsidRPr="00CA249B">
              <w:rPr>
                <w:sz w:val="20"/>
                <w:szCs w:val="20"/>
              </w:rPr>
              <w:t>за положен труд за изчисляване на възнагражденията на личните</w:t>
            </w:r>
          </w:p>
          <w:p w14:paraId="3E0FFCA5" w14:textId="77777777" w:rsidR="00CA249B" w:rsidRPr="00CA249B" w:rsidRDefault="00CA249B" w:rsidP="00CA249B">
            <w:pPr>
              <w:jc w:val="both"/>
              <w:rPr>
                <w:sz w:val="20"/>
                <w:szCs w:val="20"/>
              </w:rPr>
            </w:pPr>
            <w:r w:rsidRPr="00CA249B">
              <w:rPr>
                <w:sz w:val="20"/>
                <w:szCs w:val="20"/>
              </w:rPr>
              <w:t>асистенти по ЗЛП и възнагражденията на приемните семейства по</w:t>
            </w:r>
          </w:p>
          <w:p w14:paraId="065C0A35" w14:textId="77777777" w:rsidR="00CA249B" w:rsidRPr="00CA249B" w:rsidRDefault="00CA249B" w:rsidP="00CA249B">
            <w:pPr>
              <w:jc w:val="both"/>
              <w:rPr>
                <w:sz w:val="20"/>
                <w:szCs w:val="20"/>
              </w:rPr>
            </w:pPr>
            <w:r w:rsidRPr="00CA249B">
              <w:rPr>
                <w:sz w:val="20"/>
                <w:szCs w:val="20"/>
              </w:rPr>
              <w:t>ЗЗД</w:t>
            </w:r>
          </w:p>
        </w:tc>
        <w:tc>
          <w:tcPr>
            <w:tcW w:w="1428"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14004994" w14:textId="77777777" w:rsidR="00CA249B" w:rsidRPr="00CA249B" w:rsidRDefault="00CA249B" w:rsidP="00882750">
            <w:pPr>
              <w:ind w:firstLine="708"/>
              <w:jc w:val="right"/>
              <w:rPr>
                <w:sz w:val="20"/>
                <w:szCs w:val="20"/>
              </w:rPr>
            </w:pPr>
            <w:r w:rsidRPr="00CA249B">
              <w:rPr>
                <w:sz w:val="20"/>
                <w:szCs w:val="20"/>
              </w:rPr>
              <w:t>144,5</w:t>
            </w:r>
          </w:p>
        </w:tc>
        <w:tc>
          <w:tcPr>
            <w:tcW w:w="1590"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6A1380B0" w14:textId="77777777" w:rsidR="00CA249B" w:rsidRPr="00CA249B" w:rsidRDefault="00CA249B" w:rsidP="00882750">
            <w:pPr>
              <w:ind w:firstLine="708"/>
              <w:jc w:val="right"/>
              <w:rPr>
                <w:sz w:val="20"/>
                <w:szCs w:val="20"/>
              </w:rPr>
            </w:pPr>
            <w:r w:rsidRPr="00CA249B">
              <w:rPr>
                <w:sz w:val="20"/>
                <w:szCs w:val="20"/>
              </w:rPr>
              <w:t>223,5</w:t>
            </w:r>
          </w:p>
        </w:tc>
      </w:tr>
      <w:tr w:rsidR="00CA249B" w:rsidRPr="00CA249B" w14:paraId="6190463F" w14:textId="77777777" w:rsidTr="0092579B">
        <w:trPr>
          <w:trHeight w:val="53"/>
        </w:trPr>
        <w:tc>
          <w:tcPr>
            <w:tcW w:w="6475" w:type="dxa"/>
            <w:tcBorders>
              <w:top w:val="nil"/>
              <w:left w:val="nil"/>
              <w:bottom w:val="nil"/>
              <w:right w:val="nil"/>
            </w:tcBorders>
            <w:shd w:val="clear" w:color="auto" w:fill="auto"/>
            <w:tcMar>
              <w:top w:w="15" w:type="dxa"/>
              <w:left w:w="15" w:type="dxa"/>
              <w:bottom w:w="0" w:type="dxa"/>
              <w:right w:w="15" w:type="dxa"/>
            </w:tcMar>
            <w:vAlign w:val="center"/>
            <w:hideMark/>
          </w:tcPr>
          <w:p w14:paraId="7EE59CF4" w14:textId="77777777" w:rsidR="00CA249B" w:rsidRPr="00CA249B" w:rsidRDefault="00CA249B" w:rsidP="00CA249B">
            <w:pPr>
              <w:jc w:val="both"/>
              <w:rPr>
                <w:sz w:val="20"/>
                <w:szCs w:val="20"/>
              </w:rPr>
            </w:pPr>
            <w:r w:rsidRPr="00CA249B">
              <w:rPr>
                <w:sz w:val="20"/>
                <w:szCs w:val="20"/>
              </w:rPr>
              <w:t>Увеличаване на МРЗ</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hideMark/>
          </w:tcPr>
          <w:p w14:paraId="49C34263" w14:textId="77777777" w:rsidR="00CA249B" w:rsidRPr="00CA249B" w:rsidRDefault="00CA249B" w:rsidP="00882750">
            <w:pPr>
              <w:ind w:firstLine="708"/>
              <w:jc w:val="right"/>
              <w:rPr>
                <w:sz w:val="20"/>
                <w:szCs w:val="20"/>
              </w:rPr>
            </w:pPr>
            <w:r w:rsidRPr="00CA249B">
              <w:rPr>
                <w:sz w:val="20"/>
                <w:szCs w:val="20"/>
              </w:rPr>
              <w:t>136,0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62D6B2A5" w14:textId="77777777" w:rsidR="00CA249B" w:rsidRPr="00CA249B" w:rsidRDefault="00CA249B" w:rsidP="00882750">
            <w:pPr>
              <w:ind w:firstLine="708"/>
              <w:jc w:val="right"/>
              <w:rPr>
                <w:sz w:val="20"/>
                <w:szCs w:val="20"/>
              </w:rPr>
            </w:pPr>
            <w:r w:rsidRPr="00CA249B">
              <w:rPr>
                <w:sz w:val="20"/>
                <w:szCs w:val="20"/>
              </w:rPr>
              <w:t>133,3</w:t>
            </w:r>
          </w:p>
        </w:tc>
      </w:tr>
      <w:tr w:rsidR="00CA249B" w:rsidRPr="00CA249B" w14:paraId="38C502A3" w14:textId="77777777" w:rsidTr="00CA249B">
        <w:trPr>
          <w:trHeight w:val="550"/>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76E3C4B6" w14:textId="77777777" w:rsidR="00CA249B" w:rsidRPr="00CA249B" w:rsidRDefault="00CA249B" w:rsidP="00CA249B">
            <w:pPr>
              <w:jc w:val="both"/>
              <w:rPr>
                <w:sz w:val="20"/>
                <w:szCs w:val="20"/>
              </w:rPr>
            </w:pPr>
            <w:r w:rsidRPr="00CA249B">
              <w:rPr>
                <w:sz w:val="20"/>
                <w:szCs w:val="20"/>
              </w:rPr>
              <w:t>Увеличаване на частта от осигурителния доход, върху който</w:t>
            </w:r>
          </w:p>
          <w:p w14:paraId="1AFE748D" w14:textId="77777777" w:rsidR="00CA249B" w:rsidRPr="00CA249B" w:rsidRDefault="00CA249B" w:rsidP="00CA249B">
            <w:pPr>
              <w:jc w:val="both"/>
              <w:rPr>
                <w:sz w:val="20"/>
                <w:szCs w:val="20"/>
              </w:rPr>
            </w:pPr>
            <w:r w:rsidRPr="00CA249B">
              <w:rPr>
                <w:sz w:val="20"/>
                <w:szCs w:val="20"/>
              </w:rPr>
              <w:t>държавата внася здравни вноски за лицата, осигурявани за сметка на</w:t>
            </w:r>
          </w:p>
          <w:p w14:paraId="2ECA1792" w14:textId="77777777" w:rsidR="00CA249B" w:rsidRPr="00CA249B" w:rsidRDefault="00CA249B" w:rsidP="00CA249B">
            <w:pPr>
              <w:jc w:val="both"/>
              <w:rPr>
                <w:sz w:val="20"/>
                <w:szCs w:val="20"/>
              </w:rPr>
            </w:pPr>
            <w:r w:rsidRPr="00CA249B">
              <w:rPr>
                <w:sz w:val="20"/>
                <w:szCs w:val="20"/>
              </w:rPr>
              <w:t>държавния бюджет</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19F7076B" w14:textId="77777777" w:rsidR="00CA249B" w:rsidRPr="00CA249B" w:rsidRDefault="00CA249B" w:rsidP="00882750">
            <w:pPr>
              <w:ind w:firstLine="708"/>
              <w:jc w:val="right"/>
              <w:rPr>
                <w:sz w:val="20"/>
                <w:szCs w:val="20"/>
              </w:rPr>
            </w:pPr>
            <w:r w:rsidRPr="00CA249B">
              <w:rPr>
                <w:sz w:val="20"/>
                <w:szCs w:val="20"/>
              </w:rPr>
              <w:t>120,3</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34E4635F" w14:textId="77777777" w:rsidR="00CA249B" w:rsidRPr="00CA249B" w:rsidRDefault="00CA249B" w:rsidP="00882750">
            <w:pPr>
              <w:ind w:firstLine="708"/>
              <w:jc w:val="right"/>
              <w:rPr>
                <w:sz w:val="20"/>
                <w:szCs w:val="20"/>
              </w:rPr>
            </w:pPr>
            <w:r w:rsidRPr="00CA249B">
              <w:rPr>
                <w:sz w:val="20"/>
                <w:szCs w:val="20"/>
              </w:rPr>
              <w:t>127,1</w:t>
            </w:r>
          </w:p>
        </w:tc>
      </w:tr>
      <w:tr w:rsidR="00CA249B" w:rsidRPr="00CA249B" w14:paraId="432038A6" w14:textId="77777777" w:rsidTr="00D337DB">
        <w:trPr>
          <w:trHeight w:val="830"/>
        </w:trPr>
        <w:tc>
          <w:tcPr>
            <w:tcW w:w="6475" w:type="dxa"/>
            <w:tcBorders>
              <w:top w:val="nil"/>
              <w:left w:val="nil"/>
              <w:bottom w:val="nil"/>
              <w:right w:val="nil"/>
            </w:tcBorders>
            <w:shd w:val="clear" w:color="auto" w:fill="auto"/>
            <w:tcMar>
              <w:top w:w="15" w:type="dxa"/>
              <w:left w:w="15" w:type="dxa"/>
              <w:bottom w:w="0" w:type="dxa"/>
              <w:right w:w="15" w:type="dxa"/>
            </w:tcMar>
            <w:vAlign w:val="center"/>
            <w:hideMark/>
          </w:tcPr>
          <w:p w14:paraId="7902F9DC" w14:textId="77777777" w:rsidR="00CA249B" w:rsidRPr="00CA249B" w:rsidRDefault="00CA249B" w:rsidP="00CA249B">
            <w:pPr>
              <w:jc w:val="both"/>
              <w:rPr>
                <w:sz w:val="20"/>
                <w:szCs w:val="20"/>
              </w:rPr>
            </w:pPr>
            <w:r w:rsidRPr="00CA249B">
              <w:rPr>
                <w:sz w:val="20"/>
                <w:szCs w:val="20"/>
              </w:rPr>
              <w:t>Ефект от отпадане на таксите за детски градини и ясли и поемане на</w:t>
            </w:r>
          </w:p>
          <w:p w14:paraId="0238542D" w14:textId="77777777" w:rsidR="00CA249B" w:rsidRPr="00CA249B" w:rsidRDefault="00CA249B" w:rsidP="00CA249B">
            <w:pPr>
              <w:jc w:val="both"/>
              <w:rPr>
                <w:sz w:val="20"/>
                <w:szCs w:val="20"/>
              </w:rPr>
            </w:pPr>
            <w:r w:rsidRPr="00CA249B">
              <w:rPr>
                <w:sz w:val="20"/>
                <w:szCs w:val="20"/>
              </w:rPr>
              <w:t>издръжката на детските градини и детските ясли като държавна</w:t>
            </w:r>
          </w:p>
          <w:p w14:paraId="46020183" w14:textId="77777777" w:rsidR="00CA249B" w:rsidRPr="00CA249B" w:rsidRDefault="00CA249B" w:rsidP="00CA249B">
            <w:pPr>
              <w:jc w:val="both"/>
              <w:rPr>
                <w:sz w:val="20"/>
                <w:szCs w:val="20"/>
              </w:rPr>
            </w:pPr>
            <w:r w:rsidRPr="00CA249B">
              <w:rPr>
                <w:sz w:val="20"/>
                <w:szCs w:val="20"/>
              </w:rPr>
              <w:t>отговорност</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hideMark/>
          </w:tcPr>
          <w:p w14:paraId="5600DD27" w14:textId="77777777" w:rsidR="00CA249B" w:rsidRPr="00CA249B" w:rsidRDefault="00CA249B" w:rsidP="00882750">
            <w:pPr>
              <w:ind w:firstLine="708"/>
              <w:jc w:val="right"/>
              <w:rPr>
                <w:sz w:val="20"/>
                <w:szCs w:val="20"/>
              </w:rPr>
            </w:pPr>
            <w:r w:rsidRPr="00CA249B">
              <w:rPr>
                <w:sz w:val="20"/>
                <w:szCs w:val="20"/>
              </w:rPr>
              <w:t>98,1</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7A30F47C" w14:textId="77777777" w:rsidR="00CA249B" w:rsidRPr="00CA249B" w:rsidRDefault="00CA249B" w:rsidP="00882750">
            <w:pPr>
              <w:ind w:firstLine="708"/>
              <w:jc w:val="right"/>
              <w:rPr>
                <w:sz w:val="20"/>
                <w:szCs w:val="20"/>
              </w:rPr>
            </w:pPr>
            <w:r w:rsidRPr="00CA249B">
              <w:rPr>
                <w:sz w:val="20"/>
                <w:szCs w:val="20"/>
              </w:rPr>
              <w:t>98,1</w:t>
            </w:r>
          </w:p>
        </w:tc>
      </w:tr>
      <w:tr w:rsidR="00CA249B" w:rsidRPr="00CA249B" w14:paraId="192AB560" w14:textId="77777777" w:rsidTr="00D337DB">
        <w:trPr>
          <w:trHeight w:val="738"/>
        </w:trPr>
        <w:tc>
          <w:tcPr>
            <w:tcW w:w="6475" w:type="dxa"/>
            <w:tcBorders>
              <w:top w:val="nil"/>
              <w:left w:val="nil"/>
              <w:bottom w:val="nil"/>
              <w:right w:val="nil"/>
            </w:tcBorders>
            <w:shd w:val="clear" w:color="000000" w:fill="E7E6E6"/>
            <w:tcMar>
              <w:top w:w="15" w:type="dxa"/>
              <w:left w:w="15" w:type="dxa"/>
              <w:bottom w:w="0" w:type="dxa"/>
              <w:right w:w="15" w:type="dxa"/>
            </w:tcMar>
            <w:vAlign w:val="center"/>
            <w:hideMark/>
          </w:tcPr>
          <w:p w14:paraId="462A1F08" w14:textId="77777777" w:rsidR="00CA249B" w:rsidRPr="00CA249B" w:rsidRDefault="00CA249B" w:rsidP="00CA249B">
            <w:pPr>
              <w:jc w:val="both"/>
              <w:rPr>
                <w:sz w:val="20"/>
                <w:szCs w:val="20"/>
              </w:rPr>
            </w:pPr>
            <w:r w:rsidRPr="00CA249B">
              <w:rPr>
                <w:sz w:val="20"/>
                <w:szCs w:val="20"/>
              </w:rPr>
              <w:t>Увеличение на паричното обезщетение за отглеждане на малко дете</w:t>
            </w:r>
          </w:p>
          <w:p w14:paraId="58F550DE" w14:textId="77777777" w:rsidR="00CA249B" w:rsidRPr="00CA249B" w:rsidRDefault="00CA249B" w:rsidP="00CA249B">
            <w:pPr>
              <w:jc w:val="both"/>
              <w:rPr>
                <w:sz w:val="20"/>
                <w:szCs w:val="20"/>
              </w:rPr>
            </w:pPr>
            <w:r w:rsidRPr="00CA249B">
              <w:rPr>
                <w:sz w:val="20"/>
                <w:szCs w:val="20"/>
              </w:rPr>
              <w:t>през втората година от майчинството</w:t>
            </w:r>
          </w:p>
        </w:tc>
        <w:tc>
          <w:tcPr>
            <w:tcW w:w="1428"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562C421E" w14:textId="77777777" w:rsidR="00CA249B" w:rsidRPr="00CA249B" w:rsidRDefault="00CA249B" w:rsidP="00882750">
            <w:pPr>
              <w:ind w:firstLine="708"/>
              <w:jc w:val="right"/>
              <w:rPr>
                <w:sz w:val="20"/>
                <w:szCs w:val="20"/>
              </w:rPr>
            </w:pPr>
            <w:r w:rsidRPr="00CA249B">
              <w:rPr>
                <w:sz w:val="20"/>
                <w:szCs w:val="20"/>
              </w:rPr>
              <w:t>119,2</w:t>
            </w:r>
          </w:p>
        </w:tc>
        <w:tc>
          <w:tcPr>
            <w:tcW w:w="1590" w:type="dxa"/>
            <w:tcBorders>
              <w:top w:val="nil"/>
              <w:left w:val="nil"/>
              <w:bottom w:val="nil"/>
              <w:right w:val="nil"/>
            </w:tcBorders>
            <w:shd w:val="clear" w:color="000000" w:fill="E7E6E6"/>
            <w:noWrap/>
            <w:tcMar>
              <w:top w:w="15" w:type="dxa"/>
              <w:left w:w="15" w:type="dxa"/>
              <w:bottom w:w="0" w:type="dxa"/>
              <w:right w:w="15" w:type="dxa"/>
            </w:tcMar>
            <w:vAlign w:val="center"/>
            <w:hideMark/>
          </w:tcPr>
          <w:p w14:paraId="7AF16132" w14:textId="77777777" w:rsidR="00CA249B" w:rsidRPr="00CA249B" w:rsidRDefault="00CA249B" w:rsidP="00882750">
            <w:pPr>
              <w:ind w:firstLine="708"/>
              <w:jc w:val="right"/>
              <w:rPr>
                <w:sz w:val="20"/>
                <w:szCs w:val="20"/>
              </w:rPr>
            </w:pPr>
            <w:r w:rsidRPr="00026141">
              <w:rPr>
                <w:sz w:val="20"/>
                <w:szCs w:val="20"/>
              </w:rPr>
              <w:t>119,2</w:t>
            </w:r>
          </w:p>
        </w:tc>
      </w:tr>
      <w:tr w:rsidR="00CA249B" w:rsidRPr="00CA249B" w14:paraId="6AFBEAF9" w14:textId="77777777" w:rsidTr="00D337DB">
        <w:trPr>
          <w:trHeight w:val="504"/>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167CE13E" w14:textId="77777777" w:rsidR="00CA249B" w:rsidRPr="00CA249B" w:rsidRDefault="00CA249B" w:rsidP="00CA249B">
            <w:pPr>
              <w:jc w:val="both"/>
              <w:rPr>
                <w:sz w:val="20"/>
                <w:szCs w:val="20"/>
              </w:rPr>
            </w:pPr>
            <w:r w:rsidRPr="00CA249B">
              <w:rPr>
                <w:sz w:val="20"/>
                <w:szCs w:val="20"/>
              </w:rPr>
              <w:t>Ефект от промяната на средномесечния доход на член от</w:t>
            </w:r>
          </w:p>
          <w:p w14:paraId="4FD9D84C" w14:textId="77777777" w:rsidR="00CA249B" w:rsidRPr="00CA249B" w:rsidRDefault="00CA249B" w:rsidP="00CA249B">
            <w:pPr>
              <w:jc w:val="both"/>
              <w:rPr>
                <w:sz w:val="20"/>
                <w:szCs w:val="20"/>
              </w:rPr>
            </w:pPr>
            <w:r w:rsidRPr="00CA249B">
              <w:rPr>
                <w:sz w:val="20"/>
                <w:szCs w:val="20"/>
              </w:rPr>
              <w:t>семейството и размерите на месечните помощи за отглеждане на</w:t>
            </w:r>
          </w:p>
          <w:p w14:paraId="734BAE1A" w14:textId="77777777" w:rsidR="00CA249B" w:rsidRPr="00CA249B" w:rsidRDefault="00CA249B" w:rsidP="00CA249B">
            <w:pPr>
              <w:jc w:val="both"/>
              <w:rPr>
                <w:sz w:val="20"/>
                <w:szCs w:val="20"/>
              </w:rPr>
            </w:pPr>
            <w:r w:rsidRPr="00CA249B">
              <w:rPr>
                <w:sz w:val="20"/>
                <w:szCs w:val="20"/>
              </w:rPr>
              <w:t>дете</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39631B20" w14:textId="77777777" w:rsidR="00CA249B" w:rsidRPr="00CA249B" w:rsidRDefault="00CA249B" w:rsidP="00882750">
            <w:pPr>
              <w:ind w:firstLine="708"/>
              <w:jc w:val="right"/>
              <w:rPr>
                <w:sz w:val="20"/>
                <w:szCs w:val="20"/>
              </w:rPr>
            </w:pPr>
            <w:r w:rsidRPr="00CA249B">
              <w:rPr>
                <w:sz w:val="20"/>
                <w:szCs w:val="20"/>
              </w:rPr>
              <w:t>90,0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2A1461E2" w14:textId="77777777" w:rsidR="00CA249B" w:rsidRPr="00CA249B" w:rsidRDefault="00CA249B" w:rsidP="00882750">
            <w:pPr>
              <w:ind w:firstLine="708"/>
              <w:jc w:val="right"/>
              <w:rPr>
                <w:sz w:val="20"/>
                <w:szCs w:val="20"/>
              </w:rPr>
            </w:pPr>
            <w:r w:rsidRPr="00CA249B">
              <w:rPr>
                <w:sz w:val="20"/>
                <w:szCs w:val="20"/>
              </w:rPr>
              <w:t>90,0</w:t>
            </w:r>
          </w:p>
        </w:tc>
      </w:tr>
      <w:tr w:rsidR="00CA249B" w:rsidRPr="00CA249B" w14:paraId="037841C5" w14:textId="77777777" w:rsidTr="00CA249B">
        <w:trPr>
          <w:trHeight w:val="413"/>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5D72446C" w14:textId="77777777" w:rsidR="00CA249B" w:rsidRPr="00CA249B" w:rsidRDefault="00CA249B" w:rsidP="00CA249B">
            <w:pPr>
              <w:jc w:val="both"/>
              <w:rPr>
                <w:sz w:val="20"/>
                <w:szCs w:val="20"/>
              </w:rPr>
            </w:pPr>
            <w:r w:rsidRPr="00CA249B">
              <w:rPr>
                <w:sz w:val="20"/>
                <w:szCs w:val="20"/>
              </w:rPr>
              <w:t>Увеличение на социалните помощи по ЗСП и ЗХУ поради</w:t>
            </w:r>
          </w:p>
          <w:p w14:paraId="03B7C7B8" w14:textId="77777777" w:rsidR="00CA249B" w:rsidRPr="00CA249B" w:rsidRDefault="00CA249B" w:rsidP="00CA249B">
            <w:pPr>
              <w:jc w:val="both"/>
              <w:rPr>
                <w:sz w:val="20"/>
                <w:szCs w:val="20"/>
              </w:rPr>
            </w:pPr>
            <w:r w:rsidRPr="00CA249B">
              <w:rPr>
                <w:sz w:val="20"/>
                <w:szCs w:val="20"/>
              </w:rPr>
              <w:t>изменение на линията на бедност</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3C758136" w14:textId="77777777" w:rsidR="00CA249B" w:rsidRPr="00CA249B" w:rsidRDefault="00CA249B" w:rsidP="00882750">
            <w:pPr>
              <w:ind w:firstLine="708"/>
              <w:jc w:val="right"/>
              <w:rPr>
                <w:sz w:val="20"/>
                <w:szCs w:val="20"/>
              </w:rPr>
            </w:pPr>
            <w:r w:rsidRPr="00CA249B">
              <w:rPr>
                <w:sz w:val="20"/>
                <w:szCs w:val="20"/>
              </w:rPr>
              <w:t>57,3</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02EAC445" w14:textId="77777777" w:rsidR="00CA249B" w:rsidRPr="00CA249B" w:rsidRDefault="00CA249B" w:rsidP="00882750">
            <w:pPr>
              <w:ind w:firstLine="708"/>
              <w:jc w:val="right"/>
              <w:rPr>
                <w:sz w:val="20"/>
                <w:szCs w:val="20"/>
              </w:rPr>
            </w:pPr>
            <w:r w:rsidRPr="00CA249B">
              <w:rPr>
                <w:sz w:val="20"/>
                <w:szCs w:val="20"/>
              </w:rPr>
              <w:t>57,3</w:t>
            </w:r>
          </w:p>
        </w:tc>
      </w:tr>
      <w:tr w:rsidR="00CA249B" w:rsidRPr="00CA249B" w14:paraId="4334934A" w14:textId="77777777" w:rsidTr="0092579B">
        <w:trPr>
          <w:trHeight w:val="53"/>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377FC69C" w14:textId="77777777" w:rsidR="00CA249B" w:rsidRPr="00CA249B" w:rsidRDefault="00CA249B" w:rsidP="00CA249B">
            <w:pPr>
              <w:jc w:val="both"/>
              <w:rPr>
                <w:sz w:val="20"/>
                <w:szCs w:val="20"/>
              </w:rPr>
            </w:pPr>
            <w:r w:rsidRPr="00CA249B">
              <w:rPr>
                <w:sz w:val="20"/>
                <w:szCs w:val="20"/>
              </w:rPr>
              <w:t>Преизчисляване на пенсии с намален индивидуален коефициент</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3BF3274E" w14:textId="77777777" w:rsidR="00CA249B" w:rsidRPr="00CA249B" w:rsidRDefault="00CA249B" w:rsidP="00882750">
            <w:pPr>
              <w:ind w:firstLine="708"/>
              <w:jc w:val="right"/>
              <w:rPr>
                <w:sz w:val="20"/>
                <w:szCs w:val="20"/>
              </w:rPr>
            </w:pPr>
            <w:r w:rsidRPr="00CA249B">
              <w:rPr>
                <w:sz w:val="20"/>
                <w:szCs w:val="20"/>
              </w:rPr>
              <w:t>49,5</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7A37A151" w14:textId="77777777" w:rsidR="00CA249B" w:rsidRPr="00CA249B" w:rsidRDefault="00CA249B" w:rsidP="00882750">
            <w:pPr>
              <w:ind w:firstLine="708"/>
              <w:jc w:val="right"/>
              <w:rPr>
                <w:sz w:val="20"/>
                <w:szCs w:val="20"/>
              </w:rPr>
            </w:pPr>
            <w:r w:rsidRPr="00CA249B">
              <w:rPr>
                <w:sz w:val="20"/>
                <w:szCs w:val="20"/>
              </w:rPr>
              <w:t>49,5</w:t>
            </w:r>
          </w:p>
        </w:tc>
      </w:tr>
      <w:tr w:rsidR="00CA249B" w:rsidRPr="00CA249B" w14:paraId="72172F61" w14:textId="77777777" w:rsidTr="00CA249B">
        <w:trPr>
          <w:trHeight w:val="65"/>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53036941" w14:textId="77777777" w:rsidR="00CA249B" w:rsidRPr="00CA249B" w:rsidRDefault="00CA249B" w:rsidP="00CA249B">
            <w:pPr>
              <w:jc w:val="both"/>
              <w:rPr>
                <w:sz w:val="20"/>
                <w:szCs w:val="20"/>
              </w:rPr>
            </w:pPr>
            <w:r w:rsidRPr="00CA249B">
              <w:rPr>
                <w:sz w:val="20"/>
                <w:szCs w:val="20"/>
              </w:rPr>
              <w:t>Увеличение на разходите за възнаграждения и осигурителни вноски</w:t>
            </w:r>
          </w:p>
          <w:p w14:paraId="44E9C79E" w14:textId="77777777" w:rsidR="00CA249B" w:rsidRPr="00CA249B" w:rsidRDefault="00CA249B" w:rsidP="00CA249B">
            <w:pPr>
              <w:jc w:val="both"/>
              <w:rPr>
                <w:sz w:val="20"/>
                <w:szCs w:val="20"/>
              </w:rPr>
            </w:pPr>
            <w:r w:rsidRPr="00CA249B">
              <w:rPr>
                <w:sz w:val="20"/>
                <w:szCs w:val="20"/>
              </w:rPr>
              <w:t>поради покачването на максималния осигурителен доход от 3 000 на</w:t>
            </w:r>
          </w:p>
          <w:p w14:paraId="579BCC8B" w14:textId="77777777" w:rsidR="00CA249B" w:rsidRPr="00CA249B" w:rsidRDefault="00CA249B" w:rsidP="00CA249B">
            <w:pPr>
              <w:jc w:val="both"/>
              <w:rPr>
                <w:sz w:val="20"/>
                <w:szCs w:val="20"/>
              </w:rPr>
            </w:pPr>
            <w:r w:rsidRPr="00CA249B">
              <w:rPr>
                <w:sz w:val="20"/>
                <w:szCs w:val="20"/>
              </w:rPr>
              <w:t>3 400 лв.</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0F02C9AA" w14:textId="77777777" w:rsidR="00CA249B" w:rsidRPr="00CA249B" w:rsidRDefault="00CA249B" w:rsidP="00882750">
            <w:pPr>
              <w:ind w:firstLine="708"/>
              <w:jc w:val="right"/>
              <w:rPr>
                <w:sz w:val="20"/>
                <w:szCs w:val="20"/>
              </w:rPr>
            </w:pPr>
            <w:r w:rsidRPr="00CA249B">
              <w:rPr>
                <w:sz w:val="20"/>
                <w:szCs w:val="20"/>
              </w:rPr>
              <w:t>39,7</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78FF3813" w14:textId="77777777" w:rsidR="00CA249B" w:rsidRPr="00CA249B" w:rsidRDefault="00CA249B" w:rsidP="00882750">
            <w:pPr>
              <w:ind w:firstLine="708"/>
              <w:jc w:val="right"/>
              <w:rPr>
                <w:sz w:val="20"/>
                <w:szCs w:val="20"/>
              </w:rPr>
            </w:pPr>
            <w:r w:rsidRPr="00CA249B">
              <w:rPr>
                <w:sz w:val="20"/>
                <w:szCs w:val="20"/>
              </w:rPr>
              <w:t>32,6</w:t>
            </w:r>
          </w:p>
        </w:tc>
      </w:tr>
      <w:tr w:rsidR="00CA249B" w:rsidRPr="00CA249B" w14:paraId="30A0F63F" w14:textId="77777777" w:rsidTr="0092579B">
        <w:trPr>
          <w:trHeight w:val="285"/>
        </w:trPr>
        <w:tc>
          <w:tcPr>
            <w:tcW w:w="6475" w:type="dxa"/>
            <w:tcBorders>
              <w:top w:val="nil"/>
              <w:left w:val="nil"/>
              <w:bottom w:val="nil"/>
              <w:right w:val="nil"/>
            </w:tcBorders>
            <w:shd w:val="clear" w:color="auto" w:fill="auto"/>
            <w:tcMar>
              <w:top w:w="15" w:type="dxa"/>
              <w:left w:w="15" w:type="dxa"/>
              <w:bottom w:w="0" w:type="dxa"/>
              <w:right w:w="15" w:type="dxa"/>
            </w:tcMar>
            <w:vAlign w:val="center"/>
            <w:hideMark/>
          </w:tcPr>
          <w:p w14:paraId="7E818D74" w14:textId="77777777" w:rsidR="00CA249B" w:rsidRPr="00CA249B" w:rsidRDefault="00CA249B" w:rsidP="00CA249B">
            <w:pPr>
              <w:jc w:val="both"/>
              <w:rPr>
                <w:sz w:val="20"/>
                <w:szCs w:val="20"/>
              </w:rPr>
            </w:pPr>
            <w:r w:rsidRPr="00CA249B">
              <w:rPr>
                <w:sz w:val="20"/>
                <w:szCs w:val="20"/>
              </w:rPr>
              <w:t>Изчисляване по нов начин на индивидуалния коефициент за</w:t>
            </w:r>
          </w:p>
          <w:p w14:paraId="4B1C86AA" w14:textId="77777777" w:rsidR="00CA249B" w:rsidRPr="00CA249B" w:rsidRDefault="00CA249B" w:rsidP="00CA249B">
            <w:pPr>
              <w:jc w:val="both"/>
              <w:rPr>
                <w:sz w:val="20"/>
                <w:szCs w:val="20"/>
              </w:rPr>
            </w:pPr>
            <w:r w:rsidRPr="00CA249B">
              <w:rPr>
                <w:sz w:val="20"/>
                <w:szCs w:val="20"/>
              </w:rPr>
              <w:t>пенсиите за трудова дейност</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hideMark/>
          </w:tcPr>
          <w:p w14:paraId="2066F469" w14:textId="77777777" w:rsidR="00CA249B" w:rsidRPr="00CA249B" w:rsidRDefault="00CA249B" w:rsidP="00882750">
            <w:pPr>
              <w:ind w:firstLine="708"/>
              <w:jc w:val="right"/>
              <w:rPr>
                <w:sz w:val="20"/>
                <w:szCs w:val="20"/>
              </w:rPr>
            </w:pPr>
            <w:r w:rsidRPr="00CA249B">
              <w:rPr>
                <w:sz w:val="20"/>
                <w:szCs w:val="20"/>
              </w:rPr>
              <w:t>35,0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hideMark/>
          </w:tcPr>
          <w:p w14:paraId="28BB3304" w14:textId="77777777" w:rsidR="00CA249B" w:rsidRPr="00CA249B" w:rsidRDefault="00CA249B" w:rsidP="00882750">
            <w:pPr>
              <w:ind w:firstLine="708"/>
              <w:jc w:val="right"/>
              <w:rPr>
                <w:sz w:val="20"/>
                <w:szCs w:val="20"/>
              </w:rPr>
            </w:pPr>
            <w:r w:rsidRPr="00CA249B">
              <w:rPr>
                <w:sz w:val="20"/>
                <w:szCs w:val="20"/>
              </w:rPr>
              <w:t>35</w:t>
            </w:r>
            <w:r w:rsidRPr="00CA249B">
              <w:rPr>
                <w:sz w:val="20"/>
                <w:szCs w:val="20"/>
                <w:lang w:val="en-US"/>
              </w:rPr>
              <w:t>,</w:t>
            </w:r>
            <w:r w:rsidRPr="00CA249B">
              <w:rPr>
                <w:sz w:val="20"/>
                <w:szCs w:val="20"/>
              </w:rPr>
              <w:t>0</w:t>
            </w:r>
          </w:p>
        </w:tc>
      </w:tr>
      <w:tr w:rsidR="00CA249B" w:rsidRPr="00CA249B" w14:paraId="29676501" w14:textId="77777777" w:rsidTr="00CA249B">
        <w:trPr>
          <w:trHeight w:val="515"/>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2A13A7E7" w14:textId="77777777" w:rsidR="00CA249B" w:rsidRPr="00CA249B" w:rsidRDefault="00CA249B" w:rsidP="00CA249B">
            <w:pPr>
              <w:jc w:val="both"/>
              <w:rPr>
                <w:sz w:val="20"/>
                <w:szCs w:val="20"/>
              </w:rPr>
            </w:pPr>
            <w:r w:rsidRPr="00CA249B">
              <w:rPr>
                <w:sz w:val="20"/>
                <w:szCs w:val="20"/>
              </w:rPr>
              <w:t>Увеличение на размера на социалната пенсия за старост от 148,71 на 170 лв.</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4F1D1AAA" w14:textId="77777777" w:rsidR="00CA249B" w:rsidRPr="00CA249B" w:rsidRDefault="00CA249B" w:rsidP="00882750">
            <w:pPr>
              <w:ind w:firstLine="708"/>
              <w:jc w:val="right"/>
              <w:rPr>
                <w:sz w:val="20"/>
                <w:szCs w:val="20"/>
              </w:rPr>
            </w:pPr>
            <w:r w:rsidRPr="00CA249B">
              <w:rPr>
                <w:sz w:val="20"/>
                <w:szCs w:val="20"/>
              </w:rPr>
              <w:t>31,6</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2A94CC1E" w14:textId="77777777" w:rsidR="00CA249B" w:rsidRPr="00CA249B" w:rsidRDefault="00CA249B" w:rsidP="00882750">
            <w:pPr>
              <w:ind w:firstLine="708"/>
              <w:jc w:val="right"/>
              <w:rPr>
                <w:sz w:val="20"/>
                <w:szCs w:val="20"/>
              </w:rPr>
            </w:pPr>
            <w:r w:rsidRPr="00CA249B">
              <w:rPr>
                <w:sz w:val="20"/>
                <w:szCs w:val="20"/>
              </w:rPr>
              <w:t>31,6</w:t>
            </w:r>
          </w:p>
        </w:tc>
      </w:tr>
      <w:tr w:rsidR="00CA249B" w:rsidRPr="00CA249B" w14:paraId="0BB75B85" w14:textId="77777777" w:rsidTr="00D337DB">
        <w:trPr>
          <w:trHeight w:val="483"/>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7E9AA37D" w14:textId="77777777" w:rsidR="00CA249B" w:rsidRPr="00CA249B" w:rsidRDefault="00CA249B" w:rsidP="00CA249B">
            <w:pPr>
              <w:jc w:val="both"/>
              <w:rPr>
                <w:sz w:val="20"/>
                <w:szCs w:val="20"/>
              </w:rPr>
            </w:pPr>
            <w:r w:rsidRPr="00CA249B">
              <w:rPr>
                <w:sz w:val="20"/>
                <w:szCs w:val="20"/>
              </w:rPr>
              <w:t>Изменение на максималния размер на получаваните една или повече</w:t>
            </w:r>
          </w:p>
          <w:p w14:paraId="0D7EE13C" w14:textId="77777777" w:rsidR="00CA249B" w:rsidRPr="00CA249B" w:rsidRDefault="00CA249B" w:rsidP="00CA249B">
            <w:pPr>
              <w:jc w:val="both"/>
              <w:rPr>
                <w:sz w:val="20"/>
                <w:szCs w:val="20"/>
              </w:rPr>
            </w:pPr>
            <w:r w:rsidRPr="00CA249B">
              <w:rPr>
                <w:sz w:val="20"/>
                <w:szCs w:val="20"/>
              </w:rPr>
              <w:t>пенсии от 1 440 на 1 500 лв.</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579360C9" w14:textId="77777777" w:rsidR="00CA249B" w:rsidRPr="00CA249B" w:rsidRDefault="00CA249B" w:rsidP="00882750">
            <w:pPr>
              <w:ind w:firstLine="708"/>
              <w:jc w:val="right"/>
              <w:rPr>
                <w:sz w:val="20"/>
                <w:szCs w:val="20"/>
              </w:rPr>
            </w:pPr>
            <w:r w:rsidRPr="00CA249B">
              <w:rPr>
                <w:sz w:val="20"/>
                <w:szCs w:val="20"/>
              </w:rPr>
              <w:t>30,5</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4BF4DC61" w14:textId="77777777" w:rsidR="00CA249B" w:rsidRPr="00CA249B" w:rsidRDefault="00CA249B" w:rsidP="00882750">
            <w:pPr>
              <w:ind w:firstLine="708"/>
              <w:jc w:val="right"/>
              <w:rPr>
                <w:sz w:val="20"/>
                <w:szCs w:val="20"/>
              </w:rPr>
            </w:pPr>
            <w:r w:rsidRPr="00CA249B">
              <w:rPr>
                <w:sz w:val="20"/>
                <w:szCs w:val="20"/>
                <w:lang w:val="en-US"/>
              </w:rPr>
              <w:t>30</w:t>
            </w:r>
            <w:r w:rsidRPr="00CA249B">
              <w:rPr>
                <w:sz w:val="20"/>
                <w:szCs w:val="20"/>
              </w:rPr>
              <w:t>,5</w:t>
            </w:r>
          </w:p>
        </w:tc>
      </w:tr>
      <w:tr w:rsidR="00CA249B" w:rsidRPr="00CA249B" w14:paraId="1A0A3CFE" w14:textId="77777777" w:rsidTr="00CA249B">
        <w:trPr>
          <w:trHeight w:val="614"/>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143EAE79" w14:textId="77777777" w:rsidR="00CA249B" w:rsidRPr="00CA249B" w:rsidRDefault="00CA249B" w:rsidP="00CA249B">
            <w:pPr>
              <w:jc w:val="both"/>
              <w:rPr>
                <w:sz w:val="20"/>
                <w:szCs w:val="20"/>
              </w:rPr>
            </w:pPr>
            <w:r w:rsidRPr="00CA249B">
              <w:rPr>
                <w:sz w:val="20"/>
                <w:szCs w:val="20"/>
              </w:rPr>
              <w:t>Разширяване на достъпа и обхващането в задължителното</w:t>
            </w:r>
          </w:p>
          <w:p w14:paraId="43B8116D" w14:textId="77777777" w:rsidR="00CA249B" w:rsidRPr="00CA249B" w:rsidRDefault="00CA249B" w:rsidP="00CA249B">
            <w:pPr>
              <w:jc w:val="both"/>
              <w:rPr>
                <w:sz w:val="20"/>
                <w:szCs w:val="20"/>
              </w:rPr>
            </w:pPr>
            <w:r w:rsidRPr="00CA249B">
              <w:rPr>
                <w:sz w:val="20"/>
                <w:szCs w:val="20"/>
              </w:rPr>
              <w:t>предучилищно образование</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078168A7" w14:textId="77777777" w:rsidR="00CA249B" w:rsidRPr="00CA249B" w:rsidRDefault="00CA249B" w:rsidP="00882750">
            <w:pPr>
              <w:ind w:firstLine="708"/>
              <w:jc w:val="right"/>
              <w:rPr>
                <w:sz w:val="20"/>
                <w:szCs w:val="20"/>
              </w:rPr>
            </w:pPr>
            <w:r w:rsidRPr="00CA249B">
              <w:rPr>
                <w:sz w:val="20"/>
                <w:szCs w:val="20"/>
              </w:rPr>
              <w:t>18,0</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0A989148" w14:textId="77777777" w:rsidR="00CA249B" w:rsidRPr="00CA249B" w:rsidRDefault="00CA249B" w:rsidP="00882750">
            <w:pPr>
              <w:ind w:firstLine="708"/>
              <w:jc w:val="right"/>
              <w:rPr>
                <w:sz w:val="20"/>
                <w:szCs w:val="20"/>
              </w:rPr>
            </w:pPr>
            <w:r w:rsidRPr="00CA249B">
              <w:rPr>
                <w:sz w:val="20"/>
                <w:szCs w:val="20"/>
              </w:rPr>
              <w:t>0,7</w:t>
            </w:r>
          </w:p>
        </w:tc>
      </w:tr>
      <w:tr w:rsidR="00CA249B" w:rsidRPr="00CA249B" w14:paraId="26F6685D" w14:textId="77777777" w:rsidTr="0092579B">
        <w:trPr>
          <w:trHeight w:val="53"/>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15D29AD7" w14:textId="77777777" w:rsidR="00CA249B" w:rsidRPr="00CA249B" w:rsidRDefault="00CA249B" w:rsidP="00CA249B">
            <w:pPr>
              <w:jc w:val="both"/>
              <w:rPr>
                <w:sz w:val="20"/>
                <w:szCs w:val="20"/>
              </w:rPr>
            </w:pPr>
            <w:r w:rsidRPr="00CA249B">
              <w:rPr>
                <w:sz w:val="20"/>
                <w:szCs w:val="20"/>
              </w:rPr>
              <w:t>Увеличение на размера на социалната пенсия за инвалидност</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4B8AF748" w14:textId="77777777" w:rsidR="00CA249B" w:rsidRPr="00CA249B" w:rsidRDefault="00CA249B" w:rsidP="00882750">
            <w:pPr>
              <w:ind w:firstLine="708"/>
              <w:jc w:val="right"/>
              <w:rPr>
                <w:sz w:val="20"/>
                <w:szCs w:val="20"/>
              </w:rPr>
            </w:pPr>
            <w:r w:rsidRPr="00CA249B">
              <w:rPr>
                <w:sz w:val="20"/>
                <w:szCs w:val="20"/>
              </w:rPr>
              <w:t>24,4</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2D3D6272" w14:textId="77777777" w:rsidR="00CA249B" w:rsidRPr="00CA249B" w:rsidRDefault="00CA249B" w:rsidP="00882750">
            <w:pPr>
              <w:ind w:firstLine="708"/>
              <w:jc w:val="right"/>
              <w:rPr>
                <w:sz w:val="20"/>
                <w:szCs w:val="20"/>
              </w:rPr>
            </w:pPr>
            <w:r w:rsidRPr="00CA249B">
              <w:rPr>
                <w:sz w:val="20"/>
                <w:szCs w:val="20"/>
              </w:rPr>
              <w:t>32,0</w:t>
            </w:r>
          </w:p>
        </w:tc>
      </w:tr>
      <w:tr w:rsidR="00CA249B" w:rsidRPr="00CA249B" w14:paraId="20361D42" w14:textId="77777777" w:rsidTr="00CA249B">
        <w:trPr>
          <w:trHeight w:val="483"/>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560E6D0F" w14:textId="77777777" w:rsidR="00CA249B" w:rsidRPr="00CA249B" w:rsidRDefault="00CA249B" w:rsidP="00CA249B">
            <w:pPr>
              <w:jc w:val="both"/>
              <w:rPr>
                <w:sz w:val="20"/>
                <w:szCs w:val="20"/>
              </w:rPr>
            </w:pPr>
            <w:r w:rsidRPr="00CA249B">
              <w:rPr>
                <w:sz w:val="20"/>
                <w:szCs w:val="20"/>
              </w:rPr>
              <w:t>Увеличение на минималния дневен размер на паричното</w:t>
            </w:r>
          </w:p>
          <w:p w14:paraId="027AB7E9" w14:textId="77777777" w:rsidR="00CA249B" w:rsidRPr="00CA249B" w:rsidRDefault="00CA249B" w:rsidP="00CA249B">
            <w:pPr>
              <w:jc w:val="both"/>
              <w:rPr>
                <w:sz w:val="20"/>
                <w:szCs w:val="20"/>
              </w:rPr>
            </w:pPr>
            <w:r w:rsidRPr="00CA249B">
              <w:rPr>
                <w:sz w:val="20"/>
                <w:szCs w:val="20"/>
              </w:rPr>
              <w:t>обезщетение за безработица</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38EE28DB" w14:textId="77777777" w:rsidR="00CA249B" w:rsidRPr="00CA249B" w:rsidRDefault="00CA249B" w:rsidP="00882750">
            <w:pPr>
              <w:ind w:firstLine="708"/>
              <w:jc w:val="right"/>
              <w:rPr>
                <w:sz w:val="20"/>
                <w:szCs w:val="20"/>
              </w:rPr>
            </w:pPr>
            <w:r w:rsidRPr="00CA249B">
              <w:rPr>
                <w:sz w:val="20"/>
                <w:szCs w:val="20"/>
              </w:rPr>
              <w:t>23,3</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23A230C8" w14:textId="77777777" w:rsidR="00CA249B" w:rsidRPr="00CA249B" w:rsidRDefault="00CA249B" w:rsidP="00882750">
            <w:pPr>
              <w:ind w:firstLine="708"/>
              <w:jc w:val="right"/>
              <w:rPr>
                <w:sz w:val="20"/>
                <w:szCs w:val="20"/>
              </w:rPr>
            </w:pPr>
            <w:r w:rsidRPr="00CA249B">
              <w:rPr>
                <w:sz w:val="20"/>
                <w:szCs w:val="20"/>
              </w:rPr>
              <w:t>23,3</w:t>
            </w:r>
          </w:p>
        </w:tc>
      </w:tr>
      <w:tr w:rsidR="00CA249B" w:rsidRPr="00CA249B" w14:paraId="6B36E413" w14:textId="77777777" w:rsidTr="00D337DB">
        <w:trPr>
          <w:trHeight w:val="483"/>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570D3415" w14:textId="77777777" w:rsidR="00CA249B" w:rsidRPr="00CA249B" w:rsidRDefault="00CA249B" w:rsidP="00CA249B">
            <w:pPr>
              <w:jc w:val="both"/>
              <w:rPr>
                <w:sz w:val="20"/>
                <w:szCs w:val="20"/>
              </w:rPr>
            </w:pPr>
            <w:r w:rsidRPr="00CA249B">
              <w:rPr>
                <w:sz w:val="20"/>
                <w:szCs w:val="20"/>
              </w:rPr>
              <w:t>Увеличение на максималния дневен размер на паричното</w:t>
            </w:r>
          </w:p>
          <w:p w14:paraId="3093F1EE" w14:textId="77777777" w:rsidR="00CA249B" w:rsidRPr="00CA249B" w:rsidRDefault="00CA249B" w:rsidP="00CA249B">
            <w:pPr>
              <w:jc w:val="both"/>
              <w:rPr>
                <w:sz w:val="20"/>
                <w:szCs w:val="20"/>
              </w:rPr>
            </w:pPr>
            <w:r w:rsidRPr="00CA249B">
              <w:rPr>
                <w:sz w:val="20"/>
                <w:szCs w:val="20"/>
              </w:rPr>
              <w:t>обезщетение за безработица</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36B50B4E" w14:textId="77777777" w:rsidR="00CA249B" w:rsidRPr="00CA249B" w:rsidRDefault="00CA249B" w:rsidP="00882750">
            <w:pPr>
              <w:ind w:firstLine="708"/>
              <w:jc w:val="right"/>
              <w:rPr>
                <w:sz w:val="20"/>
                <w:szCs w:val="20"/>
              </w:rPr>
            </w:pPr>
            <w:r w:rsidRPr="00CA249B">
              <w:rPr>
                <w:sz w:val="20"/>
                <w:szCs w:val="20"/>
              </w:rPr>
              <w:t>15,5</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5A7F92FD" w14:textId="77777777" w:rsidR="00CA249B" w:rsidRPr="00CA249B" w:rsidRDefault="00CA249B" w:rsidP="00882750">
            <w:pPr>
              <w:ind w:firstLine="708"/>
              <w:jc w:val="right"/>
              <w:rPr>
                <w:sz w:val="20"/>
                <w:szCs w:val="20"/>
              </w:rPr>
            </w:pPr>
            <w:r w:rsidRPr="00CA249B">
              <w:rPr>
                <w:sz w:val="20"/>
                <w:szCs w:val="20"/>
              </w:rPr>
              <w:t>15,5</w:t>
            </w:r>
          </w:p>
        </w:tc>
      </w:tr>
      <w:tr w:rsidR="00CA249B" w:rsidRPr="00CA249B" w14:paraId="3DBB51E0" w14:textId="77777777" w:rsidTr="00CA249B">
        <w:trPr>
          <w:trHeight w:val="483"/>
        </w:trPr>
        <w:tc>
          <w:tcPr>
            <w:tcW w:w="6475" w:type="dxa"/>
            <w:tcBorders>
              <w:top w:val="nil"/>
              <w:left w:val="nil"/>
              <w:bottom w:val="nil"/>
              <w:right w:val="nil"/>
            </w:tcBorders>
            <w:shd w:val="clear" w:color="auto" w:fill="E7E6E6"/>
            <w:tcMar>
              <w:top w:w="15" w:type="dxa"/>
              <w:left w:w="15" w:type="dxa"/>
              <w:bottom w:w="0" w:type="dxa"/>
              <w:right w:w="15" w:type="dxa"/>
            </w:tcMar>
            <w:vAlign w:val="center"/>
          </w:tcPr>
          <w:p w14:paraId="33D8A9E2" w14:textId="77777777" w:rsidR="00CA249B" w:rsidRPr="00CA249B" w:rsidRDefault="00CA249B" w:rsidP="00CA249B">
            <w:pPr>
              <w:jc w:val="both"/>
              <w:rPr>
                <w:sz w:val="20"/>
                <w:szCs w:val="20"/>
              </w:rPr>
            </w:pPr>
            <w:r w:rsidRPr="00CA249B">
              <w:rPr>
                <w:sz w:val="20"/>
                <w:szCs w:val="20"/>
              </w:rPr>
              <w:t>Целева помощ за безвъзмездна преводаческа услуга за глухи и</w:t>
            </w:r>
          </w:p>
          <w:p w14:paraId="19FA1C0B" w14:textId="77777777" w:rsidR="00CA249B" w:rsidRPr="00CA249B" w:rsidRDefault="00CA249B" w:rsidP="00CA249B">
            <w:pPr>
              <w:jc w:val="both"/>
              <w:rPr>
                <w:sz w:val="20"/>
                <w:szCs w:val="20"/>
              </w:rPr>
            </w:pPr>
            <w:r w:rsidRPr="00CA249B">
              <w:rPr>
                <w:sz w:val="20"/>
                <w:szCs w:val="20"/>
              </w:rPr>
              <w:t>сляпо-глухи</w:t>
            </w:r>
          </w:p>
        </w:tc>
        <w:tc>
          <w:tcPr>
            <w:tcW w:w="1428" w:type="dxa"/>
            <w:tcBorders>
              <w:top w:val="nil"/>
              <w:left w:val="nil"/>
              <w:bottom w:val="nil"/>
              <w:right w:val="nil"/>
            </w:tcBorders>
            <w:shd w:val="clear" w:color="auto" w:fill="E7E6E6"/>
            <w:noWrap/>
            <w:tcMar>
              <w:top w:w="15" w:type="dxa"/>
              <w:left w:w="15" w:type="dxa"/>
              <w:bottom w:w="0" w:type="dxa"/>
              <w:right w:w="15" w:type="dxa"/>
            </w:tcMar>
            <w:vAlign w:val="center"/>
          </w:tcPr>
          <w:p w14:paraId="2B129CC7" w14:textId="77777777" w:rsidR="00CA249B" w:rsidRPr="00CA249B" w:rsidRDefault="00CA249B" w:rsidP="00882750">
            <w:pPr>
              <w:ind w:firstLine="708"/>
              <w:jc w:val="right"/>
              <w:rPr>
                <w:sz w:val="20"/>
                <w:szCs w:val="20"/>
              </w:rPr>
            </w:pPr>
            <w:r w:rsidRPr="00CA249B">
              <w:rPr>
                <w:sz w:val="20"/>
                <w:szCs w:val="20"/>
              </w:rPr>
              <w:t>3,0</w:t>
            </w:r>
          </w:p>
        </w:tc>
        <w:tc>
          <w:tcPr>
            <w:tcW w:w="1590" w:type="dxa"/>
            <w:tcBorders>
              <w:top w:val="nil"/>
              <w:left w:val="nil"/>
              <w:bottom w:val="nil"/>
              <w:right w:val="nil"/>
            </w:tcBorders>
            <w:shd w:val="clear" w:color="auto" w:fill="E7E6E6"/>
            <w:noWrap/>
            <w:tcMar>
              <w:top w:w="15" w:type="dxa"/>
              <w:left w:w="15" w:type="dxa"/>
              <w:bottom w:w="0" w:type="dxa"/>
              <w:right w:w="15" w:type="dxa"/>
            </w:tcMar>
            <w:vAlign w:val="center"/>
          </w:tcPr>
          <w:p w14:paraId="04153C6A" w14:textId="77777777" w:rsidR="00CA249B" w:rsidRPr="00CA249B" w:rsidRDefault="00CA249B" w:rsidP="00882750">
            <w:pPr>
              <w:ind w:firstLine="708"/>
              <w:jc w:val="right"/>
              <w:rPr>
                <w:sz w:val="20"/>
                <w:szCs w:val="20"/>
              </w:rPr>
            </w:pPr>
            <w:r w:rsidRPr="00CA249B">
              <w:rPr>
                <w:sz w:val="20"/>
                <w:szCs w:val="20"/>
              </w:rPr>
              <w:t>0</w:t>
            </w:r>
          </w:p>
        </w:tc>
      </w:tr>
      <w:tr w:rsidR="00CA249B" w:rsidRPr="00CA249B" w14:paraId="3726D119" w14:textId="77777777" w:rsidTr="0092579B">
        <w:trPr>
          <w:trHeight w:val="53"/>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5640CE06" w14:textId="77777777" w:rsidR="00CA249B" w:rsidRPr="00CA249B" w:rsidRDefault="00CA249B" w:rsidP="00CA249B">
            <w:pPr>
              <w:jc w:val="both"/>
              <w:rPr>
                <w:sz w:val="20"/>
                <w:szCs w:val="20"/>
              </w:rPr>
            </w:pPr>
            <w:r w:rsidRPr="00CA249B">
              <w:rPr>
                <w:sz w:val="20"/>
                <w:szCs w:val="20"/>
              </w:rPr>
              <w:t>Подкрепа на филмовата индустрия</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0F2C993E" w14:textId="77777777" w:rsidR="00CA249B" w:rsidRPr="00CA249B" w:rsidRDefault="00CA249B" w:rsidP="00882750">
            <w:pPr>
              <w:ind w:firstLine="708"/>
              <w:jc w:val="right"/>
              <w:rPr>
                <w:sz w:val="20"/>
                <w:szCs w:val="20"/>
              </w:rPr>
            </w:pPr>
            <w:r w:rsidRPr="00CA249B">
              <w:rPr>
                <w:sz w:val="20"/>
                <w:szCs w:val="20"/>
              </w:rPr>
              <w:t>-8,0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3CFFA9EE" w14:textId="77777777" w:rsidR="00CA249B" w:rsidRPr="00CA249B" w:rsidRDefault="00CA249B" w:rsidP="00882750">
            <w:pPr>
              <w:ind w:firstLine="708"/>
              <w:jc w:val="right"/>
              <w:rPr>
                <w:sz w:val="20"/>
                <w:szCs w:val="20"/>
              </w:rPr>
            </w:pPr>
            <w:r w:rsidRPr="00CA249B">
              <w:rPr>
                <w:sz w:val="20"/>
                <w:szCs w:val="20"/>
              </w:rPr>
              <w:t>-8,0</w:t>
            </w:r>
          </w:p>
        </w:tc>
      </w:tr>
      <w:tr w:rsidR="00CA249B" w:rsidRPr="00CA249B" w14:paraId="7A27055F" w14:textId="77777777" w:rsidTr="00CA249B">
        <w:trPr>
          <w:trHeight w:val="475"/>
        </w:trPr>
        <w:tc>
          <w:tcPr>
            <w:tcW w:w="6475" w:type="dxa"/>
            <w:tcBorders>
              <w:top w:val="nil"/>
              <w:left w:val="nil"/>
              <w:right w:val="nil"/>
            </w:tcBorders>
            <w:shd w:val="clear" w:color="auto" w:fill="E7E6E6"/>
            <w:tcMar>
              <w:top w:w="15" w:type="dxa"/>
              <w:left w:w="15" w:type="dxa"/>
              <w:bottom w:w="0" w:type="dxa"/>
              <w:right w:w="15" w:type="dxa"/>
            </w:tcMar>
            <w:vAlign w:val="center"/>
          </w:tcPr>
          <w:p w14:paraId="67308A6A" w14:textId="77777777" w:rsidR="00CA249B" w:rsidRPr="00CA249B" w:rsidRDefault="00CA249B" w:rsidP="00CA249B">
            <w:pPr>
              <w:jc w:val="both"/>
              <w:rPr>
                <w:sz w:val="20"/>
                <w:szCs w:val="20"/>
              </w:rPr>
            </w:pPr>
            <w:r w:rsidRPr="00CA249B">
              <w:rPr>
                <w:sz w:val="20"/>
                <w:szCs w:val="20"/>
              </w:rPr>
              <w:t>Увеличение на изискуемите възраст и осигурителен стаж за пенсия</w:t>
            </w:r>
          </w:p>
        </w:tc>
        <w:tc>
          <w:tcPr>
            <w:tcW w:w="1428" w:type="dxa"/>
            <w:tcBorders>
              <w:top w:val="nil"/>
              <w:left w:val="nil"/>
              <w:right w:val="nil"/>
            </w:tcBorders>
            <w:shd w:val="clear" w:color="auto" w:fill="E7E6E6"/>
            <w:noWrap/>
            <w:tcMar>
              <w:top w:w="15" w:type="dxa"/>
              <w:left w:w="15" w:type="dxa"/>
              <w:bottom w:w="0" w:type="dxa"/>
              <w:right w:w="15" w:type="dxa"/>
            </w:tcMar>
            <w:vAlign w:val="center"/>
          </w:tcPr>
          <w:p w14:paraId="4C3AF8A5" w14:textId="77777777" w:rsidR="00CA249B" w:rsidRPr="00CA249B" w:rsidRDefault="00CA249B" w:rsidP="00882750">
            <w:pPr>
              <w:ind w:firstLine="708"/>
              <w:jc w:val="right"/>
              <w:rPr>
                <w:sz w:val="20"/>
                <w:szCs w:val="20"/>
              </w:rPr>
            </w:pPr>
            <w:r w:rsidRPr="00CA249B">
              <w:rPr>
                <w:sz w:val="20"/>
                <w:szCs w:val="20"/>
              </w:rPr>
              <w:t>-30,0</w:t>
            </w:r>
          </w:p>
        </w:tc>
        <w:tc>
          <w:tcPr>
            <w:tcW w:w="1590" w:type="dxa"/>
            <w:tcBorders>
              <w:top w:val="nil"/>
              <w:left w:val="nil"/>
              <w:right w:val="nil"/>
            </w:tcBorders>
            <w:shd w:val="clear" w:color="auto" w:fill="E7E6E6"/>
            <w:noWrap/>
            <w:tcMar>
              <w:top w:w="15" w:type="dxa"/>
              <w:left w:w="15" w:type="dxa"/>
              <w:bottom w:w="0" w:type="dxa"/>
              <w:right w:w="15" w:type="dxa"/>
            </w:tcMar>
            <w:vAlign w:val="center"/>
          </w:tcPr>
          <w:p w14:paraId="0D61C09D" w14:textId="77777777" w:rsidR="00CA249B" w:rsidRPr="00CA249B" w:rsidRDefault="00CA249B" w:rsidP="00882750">
            <w:pPr>
              <w:ind w:firstLine="708"/>
              <w:jc w:val="right"/>
              <w:rPr>
                <w:sz w:val="20"/>
                <w:szCs w:val="20"/>
              </w:rPr>
            </w:pPr>
            <w:r w:rsidRPr="00CA249B">
              <w:rPr>
                <w:sz w:val="20"/>
                <w:szCs w:val="20"/>
              </w:rPr>
              <w:t>-30,0</w:t>
            </w:r>
          </w:p>
        </w:tc>
      </w:tr>
      <w:tr w:rsidR="004E02E9" w:rsidRPr="00CA249B" w14:paraId="20B209AA" w14:textId="77777777" w:rsidTr="0092579B">
        <w:trPr>
          <w:trHeight w:val="53"/>
        </w:trPr>
        <w:tc>
          <w:tcPr>
            <w:tcW w:w="6475" w:type="dxa"/>
            <w:tcBorders>
              <w:top w:val="nil"/>
              <w:left w:val="nil"/>
              <w:bottom w:val="nil"/>
              <w:right w:val="nil"/>
            </w:tcBorders>
            <w:shd w:val="clear" w:color="auto" w:fill="auto"/>
            <w:tcMar>
              <w:top w:w="15" w:type="dxa"/>
              <w:left w:w="15" w:type="dxa"/>
              <w:bottom w:w="0" w:type="dxa"/>
              <w:right w:w="15" w:type="dxa"/>
            </w:tcMar>
            <w:vAlign w:val="center"/>
          </w:tcPr>
          <w:p w14:paraId="7200EEF3" w14:textId="41D7883E" w:rsidR="004E02E9" w:rsidRPr="00FA6E8B" w:rsidRDefault="004E02E9" w:rsidP="004E02E9">
            <w:pPr>
              <w:jc w:val="both"/>
              <w:rPr>
                <w:sz w:val="20"/>
                <w:szCs w:val="20"/>
              </w:rPr>
            </w:pPr>
            <w:r w:rsidRPr="00FA6E8B">
              <w:rPr>
                <w:sz w:val="20"/>
                <w:szCs w:val="20"/>
              </w:rPr>
              <w:t>Програми за смекчаване на икономическите последици от нестабилността на цените на електрическата енергия и природния газ*</w:t>
            </w:r>
          </w:p>
        </w:tc>
        <w:tc>
          <w:tcPr>
            <w:tcW w:w="1428" w:type="dxa"/>
            <w:tcBorders>
              <w:top w:val="nil"/>
              <w:left w:val="nil"/>
              <w:bottom w:val="nil"/>
              <w:right w:val="nil"/>
            </w:tcBorders>
            <w:shd w:val="clear" w:color="auto" w:fill="auto"/>
            <w:noWrap/>
            <w:tcMar>
              <w:top w:w="15" w:type="dxa"/>
              <w:left w:w="15" w:type="dxa"/>
              <w:bottom w:w="0" w:type="dxa"/>
              <w:right w:w="15" w:type="dxa"/>
            </w:tcMar>
            <w:vAlign w:val="center"/>
          </w:tcPr>
          <w:p w14:paraId="28DBC56F" w14:textId="04927B82" w:rsidR="004E02E9" w:rsidRPr="00FA6E8B" w:rsidRDefault="004E02E9" w:rsidP="00882750">
            <w:pPr>
              <w:ind w:firstLine="708"/>
              <w:jc w:val="right"/>
              <w:rPr>
                <w:sz w:val="20"/>
                <w:szCs w:val="20"/>
              </w:rPr>
            </w:pPr>
            <w:r w:rsidRPr="00FA6E8B">
              <w:rPr>
                <w:sz w:val="20"/>
                <w:szCs w:val="20"/>
              </w:rPr>
              <w:t>-1 310,0</w:t>
            </w:r>
          </w:p>
        </w:tc>
        <w:tc>
          <w:tcPr>
            <w:tcW w:w="1590" w:type="dxa"/>
            <w:tcBorders>
              <w:top w:val="nil"/>
              <w:left w:val="nil"/>
              <w:bottom w:val="nil"/>
              <w:right w:val="nil"/>
            </w:tcBorders>
            <w:shd w:val="clear" w:color="auto" w:fill="auto"/>
            <w:noWrap/>
            <w:tcMar>
              <w:top w:w="15" w:type="dxa"/>
              <w:left w:w="15" w:type="dxa"/>
              <w:bottom w:w="0" w:type="dxa"/>
              <w:right w:w="15" w:type="dxa"/>
            </w:tcMar>
            <w:vAlign w:val="center"/>
          </w:tcPr>
          <w:p w14:paraId="1231EF32" w14:textId="49B36702" w:rsidR="004E02E9" w:rsidRPr="00FA6E8B" w:rsidRDefault="004E02E9" w:rsidP="00882750">
            <w:pPr>
              <w:ind w:firstLine="708"/>
              <w:jc w:val="right"/>
              <w:rPr>
                <w:sz w:val="20"/>
                <w:szCs w:val="20"/>
              </w:rPr>
            </w:pPr>
            <w:r w:rsidRPr="00FA6E8B">
              <w:rPr>
                <w:sz w:val="20"/>
                <w:szCs w:val="20"/>
              </w:rPr>
              <w:t xml:space="preserve"> 3 150,3</w:t>
            </w:r>
          </w:p>
        </w:tc>
      </w:tr>
      <w:tr w:rsidR="004E02E9" w:rsidRPr="00FA6E8B" w14:paraId="74207262" w14:textId="77777777" w:rsidTr="0092579B">
        <w:trPr>
          <w:trHeight w:val="328"/>
        </w:trPr>
        <w:tc>
          <w:tcPr>
            <w:tcW w:w="6475" w:type="dxa"/>
            <w:tcBorders>
              <w:top w:val="nil"/>
              <w:left w:val="nil"/>
              <w:bottom w:val="single" w:sz="4" w:space="0" w:color="auto"/>
              <w:right w:val="nil"/>
            </w:tcBorders>
            <w:shd w:val="clear" w:color="auto" w:fill="auto"/>
            <w:tcMar>
              <w:top w:w="15" w:type="dxa"/>
              <w:left w:w="15" w:type="dxa"/>
              <w:bottom w:w="0" w:type="dxa"/>
              <w:right w:w="15" w:type="dxa"/>
            </w:tcMar>
            <w:vAlign w:val="center"/>
          </w:tcPr>
          <w:p w14:paraId="69297095" w14:textId="0D34D0B0" w:rsidR="004E02E9" w:rsidRPr="00A73F7A" w:rsidRDefault="004E02E9" w:rsidP="004E02E9">
            <w:pPr>
              <w:jc w:val="both"/>
              <w:rPr>
                <w:sz w:val="20"/>
                <w:szCs w:val="20"/>
              </w:rPr>
            </w:pPr>
            <w:r w:rsidRPr="00FA6E8B">
              <w:rPr>
                <w:sz w:val="20"/>
                <w:szCs w:val="20"/>
              </w:rPr>
              <w:t xml:space="preserve">Допълнителни мерки през 2022 г., свързани с промяна на параметрите на пенсионната система (въведени с актуализацията на ЗДБРБ за 2022 г.) </w:t>
            </w:r>
          </w:p>
        </w:tc>
        <w:tc>
          <w:tcPr>
            <w:tcW w:w="1428" w:type="dxa"/>
            <w:tcBorders>
              <w:top w:val="nil"/>
              <w:left w:val="nil"/>
              <w:bottom w:val="single" w:sz="4" w:space="0" w:color="auto"/>
              <w:right w:val="nil"/>
            </w:tcBorders>
            <w:shd w:val="clear" w:color="auto" w:fill="auto"/>
            <w:noWrap/>
            <w:tcMar>
              <w:top w:w="15" w:type="dxa"/>
              <w:left w:w="15" w:type="dxa"/>
              <w:bottom w:w="0" w:type="dxa"/>
              <w:right w:w="15" w:type="dxa"/>
            </w:tcMar>
            <w:vAlign w:val="center"/>
          </w:tcPr>
          <w:p w14:paraId="75D0FC50" w14:textId="77777777" w:rsidR="004E02E9" w:rsidRPr="00CD1FB7" w:rsidRDefault="004E02E9" w:rsidP="00882750">
            <w:pPr>
              <w:ind w:firstLine="708"/>
              <w:jc w:val="right"/>
              <w:rPr>
                <w:sz w:val="20"/>
                <w:szCs w:val="20"/>
              </w:rPr>
            </w:pPr>
          </w:p>
        </w:tc>
        <w:tc>
          <w:tcPr>
            <w:tcW w:w="1590" w:type="dxa"/>
            <w:tcBorders>
              <w:top w:val="nil"/>
              <w:left w:val="nil"/>
              <w:bottom w:val="single" w:sz="4" w:space="0" w:color="auto"/>
              <w:right w:val="nil"/>
            </w:tcBorders>
            <w:shd w:val="clear" w:color="auto" w:fill="auto"/>
            <w:noWrap/>
            <w:tcMar>
              <w:top w:w="15" w:type="dxa"/>
              <w:left w:w="15" w:type="dxa"/>
              <w:bottom w:w="0" w:type="dxa"/>
              <w:right w:w="15" w:type="dxa"/>
            </w:tcMar>
            <w:vAlign w:val="center"/>
          </w:tcPr>
          <w:p w14:paraId="6D6C7063" w14:textId="3E369B66" w:rsidR="004E02E9" w:rsidRPr="00F539C9" w:rsidRDefault="004E02E9" w:rsidP="00882750">
            <w:pPr>
              <w:ind w:firstLine="708"/>
              <w:jc w:val="right"/>
              <w:rPr>
                <w:sz w:val="20"/>
                <w:szCs w:val="20"/>
              </w:rPr>
            </w:pPr>
            <w:r w:rsidRPr="001E5173">
              <w:rPr>
                <w:sz w:val="20"/>
                <w:szCs w:val="20"/>
              </w:rPr>
              <w:t>1 415,7</w:t>
            </w:r>
          </w:p>
        </w:tc>
      </w:tr>
    </w:tbl>
    <w:p w14:paraId="1BD11383" w14:textId="7012AC6E" w:rsidR="00CA249B" w:rsidRPr="00FA6E8B" w:rsidRDefault="00CA249B" w:rsidP="00CA249B">
      <w:pPr>
        <w:jc w:val="both"/>
        <w:rPr>
          <w:sz w:val="20"/>
          <w:szCs w:val="20"/>
        </w:rPr>
      </w:pPr>
      <w:r w:rsidRPr="00FA6E8B">
        <w:rPr>
          <w:sz w:val="20"/>
          <w:szCs w:val="20"/>
        </w:rPr>
        <w:t>*</w:t>
      </w:r>
      <w:r w:rsidR="004E02E9" w:rsidRPr="00FA6E8B">
        <w:rPr>
          <w:sz w:val="20"/>
          <w:szCs w:val="20"/>
        </w:rPr>
        <w:t>Сумата представлява ефект в разходите в резултат на изплатените средства за компенсиране високите цени на енергията от ФСЕС в изпълнение на §23 от ПЗР на ЗДБРБ за 2022 г. и програмите за компенсиране, действали до средата на 2022 г. Разпоредбата на §23 от ПЗР на ЗДБРБ за 2022 г. бе окончателно одобрена след като бе предложена от народни представители по реда на чл. 79 от Правилника за организацията и дейността на Народното събрание. В посочената сума не са включени платените компенсации от сметките за чужди</w:t>
      </w:r>
      <w:r w:rsidR="004E02E9" w:rsidRPr="00A73F7A">
        <w:rPr>
          <w:sz w:val="20"/>
          <w:szCs w:val="20"/>
        </w:rPr>
        <w:t xml:space="preserve"> средства, които са отчетени като разход по държавния бюджет през 2021 г. и преведени по сметка за чужди средства на МЕ. Общият размер на изплатените през 2022 г. средства за компенсиране високите цени на енергията в абсолютен размер са 4 460,3 млн. лв. </w:t>
      </w:r>
    </w:p>
    <w:p w14:paraId="3EE65072" w14:textId="77777777" w:rsidR="00CA249B" w:rsidRPr="00CA249B" w:rsidRDefault="00CA249B" w:rsidP="00CA249B">
      <w:pPr>
        <w:ind w:firstLine="567"/>
        <w:jc w:val="both"/>
        <w:rPr>
          <w:color w:val="262626"/>
          <w:lang w:eastAsia="ja-JP"/>
        </w:rPr>
      </w:pPr>
    </w:p>
    <w:p w14:paraId="24A906AC" w14:textId="77777777" w:rsidR="00CA249B" w:rsidRPr="00CA249B" w:rsidRDefault="00CA249B" w:rsidP="00CA249B">
      <w:pPr>
        <w:ind w:firstLine="567"/>
        <w:jc w:val="both"/>
        <w:rPr>
          <w:bCs/>
          <w:color w:val="262626"/>
        </w:rPr>
      </w:pPr>
      <w:r w:rsidRPr="00CA249B">
        <w:rPr>
          <w:color w:val="262626"/>
          <w:lang w:eastAsia="ja-JP"/>
        </w:rPr>
        <w:t>Отчетеният ефект върху разходите през 2022 г. от у</w:t>
      </w:r>
      <w:r w:rsidRPr="00CA249B">
        <w:rPr>
          <w:bCs/>
          <w:color w:val="262626"/>
        </w:rPr>
        <w:t>величение на минималния размер на пенсията за осигурителен стаж и възраст (по чл. 68, ал. 1 от КСО) от 300,00 на 370,00 лв., считано от 25 декември 2021 г., съгл. чл.10, т.2 от ЗБДОО за 2021 г</w:t>
      </w:r>
      <w:r w:rsidRPr="004D5FFC">
        <w:rPr>
          <w:bCs/>
          <w:color w:val="262626"/>
          <w:lang w:val="ru-RU"/>
        </w:rPr>
        <w:t xml:space="preserve">. </w:t>
      </w:r>
      <w:r w:rsidRPr="00CA249B">
        <w:rPr>
          <w:bCs/>
          <w:color w:val="262626"/>
        </w:rPr>
        <w:t>е 756,6 млн. лева.</w:t>
      </w:r>
    </w:p>
    <w:p w14:paraId="0371C57C" w14:textId="77777777" w:rsidR="00CA249B" w:rsidRPr="00CA249B" w:rsidRDefault="00CA249B" w:rsidP="00CA249B">
      <w:pPr>
        <w:ind w:firstLine="567"/>
        <w:jc w:val="both"/>
        <w:rPr>
          <w:bCs/>
          <w:color w:val="262626"/>
        </w:rPr>
      </w:pPr>
      <w:r w:rsidRPr="00CA249B">
        <w:rPr>
          <w:color w:val="262626"/>
          <w:lang w:eastAsia="ja-JP"/>
        </w:rPr>
        <w:t>Отчетеният ефект върху разходите през 2022 г. от у</w:t>
      </w:r>
      <w:r w:rsidRPr="00CA249B">
        <w:rPr>
          <w:bCs/>
          <w:color w:val="262626"/>
        </w:rPr>
        <w:t>величение на тежестта за година осигурителен стаж по чл. 70, ал. 1 от КСО от 1,2 на сто до 1,35 на сто, съгласно § 13 от ЗР на ЗИД на ЗБДОО за 2021 г. (изм. ДВ, бр. 77 от 2021 г.) е в размер на 683,0 млн. лева.</w:t>
      </w:r>
    </w:p>
    <w:p w14:paraId="3EB1E716" w14:textId="77777777" w:rsidR="00CA249B" w:rsidRPr="00CA249B" w:rsidRDefault="00CA249B" w:rsidP="00CA249B">
      <w:pPr>
        <w:ind w:firstLine="567"/>
        <w:jc w:val="both"/>
        <w:rPr>
          <w:bCs/>
          <w:color w:val="262626"/>
        </w:rPr>
      </w:pPr>
      <w:r w:rsidRPr="00CA249B">
        <w:rPr>
          <w:color w:val="262626"/>
          <w:lang w:eastAsia="ja-JP"/>
        </w:rPr>
        <w:t xml:space="preserve">Отчетеният ефект върху разходите за 2022 г. от въвеждането на ТОЛ такса, съгласно </w:t>
      </w:r>
      <w:r w:rsidRPr="00CA249B">
        <w:rPr>
          <w:bCs/>
          <w:color w:val="262626"/>
        </w:rPr>
        <w:t>чл. 10, ал. 1, т. 2 от Закона за пътищата за издръжка и придобиване на дълготрайни материални активи е в размер на 151,7 млн. лева.</w:t>
      </w:r>
    </w:p>
    <w:p w14:paraId="49FB03F1" w14:textId="77777777" w:rsidR="00CA249B" w:rsidRPr="00CA249B" w:rsidRDefault="00CA249B" w:rsidP="00CA249B">
      <w:pPr>
        <w:ind w:firstLine="567"/>
        <w:jc w:val="both"/>
        <w:rPr>
          <w:color w:val="262626"/>
          <w:lang w:eastAsia="ja-JP"/>
        </w:rPr>
      </w:pPr>
      <w:r w:rsidRPr="00CA249B">
        <w:rPr>
          <w:color w:val="262626"/>
          <w:lang w:eastAsia="ja-JP"/>
        </w:rPr>
        <w:t>Увеличението на заплатите на педагогическия персонал през 2022 г. беше предвидено да доведе до допълнителни разходи за бюджета от 239,5 млн. лв. Ефектът върху разходите за 2022 г. е в размер на 239,5 млн. лева. Средствата са разпределени и предоставени по бюджетите на съответните ПРБ въз основа на натуралните и стойностните показатели за финансиране на делегираните от държавата дейности по функция „Образование“.</w:t>
      </w:r>
    </w:p>
    <w:p w14:paraId="3DD3234C" w14:textId="77777777" w:rsidR="00CA249B" w:rsidRPr="00CA249B" w:rsidRDefault="00CA249B" w:rsidP="00CA249B">
      <w:pPr>
        <w:ind w:firstLine="567"/>
        <w:jc w:val="both"/>
        <w:rPr>
          <w:bCs/>
          <w:color w:val="262626"/>
        </w:rPr>
      </w:pPr>
      <w:r w:rsidRPr="00CA249B">
        <w:rPr>
          <w:bCs/>
          <w:color w:val="262626"/>
        </w:rPr>
        <w:t>За 2022 г. ефектът от ръста на МРЗ на 710 лв. от 01.04.2022 г</w:t>
      </w:r>
      <w:r w:rsidRPr="00CA249B">
        <w:rPr>
          <w:bCs/>
          <w:color w:val="FF0000"/>
        </w:rPr>
        <w:t xml:space="preserve"> </w:t>
      </w:r>
      <w:r w:rsidRPr="00CA249B">
        <w:rPr>
          <w:bCs/>
          <w:color w:val="262626"/>
        </w:rPr>
        <w:t>при определяне  на часовата ставка за положен труд за изчисляване на възнагражденията на личните асистенти по ЗЛП и възнагражденията на приемните семейства по ЗЗД е 223,5 млн. лева.</w:t>
      </w:r>
    </w:p>
    <w:p w14:paraId="67FDDFEA" w14:textId="77777777" w:rsidR="00CA249B" w:rsidRPr="00CA249B" w:rsidRDefault="00CA249B" w:rsidP="00273FBE">
      <w:pPr>
        <w:ind w:firstLine="709"/>
        <w:jc w:val="both"/>
        <w:rPr>
          <w:bCs/>
          <w:color w:val="262626"/>
        </w:rPr>
      </w:pPr>
      <w:r w:rsidRPr="00CA249B">
        <w:rPr>
          <w:color w:val="262626"/>
          <w:lang w:eastAsia="ja-JP"/>
        </w:rPr>
        <w:t>Нарастването на минималната работна заплата от 650 на 710 лева месечно от 1 април 2022 г. се очакваше да повиши разходите със 136,0 млн. лв. за 2022 г. Отчетеният бюджетен ефект е 133,3 млн. лева.</w:t>
      </w:r>
    </w:p>
    <w:p w14:paraId="118414E3" w14:textId="58740C62" w:rsidR="00CA249B" w:rsidRPr="00CA249B" w:rsidRDefault="00CA249B" w:rsidP="00CA249B">
      <w:pPr>
        <w:ind w:firstLine="567"/>
        <w:jc w:val="both"/>
        <w:rPr>
          <w:bCs/>
          <w:color w:val="262626"/>
          <w:lang w:eastAsia="ja-JP"/>
        </w:rPr>
      </w:pPr>
      <w:r w:rsidRPr="00CA249B">
        <w:rPr>
          <w:bCs/>
          <w:color w:val="262626"/>
        </w:rPr>
        <w:t xml:space="preserve">Отчетеният кумулативен ефект върху размера на трансферите за здравно осигуряване от увеличаване на частта от осигурителния доход, върху който държавата внася здравни вноски за лицата, осигурявани за сметка на държавния бюджет с 5 на сто  и от вдигането на размера на мин. осигурителен доход до увеличения размер на МРЗ е в размер на 120,3 млн. лв. </w:t>
      </w:r>
      <w:r w:rsidRPr="00CA249B">
        <w:rPr>
          <w:bCs/>
          <w:color w:val="262626"/>
          <w:lang w:eastAsia="ja-JP"/>
        </w:rPr>
        <w:t>Във връзка с предоставяне на временна закрила на разселени лица от Украйна беше разширен обхвата на лицата, осигурявани за сметка на държавния бюджет (ПМС №69 от 05.05.2022</w:t>
      </w:r>
      <w:r w:rsidR="00BC5B4D">
        <w:rPr>
          <w:bCs/>
          <w:color w:val="262626"/>
          <w:lang w:eastAsia="ja-JP"/>
        </w:rPr>
        <w:t xml:space="preserve"> </w:t>
      </w:r>
      <w:r w:rsidRPr="00CA249B">
        <w:rPr>
          <w:bCs/>
          <w:color w:val="262626"/>
          <w:lang w:eastAsia="ja-JP"/>
        </w:rPr>
        <w:t>г.), съответно бяха увеличени трансферите за здравно осигуряване за периода от една година, считано от 24.02.2022 г. През 2022 г. отчетеният ефект върху трансферите за здравно осигуряване е 6,8 млн. лв., който е добавен към ефекта от другата мярка.</w:t>
      </w:r>
    </w:p>
    <w:p w14:paraId="13220C21" w14:textId="77777777" w:rsidR="00CA249B" w:rsidRPr="00CA249B" w:rsidRDefault="00CA249B" w:rsidP="00CA249B">
      <w:pPr>
        <w:ind w:firstLine="567"/>
        <w:jc w:val="both"/>
        <w:rPr>
          <w:color w:val="262626"/>
          <w:lang w:eastAsia="ja-JP"/>
        </w:rPr>
      </w:pPr>
      <w:r w:rsidRPr="00CA249B">
        <w:rPr>
          <w:color w:val="262626"/>
          <w:lang w:eastAsia="ja-JP"/>
        </w:rPr>
        <w:t>Отпадането на таксите за детски градини и ясли и поемането на издръжката на детските градини и ясли като държавна отговорност беше предвидено да доведе до допълнителни разходи от 98,1 млн. лв. през 2022 г. Средствата, предвидени по тази мярка, са предоставени по бюджетите на общините, като са разпределени чрез норматив за издръжка на дете в общинска детска ясла, респ. детска градина или училище, включващ и компенсиране отпадането на съответните такси по Закона за местните данъци и такси и общия брой на децата в съответните институции.</w:t>
      </w:r>
    </w:p>
    <w:p w14:paraId="1C38024A" w14:textId="77777777" w:rsidR="00CA249B" w:rsidRPr="00CA249B" w:rsidRDefault="00CA249B" w:rsidP="00CA249B">
      <w:pPr>
        <w:ind w:firstLine="709"/>
        <w:jc w:val="both"/>
        <w:rPr>
          <w:bCs/>
          <w:color w:val="262626"/>
        </w:rPr>
      </w:pPr>
      <w:r w:rsidRPr="00CA249B">
        <w:rPr>
          <w:bCs/>
          <w:color w:val="262626"/>
        </w:rPr>
        <w:t>Отчетеният ефект от увеличаване на размера на паричното обезщетение за отглеждане на малко дете от 380 лв. до 650 лв., считано от 1 октомври 2021 г., съгласно ЗИД на ЗБДОО за 2021 г. е 97,0 млн. лв., като към него е добавен е</w:t>
      </w:r>
      <w:r w:rsidRPr="00CA249B">
        <w:rPr>
          <w:color w:val="262626"/>
          <w:lang w:eastAsia="ja-JP"/>
        </w:rPr>
        <w:t>фектът от у</w:t>
      </w:r>
      <w:r w:rsidRPr="00CA249B">
        <w:rPr>
          <w:bCs/>
          <w:color w:val="262626"/>
        </w:rPr>
        <w:t>величението на размера на паричното обезщетение за отглеждане на малко дете от 650 лв. до 710 лв., считано от 1 април 2022 г. е в размер на 22,2 млн. лева.</w:t>
      </w:r>
    </w:p>
    <w:p w14:paraId="2BBCA27B" w14:textId="77777777" w:rsidR="00CA249B" w:rsidRPr="00CA249B" w:rsidRDefault="00CA249B" w:rsidP="00CA249B">
      <w:pPr>
        <w:ind w:firstLine="709"/>
        <w:jc w:val="both"/>
        <w:rPr>
          <w:bCs/>
          <w:color w:val="262626"/>
        </w:rPr>
      </w:pPr>
      <w:r w:rsidRPr="00CA249B">
        <w:rPr>
          <w:bCs/>
          <w:color w:val="262626"/>
        </w:rPr>
        <w:t>Отчетеният кумулативен ефект от промяната на средномесечния доход на член от семейството по чл. 4 и чл. 4а от Закона за семейни помощи за деца и промяната в размерите на месечните помощи за отглеждане на дете по чл. 7, ал. 1 от Закона за семейни помощи за деца е 90,0 млн. лева.</w:t>
      </w:r>
    </w:p>
    <w:p w14:paraId="7EB21B1A" w14:textId="77777777" w:rsidR="00CA249B" w:rsidRPr="00CA249B" w:rsidRDefault="00CA249B" w:rsidP="00CA249B">
      <w:pPr>
        <w:ind w:firstLine="708"/>
        <w:jc w:val="both"/>
        <w:rPr>
          <w:bCs/>
          <w:color w:val="262626"/>
        </w:rPr>
      </w:pPr>
      <w:r w:rsidRPr="00CA249B">
        <w:rPr>
          <w:bCs/>
          <w:color w:val="262626"/>
        </w:rPr>
        <w:t>Отчетеният ефект от увеличението на линията на бедност при определяне на финансовата подкрепа по ЗХУ през 2022 г. е 50,7 млн. лева. Ефектът през 2022 г. от поетапно нарастване на индивидуалните коефициенти на месечните помощи по ЗСП в размер не по-малко от 30 на сто от линията на бедност е 6,6 млн. лева.</w:t>
      </w:r>
    </w:p>
    <w:p w14:paraId="11C6AD28" w14:textId="77777777" w:rsidR="00CA249B" w:rsidRPr="00CA249B" w:rsidRDefault="00CA249B" w:rsidP="00CA249B">
      <w:pPr>
        <w:ind w:firstLine="708"/>
        <w:jc w:val="both"/>
        <w:rPr>
          <w:bCs/>
          <w:color w:val="262626"/>
        </w:rPr>
      </w:pPr>
      <w:r w:rsidRPr="00CA249B">
        <w:rPr>
          <w:bCs/>
          <w:color w:val="262626"/>
          <w:lang w:eastAsia="ja-JP"/>
        </w:rPr>
        <w:t xml:space="preserve">Лица, на които е отпусната пенсия за осигурителен стаж и възраст до 31.12.2020 г. вкл., с намален индивидуален коефициент, в срок до 30.06.2021 г. можеха да поискат преизчисляването й в пълен размер, ако прехвърлят средствата от индивидуалната си партида в УПФ във фонд "Пенсии", съответно фонд "Пенсии за лица по чл.69" на ДОО, като ефектът от това през 2022 г. е 1,5 млн. лева. </w:t>
      </w:r>
      <w:r w:rsidRPr="00CA249B">
        <w:rPr>
          <w:bCs/>
          <w:color w:val="262626"/>
        </w:rPr>
        <w:t>Преизчисляването на пенсиите с намален индивидуален коефициент съгласно § 7д от ПЗР на КСО, в сила от 1 септември 2021 г., създаден с § 8, т. 17,  буква б) от ПЗР на ЗБДОО за 2021 г.  е с разходен ефект от 48,0 млн. лева.</w:t>
      </w:r>
    </w:p>
    <w:p w14:paraId="0DEDA2FD" w14:textId="77777777" w:rsidR="00CA249B" w:rsidRPr="00CA249B" w:rsidRDefault="00CA249B" w:rsidP="00CA249B">
      <w:pPr>
        <w:ind w:firstLine="567"/>
        <w:jc w:val="both"/>
        <w:rPr>
          <w:b/>
          <w:color w:val="0070C0"/>
        </w:rPr>
      </w:pPr>
      <w:r w:rsidRPr="00CA249B">
        <w:rPr>
          <w:bCs/>
          <w:color w:val="262626"/>
        </w:rPr>
        <w:t xml:space="preserve">Ефектът от увеличението на максималния осигурителен доход от 3 000 на </w:t>
      </w:r>
      <w:r w:rsidRPr="00CA249B">
        <w:rPr>
          <w:bCs/>
          <w:color w:val="262626"/>
        </w:rPr>
        <w:br/>
        <w:t>3 400 лв. от 01.04.2022 г. е в размер на 32,6 млн. лева.</w:t>
      </w:r>
    </w:p>
    <w:p w14:paraId="70927403" w14:textId="77777777" w:rsidR="00CA249B" w:rsidRPr="00CA249B" w:rsidRDefault="00CA249B" w:rsidP="00CA249B">
      <w:pPr>
        <w:ind w:firstLine="567"/>
        <w:jc w:val="both"/>
        <w:rPr>
          <w:bCs/>
          <w:color w:val="262626"/>
        </w:rPr>
      </w:pPr>
      <w:r w:rsidRPr="00CA249B">
        <w:rPr>
          <w:bCs/>
          <w:color w:val="262626"/>
        </w:rPr>
        <w:t>Разходният ефект от изчисляване по нов начин на индивидуалния коефициент за пенсиите за трудова дейност, отпуснати след 31 август 2021 г., на основание изменения в ал. 10 на чл. 70 от КСО и нова ал. 19 на чл. 70 от КСО (измененията и допълненията в КСО са въведени с § 8, т. 6,  букви а) и б) от ПЗР на ЗБДОО за 2021 г.) е в размер на 35,0 млн. лева.</w:t>
      </w:r>
    </w:p>
    <w:p w14:paraId="3D798875" w14:textId="77777777" w:rsidR="00CA249B" w:rsidRPr="00CA249B" w:rsidRDefault="00CA249B" w:rsidP="00CA249B">
      <w:pPr>
        <w:ind w:firstLine="567"/>
        <w:jc w:val="both"/>
      </w:pPr>
      <w:r w:rsidRPr="00CA249B">
        <w:rPr>
          <w:bCs/>
        </w:rPr>
        <w:t>Отчетеният ефект от увеличение на размера социалната пенсия за старост от 148,71 лв. на 170 лв., считано от 25 декември 2021 г. през изминалата година е в размер на 31,6 млн. лева.</w:t>
      </w:r>
    </w:p>
    <w:p w14:paraId="7A74C399" w14:textId="77777777" w:rsidR="00CA249B" w:rsidRPr="00CA249B" w:rsidRDefault="00CA249B" w:rsidP="00CA249B">
      <w:pPr>
        <w:ind w:firstLine="567"/>
        <w:jc w:val="both"/>
        <w:rPr>
          <w:b/>
          <w:color w:val="0070C0"/>
        </w:rPr>
      </w:pPr>
      <w:r w:rsidRPr="00CA249B">
        <w:rPr>
          <w:bCs/>
          <w:color w:val="262626"/>
        </w:rPr>
        <w:t>Увеличение на максималния размер на получаваните една или повече пенсии от 1 440,00 на 1 500,00 лв., считано от 25 декември 2021 г., съгл.§ 7 от ЗР на ЗБДОО за 2021 г. през 2022 г. е с ефект от 30,5 млн. лева.</w:t>
      </w:r>
    </w:p>
    <w:p w14:paraId="6C80AF47" w14:textId="77777777" w:rsidR="00CA249B" w:rsidRPr="00CA249B" w:rsidRDefault="00CA249B" w:rsidP="00CA249B">
      <w:pPr>
        <w:ind w:firstLine="708"/>
        <w:jc w:val="both"/>
        <w:rPr>
          <w:bCs/>
          <w:color w:val="262626"/>
        </w:rPr>
      </w:pPr>
      <w:r w:rsidRPr="00CA249B">
        <w:rPr>
          <w:bCs/>
          <w:color w:val="262626"/>
        </w:rPr>
        <w:t>Разширяването на достъпа и обхващането в задължителното предучилищно образование на децата, навършили 4-годишна възраст през 2022 г. е с ефект от 0,7 млн. лева.</w:t>
      </w:r>
    </w:p>
    <w:p w14:paraId="1FD129CF" w14:textId="77777777" w:rsidR="00CA249B" w:rsidRPr="00CA249B" w:rsidRDefault="00CA249B" w:rsidP="00CA249B">
      <w:pPr>
        <w:ind w:firstLine="708"/>
        <w:jc w:val="both"/>
        <w:rPr>
          <w:bCs/>
          <w:color w:val="262626"/>
        </w:rPr>
      </w:pPr>
      <w:r w:rsidRPr="00CA249B">
        <w:rPr>
          <w:bCs/>
          <w:color w:val="262626"/>
        </w:rPr>
        <w:t>Увеличението на размера на социалната пенсия за инвалидност за лицата с трайно намалена работоспособност/вид и степен на увреждане от 71 до 90 на сто (от 110 % от социалната пенсия за старост на 125 %) и за лицата с трайно намалена работоспособност/вид и степен на увреждане над 90 на сто (от 120% от социалната пенсия за старост на 135 %), считано от 16.09.2021 г., съгл. §11, т.1 от ЗР на ЗИД на ЗДБРБ за 2021 г., с който се изменя чл. 90а, ал.2 от КСО е с отчетен ефект 23,2 млн. лева. Ефект от 8,8 млн. лв. от увеличението на размера на социалната пенсия за инвалидност има и за лицата с трайно намалена работоспособност/вид и степен на увреждане считано от 01.04.2022 г., съгл. § 9, т. 3 от ПЗР на ЗБДОО за 2022 г., с който се изменя чл. 90а, ал. 2 от КСО и се въвежда нова диференциация на групите лица за лица с трайно намалена работоспособност/вид и степен на увреждане както следва: при намалена работоспособност/вид и степен на увреждане от 100 на сто с определена чужда помощ – размерът на пенсията се определя на 160 на сто (от 135 на сто) от социалната пенсия за старост; при намалена работоспособност/вид и степен на увреждане от 91 на сто до 100 на сто размерът на пенсията е 140 на сто  (от 135 на сто) от социалната пенсия за старост; и при намалена работоспособност/вид и степен на увреждане от 71 на сто до 90 на сто размерът на пенсията е 130 на сто (от 125 на сто) от социалната пенсия за старост.</w:t>
      </w:r>
    </w:p>
    <w:p w14:paraId="363DBD25" w14:textId="77777777" w:rsidR="00CA249B" w:rsidRPr="00CA249B" w:rsidRDefault="00CA249B" w:rsidP="00CA249B">
      <w:pPr>
        <w:ind w:firstLine="567"/>
        <w:jc w:val="both"/>
        <w:rPr>
          <w:bCs/>
          <w:color w:val="262626"/>
        </w:rPr>
      </w:pPr>
      <w:r w:rsidRPr="00CA249B">
        <w:rPr>
          <w:bCs/>
          <w:color w:val="262626"/>
        </w:rPr>
        <w:t>Ефектът от увеличението на минималния дневен размер на паричното обезщетение за безработица от 12 на 18 лв., считано от 1 април 2022 г. е в размер на 23,3 млн. лева.</w:t>
      </w:r>
    </w:p>
    <w:p w14:paraId="798E1133" w14:textId="77777777" w:rsidR="00CA249B" w:rsidRPr="00CA249B" w:rsidRDefault="00CA249B" w:rsidP="00CA249B">
      <w:pPr>
        <w:ind w:firstLine="567"/>
        <w:jc w:val="both"/>
        <w:rPr>
          <w:color w:val="0070C0"/>
        </w:rPr>
      </w:pPr>
      <w:r w:rsidRPr="00CA249B">
        <w:rPr>
          <w:bCs/>
          <w:color w:val="262626"/>
        </w:rPr>
        <w:t>Увеличението на максималния дневен размер на паричното обезщетение за безработица от 74.29 на 85.71 лв., считано от 1 април 2022 г. е с бюджетен ефект през годината от 15,5 млн. лева.</w:t>
      </w:r>
    </w:p>
    <w:p w14:paraId="5A36CCC8" w14:textId="77777777" w:rsidR="00CA249B" w:rsidRPr="00CA249B" w:rsidRDefault="00CA249B" w:rsidP="00CA249B">
      <w:pPr>
        <w:ind w:firstLine="567"/>
        <w:jc w:val="both"/>
        <w:rPr>
          <w:color w:val="000000"/>
        </w:rPr>
      </w:pPr>
      <w:r w:rsidRPr="00CA249B">
        <w:t>Мярката „</w:t>
      </w:r>
      <w:r w:rsidRPr="00CA249B">
        <w:rPr>
          <w:color w:val="000000"/>
        </w:rPr>
        <w:t>Целева помощ за безвъзмездна преводаческа услуга за глухи и сляпо-глухи“ не е прилагана през годината и съответно ефектът от нея е нулев.</w:t>
      </w:r>
    </w:p>
    <w:p w14:paraId="035B0D38" w14:textId="77777777" w:rsidR="00CA249B" w:rsidRPr="00CA249B" w:rsidRDefault="00CA249B" w:rsidP="00CA249B">
      <w:pPr>
        <w:ind w:firstLine="567"/>
        <w:jc w:val="both"/>
        <w:rPr>
          <w:bCs/>
          <w:color w:val="262626"/>
        </w:rPr>
      </w:pPr>
      <w:r w:rsidRPr="00CA249B">
        <w:rPr>
          <w:bCs/>
          <w:color w:val="262626"/>
        </w:rPr>
        <w:t>Отчетеният ефект от разширяване на политика за създаване и разпространение на български филми и кино продукции с българско участие и нови схеми за държавна помощ за възстановяване на разходи за производство на филми и за производство на телевизионни сериали, във връзка с промени в чл. 17 и чл. 26 от Закона за филмовата индустрия е (-8,0) млн. лева.</w:t>
      </w:r>
    </w:p>
    <w:p w14:paraId="5716DAC9" w14:textId="77777777" w:rsidR="00CA249B" w:rsidRPr="0062295E" w:rsidRDefault="00CA249B" w:rsidP="00273FBE">
      <w:pPr>
        <w:ind w:firstLine="567"/>
        <w:jc w:val="both"/>
        <w:rPr>
          <w:b/>
          <w:color w:val="000000"/>
        </w:rPr>
      </w:pPr>
      <w:r w:rsidRPr="00CA249B">
        <w:rPr>
          <w:color w:val="212121"/>
          <w:lang w:eastAsia="ja-JP"/>
        </w:rPr>
        <w:t xml:space="preserve">Налице са и обстоятелства, водещи до намаление на разходите за пенсии през 2022 г. </w:t>
      </w:r>
      <w:r w:rsidRPr="00CA249B">
        <w:rPr>
          <w:color w:val="262626"/>
          <w:lang w:eastAsia="ja-JP"/>
        </w:rPr>
        <w:t>Отчетеният разходен ефект от у</w:t>
      </w:r>
      <w:r w:rsidRPr="00CA249B">
        <w:rPr>
          <w:bCs/>
          <w:color w:val="262626"/>
        </w:rPr>
        <w:t xml:space="preserve">величението на изискуемите възраст и стаж за придобиване на право на пенсия за осигурителен стаж и възраст - по чл. 68, 68а, 69, 69а, 69б от КСО е на </w:t>
      </w:r>
      <w:r w:rsidRPr="0062295E">
        <w:rPr>
          <w:bCs/>
          <w:color w:val="262626"/>
        </w:rPr>
        <w:t>нивото на планирания ефект – намаление от  30,0 млн. лева.</w:t>
      </w:r>
    </w:p>
    <w:p w14:paraId="22D428C3" w14:textId="546AF6BC" w:rsidR="00CA249B" w:rsidRPr="0062295E" w:rsidRDefault="007074EB" w:rsidP="00273FBE">
      <w:pPr>
        <w:ind w:firstLine="567"/>
        <w:jc w:val="both"/>
        <w:rPr>
          <w:color w:val="000000"/>
        </w:rPr>
      </w:pPr>
      <w:r w:rsidRPr="0062295E">
        <w:rPr>
          <w:color w:val="000000"/>
        </w:rPr>
        <w:t xml:space="preserve">За изпълнение на програмите за компенсиране високите цени на енергията, в т.ч. програмите за компенсиране на небитови крайни клиенти на електрическа енергия, за компенсиране на разходите за операторите на електропреносната и на електроразпределителните мрежи и програми, засягащи допълнителни групи потребители, бяха предвидени допълнителни разходи по бюджета за 2021 г. в размер на 1 310 млн. лева. Продължаването на тенденцията с високите цени на ел. енергията и през 2022 г. доведе до необходимостта от запазване и разширяването на съществуващите програми за компенсация на небитовите крайни клиенти, както и до одобрението на програми, засягащи допълнителни групи потребители. Финансирането на програмите до средата на годината бе осигурено от сметката за чужди средства на Министерството на енергетиката </w:t>
      </w:r>
      <w:r w:rsidRPr="0062295E">
        <w:t>и приходите на фонд СЕС за компенсиране високите цени на енергията съгласно решенията на Комисията за енергийно и водно регулиране</w:t>
      </w:r>
      <w:r w:rsidRPr="0062295E">
        <w:rPr>
          <w:color w:val="000000"/>
        </w:rPr>
        <w:t xml:space="preserve">. </w:t>
      </w:r>
      <w:r w:rsidRPr="0062295E">
        <w:rPr>
          <w:color w:val="000000"/>
          <w:lang w:eastAsia="ja-JP"/>
        </w:rPr>
        <w:t xml:space="preserve">Със Закона за изменение и допълнение на ЗДБРБ за 2022 г. (ДВ, бр. 52 от 05.07.2022 г.) беше регламентиран нов механизъм за финансиране на компенсации на високите цени на енергията, в т.ч. за небитовите крайни клиенти на електрическа енергия чрез бюджета на ФСЕС, като източник на средствата бяха целеви вноски от държавните предприятия със 100 % държавно участие в капитала </w:t>
      </w:r>
      <w:r w:rsidRPr="0062295E">
        <w:t>(§23 и §24 от ПЗР на ЗДБРБ за 2022 г.).</w:t>
      </w:r>
      <w:r w:rsidRPr="0062295E">
        <w:rPr>
          <w:color w:val="000000"/>
          <w:lang w:eastAsia="ja-JP"/>
        </w:rPr>
        <w:t xml:space="preserve"> </w:t>
      </w:r>
      <w:r w:rsidRPr="0062295E">
        <w:rPr>
          <w:color w:val="262626"/>
          <w:lang w:eastAsia="ja-JP"/>
        </w:rPr>
        <w:t>По предварителен отчет изразходваните средства при прилагането на програмите за компенсиране на високите цени на енергията през 2022 г. са в размер на 4 460,3</w:t>
      </w:r>
      <w:r w:rsidRPr="0062295E">
        <w:rPr>
          <w:bCs/>
          <w:color w:val="262626"/>
          <w:lang w:eastAsia="ja-JP"/>
        </w:rPr>
        <w:t xml:space="preserve"> млн. лв</w:t>
      </w:r>
      <w:r w:rsidRPr="0062295E">
        <w:rPr>
          <w:color w:val="000000"/>
        </w:rPr>
        <w:t>. Сумата е изплатена от ФСЕС и включва изразходваните средства в изпълнение на §23 от ПЗР на ЗДБРБ за 2022 г., както и средствата по програмите за компенсиране, действали до средата на 2022 г. В посочената сума не са включени платените средства от сметката за чужди средства на МЕ, които са отчетени като разход по държавния бюджет през 2021 година</w:t>
      </w:r>
      <w:r w:rsidR="00CA249B" w:rsidRPr="0062295E">
        <w:rPr>
          <w:color w:val="000000"/>
        </w:rPr>
        <w:t>.</w:t>
      </w:r>
    </w:p>
    <w:p w14:paraId="402C8F37" w14:textId="77777777" w:rsidR="00CA249B" w:rsidRPr="00CA249B" w:rsidRDefault="00CA249B" w:rsidP="00CA249B">
      <w:pPr>
        <w:shd w:val="clear" w:color="auto" w:fill="FFFFFF"/>
        <w:ind w:firstLine="426"/>
        <w:jc w:val="both"/>
        <w:rPr>
          <w:b/>
          <w:color w:val="0070C0"/>
        </w:rPr>
      </w:pPr>
      <w:r w:rsidRPr="00CA249B">
        <w:rPr>
          <w:color w:val="212121"/>
          <w:lang w:eastAsia="ja-JP"/>
        </w:rPr>
        <w:t>Със ЗИД на ЗБДОО за 2022 г. се предложи цялостен пакет от мерки, насочени към подобряване адекватността на пенсиите, изплащани от ДОО и от Учителския пенсионен фонд.</w:t>
      </w:r>
      <w:r w:rsidRPr="004D5FFC">
        <w:rPr>
          <w:color w:val="212121"/>
          <w:lang w:val="ru-RU" w:eastAsia="ja-JP"/>
        </w:rPr>
        <w:t xml:space="preserve"> </w:t>
      </w:r>
      <w:r w:rsidRPr="00CA249B">
        <w:rPr>
          <w:color w:val="212121"/>
          <w:lang w:eastAsia="ja-JP"/>
        </w:rPr>
        <w:t>Като </w:t>
      </w:r>
      <w:r w:rsidRPr="00CA249B">
        <w:rPr>
          <w:b/>
          <w:bCs/>
          <w:color w:val="212121"/>
          <w:lang w:eastAsia="ja-JP"/>
        </w:rPr>
        <w:t>първа стъпка</w:t>
      </w:r>
      <w:r w:rsidRPr="00CA249B">
        <w:rPr>
          <w:color w:val="212121"/>
          <w:lang w:eastAsia="ja-JP"/>
        </w:rPr>
        <w:t> за реализиране на заложените цели се прие от началото на месец юли 2022 г., всички пенсионери с лична пенсия за трудова дейност да получават доход от пенсия, не по-малък от дохода от пенсии, добавки и допълнителни суми, изплащан от държавното обществено осигуряване към 30 юни 2022 г., като заедно с това се приложи и по-висок от първоначално заложения коефициент за осъвременяване на пенсиите – 10 %, а максималният размер на получаваните една или повече пенсии се увеличи от 1500 лв. на 2000 лв. Общият ефект от това увеличение е 1 133,7 млн. лева.</w:t>
      </w:r>
      <w:r w:rsidRPr="00CA249B">
        <w:rPr>
          <w:b/>
          <w:bCs/>
          <w:color w:val="212121"/>
          <w:lang w:eastAsia="ja-JP"/>
        </w:rPr>
        <w:t xml:space="preserve"> Втората стъпка</w:t>
      </w:r>
      <w:r w:rsidRPr="00CA249B">
        <w:rPr>
          <w:color w:val="212121"/>
          <w:lang w:eastAsia="ja-JP"/>
        </w:rPr>
        <w:t xml:space="preserve">, заложена в ЗИД на ЗБДОО за 2022 г. за подобряване на адекватността на пенсиите е прилагането от началото на месец октомври 2022 г. на допълнителен механизъм за преизчисление на пенсиите, вкл. увеличение на максималния размер на получаваните една или повече пенсии на 3 400 лв. Допълнителният ефект от това увеличение е </w:t>
      </w:r>
      <w:r w:rsidRPr="00CA249B">
        <w:rPr>
          <w:bCs/>
          <w:color w:val="212121"/>
          <w:lang w:eastAsia="ja-JP"/>
        </w:rPr>
        <w:t>282 млн. лева.</w:t>
      </w:r>
    </w:p>
    <w:p w14:paraId="2A099D47" w14:textId="1987F219" w:rsidR="00454F7D" w:rsidRPr="00FA551A" w:rsidRDefault="00454F7D" w:rsidP="00BD39E0">
      <w:pPr>
        <w:pStyle w:val="Heading3"/>
        <w:numPr>
          <w:ilvl w:val="1"/>
          <w:numId w:val="44"/>
        </w:numPr>
        <w:rPr>
          <w:rFonts w:ascii="Times New Roman" w:hAnsi="Times New Roman"/>
          <w:sz w:val="24"/>
          <w:lang w:val="bg-BG"/>
        </w:rPr>
      </w:pPr>
      <w:bookmarkStart w:id="74" w:name="_Toc146037885"/>
      <w:r w:rsidRPr="00FA551A">
        <w:rPr>
          <w:rFonts w:ascii="Times New Roman" w:hAnsi="Times New Roman"/>
          <w:sz w:val="24"/>
          <w:lang w:val="bg-BG"/>
        </w:rPr>
        <w:t>Промени в данъчното облагане през 20</w:t>
      </w:r>
      <w:r w:rsidR="00ED37B5" w:rsidRPr="00FA551A">
        <w:rPr>
          <w:rFonts w:ascii="Times New Roman" w:hAnsi="Times New Roman"/>
          <w:sz w:val="24"/>
          <w:lang w:val="bg-BG"/>
        </w:rPr>
        <w:t>2</w:t>
      </w:r>
      <w:r w:rsidR="00FA551A">
        <w:rPr>
          <w:rFonts w:ascii="Times New Roman" w:hAnsi="Times New Roman"/>
          <w:sz w:val="24"/>
          <w:lang w:val="bg-BG"/>
        </w:rPr>
        <w:t>2</w:t>
      </w:r>
      <w:r w:rsidRPr="00FA551A">
        <w:rPr>
          <w:rFonts w:ascii="Times New Roman" w:hAnsi="Times New Roman"/>
          <w:sz w:val="24"/>
          <w:lang w:val="bg-BG"/>
        </w:rPr>
        <w:t xml:space="preserve"> г.</w:t>
      </w:r>
      <w:bookmarkEnd w:id="49"/>
      <w:bookmarkEnd w:id="74"/>
    </w:p>
    <w:p w14:paraId="524C2BED" w14:textId="77777777" w:rsidR="003F6A04" w:rsidRPr="003F6A04" w:rsidRDefault="003F6A04" w:rsidP="00EA53F3">
      <w:pPr>
        <w:ind w:firstLine="709"/>
        <w:jc w:val="both"/>
      </w:pPr>
      <w:r w:rsidRPr="003F6A04">
        <w:t xml:space="preserve">Приетите изменения в данъчното законодателство за 2022 г. са свързани с реализиране на мерки за оптимизиране на контролната дейност на приходните администрации и подобряване на събираемостта, намаляване на административната тежест и разходите за бизнеса и гражданите. С промените се извършва привеждане на разпоредбите на националното законодателство в съответствие с европейски директиви и с решения на Съда на Европейския съюз. Направено е прецизиране в нормативната уредба във връзка с възникнали несъответствия при единното тълкуване и практическото прилагане на данъчните закони. </w:t>
      </w:r>
    </w:p>
    <w:p w14:paraId="75619951" w14:textId="4F3E04CE" w:rsidR="0009376C" w:rsidRPr="003F6A04" w:rsidRDefault="003F6A04" w:rsidP="00EA53F3">
      <w:pPr>
        <w:ind w:firstLine="709"/>
        <w:jc w:val="both"/>
        <w:rPr>
          <w:bCs/>
          <w:lang w:eastAsia="zh-CN"/>
        </w:rPr>
      </w:pPr>
      <w:r w:rsidRPr="003F6A04">
        <w:t>Необходимостта от ограничаване на разпространението на заразата с COVID-19, наложи приемането през 2020 г. на спешни мерки в областта на данъчната политика в подкрепа на бизнеса и заетостта. Някои от тези мерки, като удълженият срок за деклариране по ЗКПО, станаха постоянни чрез промени в съответните данъчни закони. Друга част запазиха характера си на антикризисни мерки, независимо от позитивното развитие на икономиката, като беше отчетено наличието на ограничителни мерки и развитието на пандемията, която можеше да изправи бизнеса пред нови затруднения</w:t>
      </w:r>
      <w:r w:rsidR="0009376C" w:rsidRPr="003F6A04">
        <w:rPr>
          <w:bCs/>
          <w:lang w:eastAsia="zh-CN"/>
        </w:rPr>
        <w:t>.</w:t>
      </w:r>
    </w:p>
    <w:p w14:paraId="0B627D95" w14:textId="09752A09" w:rsidR="0009376C" w:rsidRPr="00461B61" w:rsidRDefault="0009376C" w:rsidP="00461B61">
      <w:pPr>
        <w:spacing w:after="120"/>
        <w:ind w:right="-39"/>
        <w:jc w:val="both"/>
        <w:rPr>
          <w:b/>
          <w:u w:val="single"/>
        </w:rPr>
      </w:pPr>
      <w:bookmarkStart w:id="75" w:name="_Toc76656071"/>
      <w:r w:rsidRPr="00461B61">
        <w:rPr>
          <w:b/>
          <w:u w:val="single"/>
        </w:rPr>
        <w:t>Информация за ефектите в приходите и разходите от</w:t>
      </w:r>
      <w:bookmarkEnd w:id="75"/>
      <w:r w:rsidRPr="00461B61">
        <w:rPr>
          <w:b/>
          <w:u w:val="single"/>
        </w:rPr>
        <w:t xml:space="preserve"> мерките за борба с</w:t>
      </w:r>
      <w:r w:rsidR="00245301" w:rsidRPr="00461B61">
        <w:rPr>
          <w:b/>
          <w:u w:val="single"/>
        </w:rPr>
        <w:t xml:space="preserve"> </w:t>
      </w:r>
      <w:r w:rsidRPr="00461B61">
        <w:rPr>
          <w:b/>
          <w:u w:val="single"/>
        </w:rPr>
        <w:t>COVID-19 и преодоляване на социално-икономическите последствия от пандемията</w:t>
      </w:r>
    </w:p>
    <w:p w14:paraId="7BB6DDD6" w14:textId="77777777" w:rsidR="00E303D0" w:rsidRPr="00591F00" w:rsidRDefault="00E303D0" w:rsidP="00591F00">
      <w:pPr>
        <w:spacing w:after="120"/>
        <w:ind w:firstLine="709"/>
        <w:jc w:val="both"/>
        <w:rPr>
          <w:b/>
          <w:lang w:eastAsia="en-US"/>
        </w:rPr>
      </w:pPr>
      <w:r w:rsidRPr="00591F00">
        <w:rPr>
          <w:b/>
          <w:lang w:eastAsia="en-US"/>
        </w:rPr>
        <w:t>Мерки в областта на данъчната политика, предприети в отговор на COVID-19</w:t>
      </w:r>
    </w:p>
    <w:p w14:paraId="31694CA2" w14:textId="77777777" w:rsidR="00E303D0" w:rsidRPr="00155F6D" w:rsidRDefault="00E303D0" w:rsidP="00E303D0">
      <w:pPr>
        <w:spacing w:after="120"/>
        <w:ind w:right="-43"/>
        <w:jc w:val="both"/>
        <w:rPr>
          <w:b/>
          <w:i/>
        </w:rPr>
      </w:pPr>
      <w:bookmarkStart w:id="76" w:name="_Toc126329341"/>
      <w:r w:rsidRPr="00155F6D">
        <w:rPr>
          <w:b/>
          <w:i/>
        </w:rPr>
        <w:t xml:space="preserve">Мерки в частта на приходите           </w:t>
      </w:r>
    </w:p>
    <w:p w14:paraId="2FADC04A" w14:textId="5B9E4B8E" w:rsidR="00E303D0" w:rsidRPr="00E66F80" w:rsidRDefault="00E303D0" w:rsidP="00E303D0">
      <w:pPr>
        <w:spacing w:after="120"/>
        <w:ind w:right="-43"/>
        <w:jc w:val="both"/>
      </w:pPr>
      <w:r w:rsidRPr="00155F6D">
        <w:t xml:space="preserve">Приетите през предходните години мерки, свързани с прилагане на намалена ставка за ДДС на определени стоки и услуги от 20 % на 9 %, и увеличения размер на данъчните облекчения за деца (чл. 22в и чл. 22г от ЗДДФЛ) продължиха да се прилагат </w:t>
      </w:r>
      <w:r w:rsidR="00CC24C6">
        <w:t xml:space="preserve">и </w:t>
      </w:r>
      <w:r w:rsidRPr="00155F6D">
        <w:t xml:space="preserve">през 2022 година. С приетата промяна в ЗИД на ЗДБРБ за 2022 г. (обн., ДВ, бр. 52 от 5.7.2022 г.) се предоставя възможност за авансово ползване </w:t>
      </w:r>
      <w:r w:rsidR="00CC24C6" w:rsidRPr="00A178E1">
        <w:t xml:space="preserve">на данъчните облекчения за деца </w:t>
      </w:r>
      <w:r w:rsidRPr="00155F6D">
        <w:t>през 2022 година. До края на годината продължиха да се прилагат и мерките, свързани с промените в ЗДДС (обн. ДВ, бр. 107 от 18.12.2020 г.) за облагане с нулева ставка на доставките на ваксини срещу COVID-19 и услугите, пряко свързани с тези ваксини, както и на медицински изделия за инвитро диагностика на COVID-19 и услугите, пряко свързани с тези изделия, с място на изпълнение на територията на страната. Това данъчно третиране се приложи и по отношение на вътреобщностните придобивания с място на изпълнение на територията на страната на тези стоки. Освобождаването от облагане с мита и ДДС върху вноса на стоки от медицински характер и облагането с намалената ставка на ДДС на доставките на бира и вино, като част от ресторантьорски и кетъринг услуги, се прилагаше до 30.06.2022 година.</w:t>
      </w:r>
    </w:p>
    <w:bookmarkEnd w:id="76"/>
    <w:p w14:paraId="37B69DC4" w14:textId="77777777" w:rsidR="00E303D0" w:rsidRPr="00155F6D" w:rsidRDefault="00E303D0" w:rsidP="00BD39E0">
      <w:pPr>
        <w:numPr>
          <w:ilvl w:val="0"/>
          <w:numId w:val="70"/>
        </w:numPr>
        <w:tabs>
          <w:tab w:val="clear" w:pos="360"/>
          <w:tab w:val="num" w:pos="0"/>
          <w:tab w:val="left" w:pos="993"/>
        </w:tabs>
        <w:spacing w:after="120"/>
        <w:ind w:left="0" w:firstLine="709"/>
        <w:jc w:val="both"/>
      </w:pPr>
      <w:r>
        <w:t>Основно, п</w:t>
      </w:r>
      <w:r w:rsidRPr="00155F6D">
        <w:t>ромените в областта на данъчната политика са приети със</w:t>
      </w:r>
      <w:r w:rsidRPr="00155F6D">
        <w:rPr>
          <w:b/>
        </w:rPr>
        <w:t xml:space="preserve"> ЗИД на ЗДБРБ за 2022 г. (обн., ДВ, бр. 52 от 5.7.2022 г.)</w:t>
      </w:r>
      <w:r w:rsidRPr="00155F6D">
        <w:t xml:space="preserve"> и включват следните мерки/изменения:</w:t>
      </w:r>
    </w:p>
    <w:p w14:paraId="28309A59" w14:textId="77777777" w:rsidR="0092579B" w:rsidRDefault="0092579B" w:rsidP="00186435">
      <w:pPr>
        <w:spacing w:before="120" w:after="120"/>
        <w:ind w:left="709" w:right="-45"/>
        <w:jc w:val="both"/>
        <w:rPr>
          <w:b/>
          <w:u w:val="single"/>
        </w:rPr>
      </w:pPr>
    </w:p>
    <w:p w14:paraId="6B9E0206" w14:textId="77777777" w:rsidR="0092579B" w:rsidRDefault="0092579B" w:rsidP="00186435">
      <w:pPr>
        <w:spacing w:before="120" w:after="120"/>
        <w:ind w:left="709" w:right="-45"/>
        <w:jc w:val="both"/>
        <w:rPr>
          <w:b/>
          <w:u w:val="single"/>
        </w:rPr>
      </w:pPr>
    </w:p>
    <w:p w14:paraId="73CF3B98" w14:textId="77777777" w:rsidR="00E303D0" w:rsidRPr="00155F6D" w:rsidRDefault="00E303D0" w:rsidP="00186435">
      <w:pPr>
        <w:spacing w:before="120" w:after="120"/>
        <w:ind w:left="709" w:right="-45"/>
        <w:jc w:val="both"/>
        <w:rPr>
          <w:b/>
        </w:rPr>
      </w:pPr>
      <w:r w:rsidRPr="00155F6D">
        <w:rPr>
          <w:b/>
          <w:u w:val="single"/>
        </w:rPr>
        <w:t>Промени в З</w:t>
      </w:r>
      <w:r w:rsidRPr="00E66F80">
        <w:rPr>
          <w:b/>
          <w:u w:val="single"/>
        </w:rPr>
        <w:t>акона за данък добавена стойност</w:t>
      </w:r>
    </w:p>
    <w:p w14:paraId="702E3CCA" w14:textId="18077A35" w:rsidR="00E303D0" w:rsidRPr="00155F6D" w:rsidRDefault="00E303D0" w:rsidP="00E303D0">
      <w:pPr>
        <w:ind w:firstLine="709"/>
        <w:jc w:val="both"/>
        <w:rPr>
          <w:b/>
        </w:rPr>
      </w:pPr>
      <w:r w:rsidRPr="00155F6D">
        <w:rPr>
          <w:b/>
        </w:rPr>
        <w:t>- Въвеждане на намалена ставка на ДДС в размер на 9</w:t>
      </w:r>
      <w:r w:rsidR="000A119E">
        <w:rPr>
          <w:b/>
        </w:rPr>
        <w:t xml:space="preserve"> </w:t>
      </w:r>
      <w:r w:rsidRPr="00155F6D">
        <w:rPr>
          <w:b/>
        </w:rPr>
        <w:t xml:space="preserve">% за доставки на централно отопление и на природен газ. </w:t>
      </w:r>
    </w:p>
    <w:p w14:paraId="38DEF3EA" w14:textId="3906FE52" w:rsidR="00E303D0" w:rsidRPr="00155F6D" w:rsidRDefault="00E303D0" w:rsidP="00E303D0">
      <w:pPr>
        <w:ind w:firstLine="709"/>
        <w:jc w:val="both"/>
      </w:pPr>
      <w:r w:rsidRPr="00155F6D">
        <w:t xml:space="preserve">Приетата промяна за въвеждане на намалена ставка на ДДС в размер на 9 % за доставките на природен газ и за доставките на централно отопление е свързана с необходимостта от смекчаване на въздействието на високите цени на енергията върху домакинствата и предприятията, по-специално върху най-уязвимите, като същевременно се избягва прекъсването на доставките. Въвеждането на намалена ставка на ДДС способства за постигане на социални и икономически цели в условията на инфлация. Мярката е </w:t>
      </w:r>
      <w:r w:rsidR="000A119E">
        <w:t xml:space="preserve">в </w:t>
      </w:r>
      <w:r w:rsidRPr="00155F6D">
        <w:t xml:space="preserve">сила за периода от 9 юли 2022 г. до 1 юли 2023 година. </w:t>
      </w:r>
    </w:p>
    <w:p w14:paraId="5C402C73" w14:textId="77777777" w:rsidR="00E303D0" w:rsidRPr="00155F6D" w:rsidRDefault="00E303D0" w:rsidP="00E303D0">
      <w:pPr>
        <w:spacing w:before="120"/>
        <w:ind w:firstLine="709"/>
        <w:jc w:val="both"/>
        <w:rPr>
          <w:b/>
        </w:rPr>
      </w:pPr>
      <w:r w:rsidRPr="00155F6D">
        <w:t xml:space="preserve">- </w:t>
      </w:r>
      <w:r w:rsidRPr="00155F6D">
        <w:rPr>
          <w:b/>
        </w:rPr>
        <w:t xml:space="preserve">Въвеждане на нулева ставка на ДДС за </w:t>
      </w:r>
      <w:r w:rsidRPr="00592FF9">
        <w:rPr>
          <w:b/>
        </w:rPr>
        <w:t>доставки на хляб и на брашно</w:t>
      </w:r>
    </w:p>
    <w:p w14:paraId="24F62CD1" w14:textId="77777777" w:rsidR="00E303D0" w:rsidRPr="00155F6D" w:rsidRDefault="00E303D0" w:rsidP="00E303D0">
      <w:pPr>
        <w:ind w:firstLine="709"/>
        <w:jc w:val="both"/>
      </w:pPr>
      <w:r w:rsidRPr="00155F6D">
        <w:t xml:space="preserve">Приетата промяна за въвеждане на нулева ставка на ДДС за доставките на хляб и на брашно </w:t>
      </w:r>
      <w:r>
        <w:t xml:space="preserve">отново </w:t>
      </w:r>
      <w:r w:rsidRPr="00155F6D">
        <w:t>е свързана с необходимостта от смекчаване на въздействието на високите цени на хляба върху домакинствата</w:t>
      </w:r>
      <w:r>
        <w:t>.</w:t>
      </w:r>
    </w:p>
    <w:p w14:paraId="13221D21" w14:textId="77777777" w:rsidR="00E303D0" w:rsidRPr="00155F6D" w:rsidRDefault="00E303D0" w:rsidP="00E303D0">
      <w:pPr>
        <w:ind w:firstLine="643"/>
        <w:jc w:val="both"/>
      </w:pPr>
      <w:r>
        <w:t>Първоначално, м</w:t>
      </w:r>
      <w:r w:rsidRPr="00155F6D">
        <w:t xml:space="preserve">ярката е </w:t>
      </w:r>
      <w:r>
        <w:t>приета</w:t>
      </w:r>
      <w:r w:rsidRPr="00155F6D">
        <w:t xml:space="preserve"> за периода от 9 юли 2022 г. до 1 юли 2023 година. </w:t>
      </w:r>
    </w:p>
    <w:p w14:paraId="1EC42E3E" w14:textId="62C56E5C" w:rsidR="00E303D0" w:rsidRPr="00E66F80" w:rsidRDefault="00E303D0" w:rsidP="00E303D0">
      <w:pPr>
        <w:ind w:firstLine="643"/>
        <w:jc w:val="both"/>
      </w:pPr>
      <w:r w:rsidRPr="00E66F80">
        <w:t xml:space="preserve">С промените в </w:t>
      </w:r>
      <w:r w:rsidRPr="00155F6D">
        <w:t xml:space="preserve">§ 38 на ЗИД на ЗДДС за изменение на § 15д от ПЗР на ЗДДС (ДВ, брой: 102, от дата 23.12.2022 г.) </w:t>
      </w:r>
      <w:r>
        <w:t>е у</w:t>
      </w:r>
      <w:r w:rsidRPr="00E66F80">
        <w:t xml:space="preserve">дължен срокът на действие </w:t>
      </w:r>
      <w:r w:rsidRPr="00155F6D">
        <w:t>до 31.12.2023 година</w:t>
      </w:r>
      <w:r w:rsidR="00F51C26">
        <w:t>.</w:t>
      </w:r>
    </w:p>
    <w:p w14:paraId="672EBD4A" w14:textId="77777777" w:rsidR="00E303D0" w:rsidRPr="00155F6D" w:rsidRDefault="00E303D0" w:rsidP="00BD39E0">
      <w:pPr>
        <w:pStyle w:val="ListParagraph"/>
        <w:numPr>
          <w:ilvl w:val="0"/>
          <w:numId w:val="71"/>
        </w:numPr>
        <w:tabs>
          <w:tab w:val="left" w:pos="993"/>
        </w:tabs>
        <w:spacing w:before="120"/>
        <w:ind w:left="0" w:firstLine="720"/>
        <w:jc w:val="both"/>
      </w:pPr>
      <w:r w:rsidRPr="00155F6D">
        <w:rPr>
          <w:b/>
        </w:rPr>
        <w:t>Премахване прилагането на намалената ставка на ДДС за бира и вино, като част от ресторантьорски и кетъринг услуги</w:t>
      </w:r>
    </w:p>
    <w:p w14:paraId="0720A5A4" w14:textId="77777777" w:rsidR="00E303D0" w:rsidRPr="00155F6D" w:rsidRDefault="00E303D0" w:rsidP="00E303D0">
      <w:pPr>
        <w:ind w:firstLine="709"/>
        <w:jc w:val="both"/>
      </w:pPr>
      <w:r w:rsidRPr="00155F6D">
        <w:t>Прилагането на намалена ставка на ДДС в размер на 9 % за доставки на бира и вино, като част от ресторантьорски и кетъринг услуги</w:t>
      </w:r>
      <w:r>
        <w:t>,</w:t>
      </w:r>
      <w:r w:rsidRPr="00155F6D">
        <w:t xml:space="preserve"> беше временна мярка, свързана с пандемията от COVID-19. С приетата промяна, за тези доставки се прилага отново стандартната ставка на ДДС в размер на 20 %.</w:t>
      </w:r>
    </w:p>
    <w:p w14:paraId="0A7F2B52" w14:textId="4B27AF37" w:rsidR="00E303D0" w:rsidRPr="00155F6D" w:rsidRDefault="00E303D0" w:rsidP="00E303D0">
      <w:pPr>
        <w:ind w:firstLine="709"/>
        <w:jc w:val="both"/>
      </w:pPr>
      <w:r>
        <w:t>Отмяната</w:t>
      </w:r>
      <w:r w:rsidRPr="00155F6D">
        <w:t xml:space="preserve"> е в сила от 9 юли 2022 година. </w:t>
      </w:r>
    </w:p>
    <w:p w14:paraId="4BAD98BE" w14:textId="77777777" w:rsidR="00E303D0" w:rsidRPr="00155F6D" w:rsidRDefault="00E303D0" w:rsidP="00BD39E0">
      <w:pPr>
        <w:pStyle w:val="ListParagraph"/>
        <w:numPr>
          <w:ilvl w:val="0"/>
          <w:numId w:val="71"/>
        </w:numPr>
        <w:tabs>
          <w:tab w:val="left" w:pos="993"/>
        </w:tabs>
        <w:spacing w:before="120"/>
        <w:ind w:left="0" w:firstLine="720"/>
        <w:jc w:val="both"/>
        <w:rPr>
          <w:b/>
        </w:rPr>
      </w:pPr>
      <w:r w:rsidRPr="00155F6D">
        <w:rPr>
          <w:b/>
        </w:rPr>
        <w:t>Подобряване на процеса по безвъзмездно предоставяне на хранителни стоки към оператори на хранителна банка в Закона за данък върху добавената стойност</w:t>
      </w:r>
    </w:p>
    <w:p w14:paraId="5DC99474" w14:textId="4C79AB1E" w:rsidR="00E303D0" w:rsidRPr="00155F6D" w:rsidRDefault="00E303D0" w:rsidP="00E303D0">
      <w:pPr>
        <w:ind w:firstLine="709"/>
        <w:jc w:val="both"/>
      </w:pPr>
      <w:r w:rsidRPr="00155F6D">
        <w:t>Промяната цели облекчаване на потенциалните дарители на храна, като намали финансови, логистични или други свързани разходи по отношение функционирането на механизма. Очаква се промяната да осигури по-лесен достъп до храната на лицата в нужда и да стимулира разширяването на хранителното банкиране, като се търси баланса между ползите и разходите от процеса по даряване на храни. Със законодателното изменение се цели облекчаване на дарителите на храни от ДДС (повишение дела (от 0,5</w:t>
      </w:r>
      <w:r w:rsidR="003404C9">
        <w:t xml:space="preserve"> </w:t>
      </w:r>
      <w:r w:rsidRPr="00155F6D">
        <w:t>% на 1,0</w:t>
      </w:r>
      <w:r w:rsidR="003404C9">
        <w:t xml:space="preserve"> </w:t>
      </w:r>
      <w:r w:rsidRPr="00155F6D">
        <w:t>%) на общата стойност на извършените от лицето облагаеми доставки на хранителни стоки, който не трябва да се надхвърля), което се счита за бариера пред разгръщането на механизма на хранително банкиране, като същевременно се търси и избягване на евентуални злоупотреби със стоките, предмет на безвъзмездно предоставяне към операторите на хранителни банки. Промяната е съобразена с ангажиментите поети от ЕС и държавите членки относно целите свързани с разхищението на храни на глава от населението, прието от Общото събрание на Организацията на обединените нации като част от Програмата за устойчиво развитие до 2030 година</w:t>
      </w:r>
      <w:r w:rsidR="003404C9">
        <w:t>.</w:t>
      </w:r>
    </w:p>
    <w:p w14:paraId="19510168" w14:textId="77777777" w:rsidR="00E303D0" w:rsidRPr="00EA53F3" w:rsidRDefault="00E303D0" w:rsidP="00E303D0">
      <w:pPr>
        <w:rPr>
          <w:b/>
          <w:sz w:val="14"/>
        </w:rPr>
      </w:pPr>
    </w:p>
    <w:p w14:paraId="53AFAF66" w14:textId="77777777" w:rsidR="00E303D0" w:rsidRPr="00E66F80" w:rsidRDefault="00E303D0" w:rsidP="00186435">
      <w:pPr>
        <w:ind w:left="709" w:right="-45"/>
        <w:jc w:val="both"/>
        <w:rPr>
          <w:b/>
          <w:u w:val="single"/>
        </w:rPr>
      </w:pPr>
      <w:r w:rsidRPr="005A51A6">
        <w:rPr>
          <w:b/>
          <w:u w:val="single"/>
        </w:rPr>
        <w:t xml:space="preserve">Промени в </w:t>
      </w:r>
      <w:r>
        <w:rPr>
          <w:b/>
          <w:u w:val="single"/>
        </w:rPr>
        <w:t>З</w:t>
      </w:r>
      <w:r w:rsidRPr="00E66F80">
        <w:rPr>
          <w:b/>
          <w:u w:val="single"/>
        </w:rPr>
        <w:t>акона за акцизите и данъчните складове</w:t>
      </w:r>
    </w:p>
    <w:p w14:paraId="15E8B3E0" w14:textId="77777777" w:rsidR="00E303D0" w:rsidRPr="00E66F80" w:rsidRDefault="00E303D0" w:rsidP="00E303D0">
      <w:pPr>
        <w:ind w:left="709" w:right="-45"/>
        <w:jc w:val="both"/>
        <w:rPr>
          <w:b/>
          <w:u w:val="single"/>
        </w:rPr>
      </w:pPr>
    </w:p>
    <w:p w14:paraId="1B49475C" w14:textId="77777777" w:rsidR="00E303D0" w:rsidRPr="00155F6D" w:rsidRDefault="00E303D0" w:rsidP="00BD39E0">
      <w:pPr>
        <w:pStyle w:val="ListParagraph"/>
        <w:numPr>
          <w:ilvl w:val="0"/>
          <w:numId w:val="71"/>
        </w:numPr>
        <w:tabs>
          <w:tab w:val="left" w:pos="993"/>
        </w:tabs>
        <w:ind w:left="0" w:firstLine="720"/>
        <w:jc w:val="both"/>
        <w:rPr>
          <w:b/>
        </w:rPr>
      </w:pPr>
      <w:r w:rsidRPr="00155F6D">
        <w:rPr>
          <w:b/>
        </w:rPr>
        <w:t xml:space="preserve">Освобождаване от акциз на електрическата енергия, втечнения нефтен газ и природния газ съгласно член 15 от Директива 2003/96/ЕО на Съвета от 27 октомври 2003 година относно преструктурирането на правната рамка на Общността за данъчно облагане на енергийните продукти и електроенергията. </w:t>
      </w:r>
    </w:p>
    <w:p w14:paraId="654343A0" w14:textId="72A68B71" w:rsidR="00E303D0" w:rsidRPr="00155F6D" w:rsidRDefault="00E303D0" w:rsidP="00D6359C">
      <w:pPr>
        <w:ind w:firstLine="706"/>
        <w:jc w:val="both"/>
        <w:rPr>
          <w:rFonts w:eastAsia="Calibri"/>
          <w:lang w:eastAsia="en-US"/>
        </w:rPr>
      </w:pPr>
      <w:r w:rsidRPr="00155F6D">
        <w:rPr>
          <w:rFonts w:eastAsia="Calibri"/>
          <w:lang w:eastAsia="en-US"/>
        </w:rPr>
        <w:t>Мярката има за цел да подпомогне бизнеса и гражданите, потребители на електрическа енергия, втечнен нефтен газ и природен газ във връзка със значителното повишаване на цените на енергийните продукти, породено от нарасналото търсене в европейски и световен мащаб</w:t>
      </w:r>
      <w:r w:rsidR="00B27A82">
        <w:rPr>
          <w:b/>
        </w:rPr>
        <w:t>.</w:t>
      </w:r>
    </w:p>
    <w:p w14:paraId="60863B99" w14:textId="77777777" w:rsidR="00E303D0" w:rsidRPr="00155F6D" w:rsidRDefault="00E303D0" w:rsidP="00E303D0">
      <w:pPr>
        <w:ind w:firstLine="709"/>
        <w:jc w:val="both"/>
      </w:pPr>
    </w:p>
    <w:p w14:paraId="18A93AB2" w14:textId="77777777" w:rsidR="00E303D0" w:rsidRPr="00E66F80" w:rsidRDefault="00E303D0" w:rsidP="00186435">
      <w:pPr>
        <w:ind w:left="709" w:right="-45"/>
        <w:jc w:val="both"/>
        <w:rPr>
          <w:b/>
          <w:u w:val="single"/>
        </w:rPr>
      </w:pPr>
      <w:r w:rsidRPr="00E66F80">
        <w:rPr>
          <w:b/>
          <w:u w:val="single"/>
        </w:rPr>
        <w:t>Промени в Закона за корпоративното подоходно облагане</w:t>
      </w:r>
    </w:p>
    <w:p w14:paraId="2F3D7789" w14:textId="77777777" w:rsidR="00E303D0" w:rsidRPr="00155F6D" w:rsidRDefault="00E303D0" w:rsidP="00E303D0">
      <w:pPr>
        <w:ind w:left="357" w:right="-45"/>
        <w:rPr>
          <w:b/>
        </w:rPr>
      </w:pPr>
    </w:p>
    <w:p w14:paraId="641F9770" w14:textId="77777777" w:rsidR="00E303D0" w:rsidRPr="00155F6D" w:rsidRDefault="00E303D0" w:rsidP="00E303D0">
      <w:pPr>
        <w:ind w:firstLine="709"/>
        <w:jc w:val="both"/>
        <w:rPr>
          <w:rFonts w:eastAsia="Calibri"/>
          <w:b/>
          <w:lang w:eastAsia="en-US"/>
        </w:rPr>
      </w:pPr>
      <w:r w:rsidRPr="00155F6D">
        <w:rPr>
          <w:rFonts w:eastAsia="Calibri"/>
          <w:b/>
          <w:lang w:eastAsia="en-US"/>
        </w:rPr>
        <w:t>- Разширяване обхвата на прилагане на данъчното облекчение за ваучери за храна по чл. 209, ал. 1 от Закона за корпоративното подоходно облагане (ЗКПО), като се дава възможност за използването им и за туристически услуги съгласно Закона за туризма (ЗТ)</w:t>
      </w:r>
    </w:p>
    <w:p w14:paraId="2B018745" w14:textId="77777777" w:rsidR="00E303D0" w:rsidRPr="00155F6D" w:rsidRDefault="00E303D0" w:rsidP="00E303D0">
      <w:pPr>
        <w:ind w:firstLine="709"/>
        <w:jc w:val="both"/>
        <w:rPr>
          <w:rFonts w:eastAsia="Calibri"/>
          <w:lang w:eastAsia="en-US"/>
        </w:rPr>
      </w:pPr>
      <w:r w:rsidRPr="00155F6D">
        <w:rPr>
          <w:rFonts w:eastAsia="Calibri"/>
          <w:lang w:eastAsia="en-US"/>
        </w:rPr>
        <w:t>Със Закона за държавния бюджет на Република България за 2022 г. е прието като временна мярка за 2022 г. да се предостави възможност за използване на ваучерите за храна по чл. 209, ал. 1 от Закона за корпоративното подоходно облагане за заплащане не само за храна, но и за заплащане на ползвани за битови нужди електрическа и топлинна енергия, природен газ и вода, на дейности, осъществявани от културни организации по Закона за закрила и развитие на културата и на показ на филми съгласно Закона за филмовата индустрия. С приетите промени се цели подпомагане на сектор туризъм, стимулиране на пазара на туристически услуги в страната, както и подобряване на възстановяването на работниците и служителите от работния процес.</w:t>
      </w:r>
      <w:r w:rsidRPr="004D5FFC">
        <w:rPr>
          <w:rFonts w:eastAsia="Calibri"/>
          <w:lang w:val="ru-RU" w:eastAsia="en-US"/>
        </w:rPr>
        <w:t xml:space="preserve"> </w:t>
      </w:r>
      <w:r w:rsidRPr="00155F6D">
        <w:rPr>
          <w:rFonts w:eastAsia="Calibri"/>
          <w:lang w:eastAsia="en-US"/>
        </w:rPr>
        <w:t>Промяната няма бюджетен ефект за 2022 г., доколкото не засяга размера на вече утвърдената с чл. 58 от ЗДБРБ 2022 г. обща годишна квота за предоставяне на ваучери за храна по чл. 209, ал. 7 от Закона за корпоративното подоходно облагане.</w:t>
      </w:r>
    </w:p>
    <w:p w14:paraId="74AF24E6" w14:textId="77777777" w:rsidR="00E303D0" w:rsidRPr="00155F6D" w:rsidRDefault="00E303D0" w:rsidP="00E303D0">
      <w:pPr>
        <w:ind w:firstLine="709"/>
        <w:jc w:val="both"/>
        <w:rPr>
          <w:rFonts w:eastAsia="Calibri"/>
          <w:lang w:eastAsia="en-US"/>
        </w:rPr>
      </w:pPr>
    </w:p>
    <w:p w14:paraId="612F1A0E" w14:textId="259EFEBA" w:rsidR="00E303D0" w:rsidRPr="004F15D1" w:rsidRDefault="00E303D0" w:rsidP="00E303D0">
      <w:pPr>
        <w:widowControl w:val="0"/>
        <w:suppressAutoHyphens/>
        <w:spacing w:after="120"/>
        <w:ind w:right="-284" w:firstLine="709"/>
        <w:jc w:val="both"/>
        <w:rPr>
          <w:b/>
          <w:u w:val="single"/>
          <w:lang w:eastAsia="en-US"/>
        </w:rPr>
      </w:pPr>
      <w:r>
        <w:rPr>
          <w:b/>
          <w:u w:val="single"/>
          <w:lang w:eastAsia="en-US"/>
        </w:rPr>
        <w:t>С допълнение в</w:t>
      </w:r>
      <w:r w:rsidRPr="00155F6D">
        <w:rPr>
          <w:b/>
          <w:u w:val="single"/>
          <w:lang w:eastAsia="en-US"/>
        </w:rPr>
        <w:t xml:space="preserve"> ЗКПО</w:t>
      </w:r>
      <w:r>
        <w:rPr>
          <w:b/>
          <w:u w:val="single"/>
          <w:lang w:eastAsia="en-US"/>
        </w:rPr>
        <w:t xml:space="preserve"> е </w:t>
      </w:r>
      <w:r w:rsidRPr="004F15D1">
        <w:rPr>
          <w:b/>
          <w:u w:val="single"/>
          <w:lang w:eastAsia="en-US"/>
        </w:rPr>
        <w:t xml:space="preserve">въведена временна солидарна вноска. </w:t>
      </w:r>
    </w:p>
    <w:p w14:paraId="67076A51" w14:textId="27BE4664" w:rsidR="00E303D0" w:rsidRDefault="00E303D0" w:rsidP="00E303D0">
      <w:pPr>
        <w:widowControl w:val="0"/>
        <w:suppressAutoHyphens/>
        <w:spacing w:after="120"/>
        <w:ind w:right="-284" w:firstLine="709"/>
        <w:jc w:val="both"/>
      </w:pPr>
      <w:r>
        <w:t>Уредени са</w:t>
      </w:r>
      <w:r w:rsidRPr="00155F6D">
        <w:t xml:space="preserve"> ред</w:t>
      </w:r>
      <w:r>
        <w:t>ът</w:t>
      </w:r>
      <w:r w:rsidRPr="00155F6D">
        <w:t xml:space="preserve"> и начин</w:t>
      </w:r>
      <w:r>
        <w:t>ът</w:t>
      </w:r>
      <w:r w:rsidRPr="00155F6D">
        <w:t xml:space="preserve"> за прилагане на Глава III от Регламент (ЕС) 2022/1854 на Съвета от 6 октомври 2022 г. относно спешна намеса за справяне </w:t>
      </w:r>
      <w:r w:rsidRPr="0050767D">
        <w:t>с високите цени на енергията. С приетата разпоредба се регламентират правилата за временната солидарна вноска, която следва да се внася за генерираните свръхпечалби от дружествата и местата на стопанска дейност от Съюза, извършващи дейност в отраслите на суровия нефт, природния газ, въглищата и нефтопреработването. Ставката на тази вноска е 33 на сто върху основата за определяне на временната солидарна вноска. Основата за вноската се определя съгласно изискванията на член 15 от Регламент (ЕС) 2022/1854 (</w:t>
      </w:r>
      <w:r w:rsidRPr="0050767D">
        <w:rPr>
          <w:i/>
        </w:rPr>
        <w:t>средната стойност на облагаемите печалби</w:t>
      </w:r>
      <w:r w:rsidRPr="0050767D">
        <w:t xml:space="preserve">) от данъчния период от 2018 г. до 2021 година. Временната солидарна вноска се внася за данъчните печалби за 2022 г. и за 2023 г., като данъчната печалба се определя по правилата регламентирани в ЗКПО (§ 9. </w:t>
      </w:r>
      <w:r w:rsidR="00070F8A">
        <w:t>о</w:t>
      </w:r>
      <w:r w:rsidR="00070F8A" w:rsidRPr="0050767D">
        <w:t>т П</w:t>
      </w:r>
      <w:r w:rsidR="00070F8A">
        <w:t>ЗР</w:t>
      </w:r>
      <w:r w:rsidR="00070F8A" w:rsidRPr="0050767D">
        <w:t xml:space="preserve"> </w:t>
      </w:r>
      <w:r w:rsidRPr="0050767D">
        <w:t xml:space="preserve">на ЗКПО в сила от 8.10.2022 г. – ДВ, бр. 99 от 2022 г.). Задължените лица могат да правят авансови </w:t>
      </w:r>
      <w:r w:rsidR="00151B76" w:rsidRPr="00151B76">
        <w:t xml:space="preserve">плащания </w:t>
      </w:r>
      <w:r w:rsidRPr="0050767D">
        <w:t>за временната солидарна вноска.</w:t>
      </w:r>
    </w:p>
    <w:p w14:paraId="6A9DD922" w14:textId="5FD3F7AE" w:rsidR="00371D32" w:rsidRPr="004919CD" w:rsidRDefault="00371D32" w:rsidP="003E4FBF">
      <w:pPr>
        <w:pStyle w:val="Heading3"/>
        <w:numPr>
          <w:ilvl w:val="1"/>
          <w:numId w:val="44"/>
        </w:numPr>
        <w:rPr>
          <w:rFonts w:ascii="Times New Roman" w:hAnsi="Times New Roman"/>
          <w:sz w:val="24"/>
          <w:lang w:val="bg-BG"/>
        </w:rPr>
      </w:pPr>
      <w:bookmarkStart w:id="77" w:name="_Toc146037886"/>
      <w:r>
        <w:rPr>
          <w:rFonts w:ascii="Times New Roman" w:hAnsi="Times New Roman"/>
          <w:sz w:val="24"/>
          <w:lang w:val="bg-BG"/>
        </w:rPr>
        <w:t>М</w:t>
      </w:r>
      <w:r w:rsidRPr="00371D32">
        <w:rPr>
          <w:rFonts w:ascii="Times New Roman" w:hAnsi="Times New Roman"/>
          <w:sz w:val="24"/>
          <w:lang w:val="bg-BG"/>
        </w:rPr>
        <w:t>еханизъм за компенсиране на крайни потребители на горива - физически лица, които ползват за собствени нужди бензин и газьол (без добавки), втечнен нефтен газ и природен газ.</w:t>
      </w:r>
      <w:bookmarkEnd w:id="77"/>
    </w:p>
    <w:p w14:paraId="1495F8A5" w14:textId="6613CE66" w:rsidR="00371D32" w:rsidRPr="00F64CF1" w:rsidRDefault="00371D32" w:rsidP="00371D32">
      <w:pPr>
        <w:ind w:firstLine="709"/>
        <w:jc w:val="both"/>
        <w:rPr>
          <w:rFonts w:eastAsia="Calibri"/>
          <w:lang w:eastAsia="en-US"/>
        </w:rPr>
      </w:pPr>
      <w:r w:rsidRPr="00F64CF1">
        <w:rPr>
          <w:rFonts w:eastAsia="Calibri"/>
          <w:lang w:eastAsia="en-US"/>
        </w:rPr>
        <w:t xml:space="preserve">През 2022 г. е приет механизъм за компенсиране на крайни потребители на горива - физически лица, които ползват за собствени нужди бензин и газьол (без добавки), втечнен нефтен газ и природен газ. </w:t>
      </w:r>
    </w:p>
    <w:p w14:paraId="58708CC2" w14:textId="77777777" w:rsidR="00371D32" w:rsidRPr="00E66F80" w:rsidRDefault="00371D32" w:rsidP="00371D32">
      <w:pPr>
        <w:ind w:firstLine="709"/>
        <w:jc w:val="both"/>
        <w:rPr>
          <w:rFonts w:eastAsia="Calibri"/>
          <w:lang w:eastAsia="en-US"/>
        </w:rPr>
      </w:pPr>
      <w:r w:rsidRPr="00E66F80">
        <w:rPr>
          <w:rFonts w:eastAsia="Calibri"/>
          <w:lang w:eastAsia="en-US"/>
        </w:rPr>
        <w:t>Мярката има за цел да подпомогне физическите лица - крайни потребители, които ползват за собствени нужди бензин А95 и газьол, без добавки, втечнен нефтен газ (LPG или пропан-бутан) и природен газ (метан). Предоставя се компенсация от 0</w:t>
      </w:r>
      <w:r>
        <w:rPr>
          <w:rFonts w:eastAsia="Calibri"/>
          <w:lang w:eastAsia="en-US"/>
        </w:rPr>
        <w:t>,</w:t>
      </w:r>
      <w:r w:rsidRPr="00E66F80">
        <w:rPr>
          <w:rFonts w:eastAsia="Calibri"/>
          <w:lang w:eastAsia="en-US"/>
        </w:rPr>
        <w:t xml:space="preserve">25 лв./литър чрез намаляване на дължимата от физическото лице сума за плащане при зареждане на определените в закона моторни превозни средства. </w:t>
      </w:r>
    </w:p>
    <w:p w14:paraId="70D4DEDE" w14:textId="77777777" w:rsidR="00371D32" w:rsidRPr="00E66F80" w:rsidRDefault="00371D32" w:rsidP="00371D32">
      <w:pPr>
        <w:ind w:firstLine="709"/>
        <w:jc w:val="both"/>
        <w:rPr>
          <w:rFonts w:eastAsia="Calibri"/>
          <w:lang w:eastAsia="en-US"/>
        </w:rPr>
      </w:pPr>
      <w:r w:rsidRPr="00E66F80">
        <w:rPr>
          <w:rFonts w:eastAsia="Calibri"/>
          <w:lang w:eastAsia="en-US"/>
        </w:rPr>
        <w:t>Съгласно утвърдения механизъм, компенсацията може да се предоставя от всички крайни разпространители на горива (бензиностанция, газстанция или метанстанция), регистрирани по ЗДДС, като при предоставянето се спазват задължителните изисквания за издаване на разширен фискален бон с включени допълнителни реквизити и за съставяне на отделен отчет за извършените продажби и протокол, които се включват в дневника за продажбите за съответния месец на регистрираното по ЗДДС лице. Сумата на направените компенсации се възстановява от НАП на крайния разпространител на горива в 10 дневен срок от изтичане на срока за подаване на справка-декларацията по ЗДДС (т.е. до 24-ти на месеца, следващ месеца на продажбите), въз основа на подадена по електронен път декларация по образец.</w:t>
      </w:r>
    </w:p>
    <w:p w14:paraId="3176D62C" w14:textId="77777777" w:rsidR="00371D32" w:rsidRPr="0050767D" w:rsidRDefault="00371D32" w:rsidP="00371D32">
      <w:pPr>
        <w:ind w:firstLine="709"/>
        <w:jc w:val="both"/>
        <w:rPr>
          <w:rFonts w:eastAsia="Calibri"/>
          <w:lang w:eastAsia="en-US"/>
        </w:rPr>
      </w:pPr>
      <w:r w:rsidRPr="00E66F80">
        <w:rPr>
          <w:rFonts w:eastAsia="Calibri"/>
          <w:lang w:eastAsia="en-US"/>
        </w:rPr>
        <w:t>Мярката е в сила от 9 юли 2022 г. и няма ефект върху данъчните приходи в бюджета за 2022 година.</w:t>
      </w:r>
      <w:r w:rsidRPr="0050767D">
        <w:rPr>
          <w:rFonts w:eastAsia="Calibri"/>
          <w:lang w:eastAsia="en-US"/>
        </w:rPr>
        <w:t xml:space="preserve"> </w:t>
      </w:r>
    </w:p>
    <w:p w14:paraId="3782B8B4" w14:textId="034D70EC" w:rsidR="00666D9F" w:rsidRPr="00F60C74" w:rsidRDefault="00666D9F" w:rsidP="00BD39E0">
      <w:pPr>
        <w:pStyle w:val="Heading3"/>
        <w:numPr>
          <w:ilvl w:val="1"/>
          <w:numId w:val="44"/>
        </w:numPr>
        <w:rPr>
          <w:rFonts w:ascii="Times New Roman" w:hAnsi="Times New Roman"/>
          <w:sz w:val="24"/>
          <w:lang w:val="bg-BG"/>
        </w:rPr>
      </w:pPr>
      <w:bookmarkStart w:id="78" w:name="_Toc146037887"/>
      <w:r w:rsidRPr="00F60C74">
        <w:rPr>
          <w:rFonts w:ascii="Times New Roman" w:hAnsi="Times New Roman"/>
          <w:sz w:val="24"/>
          <w:lang w:val="bg-BG"/>
        </w:rPr>
        <w:t>Инвестиционна политика</w:t>
      </w:r>
      <w:bookmarkEnd w:id="47"/>
      <w:bookmarkEnd w:id="78"/>
    </w:p>
    <w:bookmarkEnd w:id="0"/>
    <w:bookmarkEnd w:id="1"/>
    <w:bookmarkEnd w:id="2"/>
    <w:bookmarkEnd w:id="4"/>
    <w:p w14:paraId="41E225F2" w14:textId="77777777" w:rsidR="00876815" w:rsidRPr="00691925" w:rsidRDefault="00876815" w:rsidP="00876815">
      <w:pPr>
        <w:pStyle w:val="Default"/>
        <w:ind w:firstLine="720"/>
        <w:jc w:val="both"/>
        <w:rPr>
          <w:rFonts w:ascii="Times New Roman" w:hAnsi="Times New Roman"/>
          <w:color w:val="auto"/>
        </w:rPr>
      </w:pPr>
      <w:r w:rsidRPr="00691925">
        <w:rPr>
          <w:rFonts w:ascii="Times New Roman" w:hAnsi="Times New Roman"/>
          <w:color w:val="auto"/>
        </w:rPr>
        <w:t>Основната цел на реализираните публични инвестиции е насърчаване на политиките за постигане на устойчив дългосрочен растеж, подкрепени и чрез усвояване на средства по програмите и фондовете на ЕС.</w:t>
      </w:r>
    </w:p>
    <w:p w14:paraId="1BD69EF1" w14:textId="77777777" w:rsidR="00876815" w:rsidRPr="00691925" w:rsidRDefault="00876815" w:rsidP="00876815">
      <w:pPr>
        <w:pStyle w:val="Default"/>
        <w:ind w:firstLine="720"/>
        <w:jc w:val="both"/>
        <w:rPr>
          <w:rFonts w:ascii="Times New Roman" w:hAnsi="Times New Roman"/>
          <w:color w:val="auto"/>
        </w:rPr>
      </w:pPr>
      <w:r w:rsidRPr="00691925">
        <w:rPr>
          <w:rFonts w:ascii="Times New Roman" w:hAnsi="Times New Roman"/>
          <w:color w:val="auto"/>
        </w:rPr>
        <w:t>В таблицата са представени тенденциите в развитието на публичните инвестиционни разходи като дял от БВП на България и за някои държави членки на ЕС.</w:t>
      </w:r>
    </w:p>
    <w:tbl>
      <w:tblPr>
        <w:tblW w:w="9144" w:type="dxa"/>
        <w:jc w:val="center"/>
        <w:tblCellMar>
          <w:left w:w="70" w:type="dxa"/>
          <w:right w:w="70" w:type="dxa"/>
        </w:tblCellMar>
        <w:tblLook w:val="0000" w:firstRow="0" w:lastRow="0" w:firstColumn="0" w:lastColumn="0" w:noHBand="0" w:noVBand="0"/>
      </w:tblPr>
      <w:tblGrid>
        <w:gridCol w:w="4127"/>
        <w:gridCol w:w="786"/>
        <w:gridCol w:w="720"/>
        <w:gridCol w:w="720"/>
        <w:gridCol w:w="697"/>
        <w:gridCol w:w="709"/>
        <w:gridCol w:w="620"/>
        <w:gridCol w:w="765"/>
      </w:tblGrid>
      <w:tr w:rsidR="00876815" w:rsidRPr="007B48E9" w14:paraId="6B1777CA" w14:textId="77777777" w:rsidTr="002B69B6">
        <w:trPr>
          <w:trHeight w:val="255"/>
          <w:jc w:val="center"/>
        </w:trPr>
        <w:tc>
          <w:tcPr>
            <w:tcW w:w="9144" w:type="dxa"/>
            <w:gridSpan w:val="8"/>
            <w:tcBorders>
              <w:top w:val="nil"/>
              <w:left w:val="nil"/>
              <w:bottom w:val="nil"/>
              <w:right w:val="nil"/>
            </w:tcBorders>
            <w:noWrap/>
            <w:vAlign w:val="bottom"/>
          </w:tcPr>
          <w:p w14:paraId="139C37DB" w14:textId="77777777" w:rsidR="00876815" w:rsidRPr="00691925" w:rsidRDefault="00876815" w:rsidP="002B69B6">
            <w:pPr>
              <w:spacing w:before="120"/>
              <w:jc w:val="center"/>
              <w:rPr>
                <w:sz w:val="2"/>
                <w:szCs w:val="16"/>
              </w:rPr>
            </w:pPr>
            <w:r w:rsidRPr="00691925">
              <w:rPr>
                <w:b/>
                <w:bCs/>
              </w:rPr>
              <w:t>Публични разходи за инвестиции в основен капитал</w:t>
            </w:r>
          </w:p>
        </w:tc>
      </w:tr>
      <w:tr w:rsidR="00876815" w:rsidRPr="007B48E9" w14:paraId="076314EF" w14:textId="77777777" w:rsidTr="002B69B6">
        <w:trPr>
          <w:trHeight w:val="255"/>
          <w:jc w:val="center"/>
        </w:trPr>
        <w:tc>
          <w:tcPr>
            <w:tcW w:w="4127" w:type="dxa"/>
            <w:tcBorders>
              <w:top w:val="single" w:sz="4" w:space="0" w:color="auto"/>
              <w:left w:val="single" w:sz="4" w:space="0" w:color="auto"/>
              <w:bottom w:val="single" w:sz="4" w:space="0" w:color="auto"/>
              <w:right w:val="single" w:sz="4" w:space="0" w:color="auto"/>
            </w:tcBorders>
            <w:noWrap/>
            <w:vAlign w:val="bottom"/>
          </w:tcPr>
          <w:p w14:paraId="7E5B792A" w14:textId="77777777" w:rsidR="00876815" w:rsidRPr="00691925" w:rsidRDefault="00876815" w:rsidP="002B69B6">
            <w:pPr>
              <w:spacing w:before="120"/>
              <w:jc w:val="center"/>
            </w:pPr>
            <w:r w:rsidRPr="00691925">
              <w:t>(% от БВП)</w:t>
            </w:r>
          </w:p>
        </w:tc>
        <w:tc>
          <w:tcPr>
            <w:tcW w:w="786" w:type="dxa"/>
            <w:tcBorders>
              <w:top w:val="single" w:sz="4" w:space="0" w:color="auto"/>
              <w:left w:val="nil"/>
              <w:bottom w:val="single" w:sz="4" w:space="0" w:color="auto"/>
              <w:right w:val="single" w:sz="4" w:space="0" w:color="auto"/>
            </w:tcBorders>
            <w:noWrap/>
            <w:vAlign w:val="bottom"/>
          </w:tcPr>
          <w:p w14:paraId="164438F8" w14:textId="77777777" w:rsidR="00876815" w:rsidRPr="00691925" w:rsidRDefault="00876815" w:rsidP="002B69B6">
            <w:pPr>
              <w:spacing w:before="120"/>
              <w:jc w:val="center"/>
              <w:rPr>
                <w:b/>
                <w:bCs/>
              </w:rPr>
            </w:pPr>
            <w:r w:rsidRPr="00691925">
              <w:rPr>
                <w:b/>
                <w:bCs/>
              </w:rPr>
              <w:t>201</w:t>
            </w:r>
            <w:r w:rsidRPr="00691925">
              <w:rPr>
                <w:b/>
                <w:bCs/>
                <w:lang w:val="en-US"/>
              </w:rPr>
              <w:t>6</w:t>
            </w:r>
          </w:p>
        </w:tc>
        <w:tc>
          <w:tcPr>
            <w:tcW w:w="720" w:type="dxa"/>
            <w:tcBorders>
              <w:top w:val="single" w:sz="4" w:space="0" w:color="auto"/>
              <w:left w:val="nil"/>
              <w:bottom w:val="single" w:sz="4" w:space="0" w:color="auto"/>
              <w:right w:val="single" w:sz="4" w:space="0" w:color="auto"/>
            </w:tcBorders>
            <w:noWrap/>
            <w:vAlign w:val="bottom"/>
          </w:tcPr>
          <w:p w14:paraId="524A4D8C" w14:textId="77777777" w:rsidR="00876815" w:rsidRPr="00691925" w:rsidRDefault="00876815" w:rsidP="002B69B6">
            <w:pPr>
              <w:spacing w:before="120"/>
              <w:jc w:val="center"/>
              <w:rPr>
                <w:b/>
                <w:bCs/>
              </w:rPr>
            </w:pPr>
            <w:r w:rsidRPr="00691925">
              <w:rPr>
                <w:b/>
                <w:bCs/>
              </w:rPr>
              <w:t>201</w:t>
            </w:r>
            <w:r w:rsidRPr="00691925">
              <w:rPr>
                <w:b/>
                <w:bCs/>
                <w:lang w:val="en-US"/>
              </w:rPr>
              <w:t>7</w:t>
            </w:r>
          </w:p>
        </w:tc>
        <w:tc>
          <w:tcPr>
            <w:tcW w:w="720" w:type="dxa"/>
            <w:tcBorders>
              <w:top w:val="single" w:sz="4" w:space="0" w:color="auto"/>
              <w:left w:val="nil"/>
              <w:bottom w:val="single" w:sz="4" w:space="0" w:color="auto"/>
              <w:right w:val="single" w:sz="4" w:space="0" w:color="auto"/>
            </w:tcBorders>
            <w:noWrap/>
            <w:vAlign w:val="bottom"/>
          </w:tcPr>
          <w:p w14:paraId="078DCA55" w14:textId="77777777" w:rsidR="00876815" w:rsidRPr="00691925" w:rsidRDefault="00876815" w:rsidP="002B69B6">
            <w:pPr>
              <w:spacing w:before="120"/>
              <w:jc w:val="center"/>
              <w:rPr>
                <w:b/>
                <w:bCs/>
              </w:rPr>
            </w:pPr>
            <w:r w:rsidRPr="00691925">
              <w:rPr>
                <w:b/>
                <w:bCs/>
              </w:rPr>
              <w:t>201</w:t>
            </w:r>
            <w:r w:rsidRPr="00691925">
              <w:rPr>
                <w:b/>
                <w:bCs/>
                <w:lang w:val="en-US"/>
              </w:rPr>
              <w:t>8</w:t>
            </w:r>
          </w:p>
        </w:tc>
        <w:tc>
          <w:tcPr>
            <w:tcW w:w="697" w:type="dxa"/>
            <w:tcBorders>
              <w:top w:val="single" w:sz="4" w:space="0" w:color="auto"/>
              <w:left w:val="nil"/>
              <w:bottom w:val="single" w:sz="4" w:space="0" w:color="auto"/>
              <w:right w:val="single" w:sz="4" w:space="0" w:color="auto"/>
            </w:tcBorders>
            <w:noWrap/>
            <w:vAlign w:val="bottom"/>
          </w:tcPr>
          <w:p w14:paraId="6597C384" w14:textId="77777777" w:rsidR="00876815" w:rsidRPr="00691925" w:rsidRDefault="00876815" w:rsidP="002B69B6">
            <w:pPr>
              <w:spacing w:before="120"/>
              <w:jc w:val="center"/>
              <w:rPr>
                <w:b/>
                <w:bCs/>
                <w:lang w:val="en-US"/>
              </w:rPr>
            </w:pPr>
            <w:r w:rsidRPr="00691925">
              <w:rPr>
                <w:b/>
                <w:bCs/>
              </w:rPr>
              <w:t>2019</w:t>
            </w:r>
          </w:p>
        </w:tc>
        <w:tc>
          <w:tcPr>
            <w:tcW w:w="709" w:type="dxa"/>
            <w:tcBorders>
              <w:top w:val="single" w:sz="4" w:space="0" w:color="auto"/>
              <w:left w:val="nil"/>
              <w:bottom w:val="single" w:sz="4" w:space="0" w:color="auto"/>
              <w:right w:val="single" w:sz="4" w:space="0" w:color="auto"/>
            </w:tcBorders>
            <w:noWrap/>
            <w:vAlign w:val="bottom"/>
          </w:tcPr>
          <w:p w14:paraId="0A349857" w14:textId="77777777" w:rsidR="00876815" w:rsidRPr="00691925" w:rsidRDefault="00876815" w:rsidP="002B69B6">
            <w:pPr>
              <w:spacing w:before="120"/>
              <w:jc w:val="center"/>
              <w:rPr>
                <w:b/>
                <w:bCs/>
                <w:lang w:val="en-US"/>
              </w:rPr>
            </w:pPr>
            <w:r w:rsidRPr="00691925">
              <w:rPr>
                <w:b/>
                <w:bCs/>
              </w:rPr>
              <w:t>2020</w:t>
            </w:r>
          </w:p>
        </w:tc>
        <w:tc>
          <w:tcPr>
            <w:tcW w:w="620" w:type="dxa"/>
            <w:tcBorders>
              <w:top w:val="single" w:sz="4" w:space="0" w:color="auto"/>
              <w:left w:val="nil"/>
              <w:bottom w:val="single" w:sz="4" w:space="0" w:color="auto"/>
              <w:right w:val="single" w:sz="4" w:space="0" w:color="auto"/>
            </w:tcBorders>
            <w:noWrap/>
            <w:vAlign w:val="bottom"/>
          </w:tcPr>
          <w:p w14:paraId="1EC4FEF9" w14:textId="77777777" w:rsidR="00876815" w:rsidRPr="00691925" w:rsidRDefault="00876815" w:rsidP="002B69B6">
            <w:pPr>
              <w:spacing w:before="120"/>
              <w:jc w:val="center"/>
              <w:rPr>
                <w:b/>
                <w:bCs/>
              </w:rPr>
            </w:pPr>
            <w:r w:rsidRPr="00691925">
              <w:rPr>
                <w:b/>
                <w:bCs/>
              </w:rPr>
              <w:t>202</w:t>
            </w:r>
            <w:r w:rsidRPr="00691925">
              <w:rPr>
                <w:b/>
                <w:bCs/>
                <w:lang w:val="en-US"/>
              </w:rPr>
              <w:t>1</w:t>
            </w:r>
          </w:p>
        </w:tc>
        <w:tc>
          <w:tcPr>
            <w:tcW w:w="765" w:type="dxa"/>
            <w:tcBorders>
              <w:top w:val="single" w:sz="4" w:space="0" w:color="auto"/>
              <w:left w:val="nil"/>
              <w:bottom w:val="single" w:sz="4" w:space="0" w:color="auto"/>
              <w:right w:val="single" w:sz="4" w:space="0" w:color="auto"/>
            </w:tcBorders>
            <w:vAlign w:val="bottom"/>
          </w:tcPr>
          <w:p w14:paraId="0676673C" w14:textId="77777777" w:rsidR="00876815" w:rsidRPr="00691925" w:rsidRDefault="00876815" w:rsidP="002B69B6">
            <w:pPr>
              <w:spacing w:before="120"/>
              <w:jc w:val="center"/>
              <w:rPr>
                <w:b/>
                <w:bCs/>
              </w:rPr>
            </w:pPr>
            <w:r w:rsidRPr="00691925">
              <w:rPr>
                <w:b/>
                <w:bCs/>
              </w:rPr>
              <w:t>2022*</w:t>
            </w:r>
          </w:p>
        </w:tc>
      </w:tr>
      <w:tr w:rsidR="00876815" w:rsidRPr="007B48E9" w14:paraId="64BF2C6B" w14:textId="77777777" w:rsidTr="002B69B6">
        <w:trPr>
          <w:trHeight w:val="70"/>
          <w:jc w:val="center"/>
        </w:trPr>
        <w:tc>
          <w:tcPr>
            <w:tcW w:w="4127" w:type="dxa"/>
            <w:tcBorders>
              <w:top w:val="nil"/>
              <w:left w:val="single" w:sz="4" w:space="0" w:color="auto"/>
              <w:bottom w:val="single" w:sz="4" w:space="0" w:color="auto"/>
              <w:right w:val="single" w:sz="4" w:space="0" w:color="auto"/>
            </w:tcBorders>
            <w:noWrap/>
            <w:vAlign w:val="bottom"/>
          </w:tcPr>
          <w:p w14:paraId="7F26C7C6" w14:textId="77777777" w:rsidR="00876815" w:rsidRPr="008B1DF0" w:rsidRDefault="00876815" w:rsidP="002B69B6">
            <w:pPr>
              <w:spacing w:before="120"/>
              <w:rPr>
                <w:bCs/>
                <w:sz w:val="20"/>
                <w:szCs w:val="20"/>
              </w:rPr>
            </w:pPr>
            <w:r w:rsidRPr="008B1DF0">
              <w:rPr>
                <w:bCs/>
                <w:sz w:val="20"/>
                <w:szCs w:val="20"/>
              </w:rPr>
              <w:t>Европейски съюз (27 държави-членки)</w:t>
            </w:r>
          </w:p>
        </w:tc>
        <w:tc>
          <w:tcPr>
            <w:tcW w:w="786" w:type="dxa"/>
            <w:tcBorders>
              <w:top w:val="nil"/>
              <w:left w:val="nil"/>
              <w:bottom w:val="single" w:sz="4" w:space="0" w:color="auto"/>
              <w:right w:val="single" w:sz="4" w:space="0" w:color="auto"/>
            </w:tcBorders>
            <w:noWrap/>
            <w:vAlign w:val="bottom"/>
          </w:tcPr>
          <w:p w14:paraId="0DCAE48E" w14:textId="77777777" w:rsidR="00876815" w:rsidRPr="008B1DF0" w:rsidRDefault="00876815" w:rsidP="002B69B6">
            <w:pPr>
              <w:spacing w:before="120"/>
              <w:jc w:val="right"/>
              <w:rPr>
                <w:bCs/>
                <w:sz w:val="20"/>
                <w:szCs w:val="20"/>
              </w:rPr>
            </w:pPr>
            <w:r w:rsidRPr="008B1DF0">
              <w:rPr>
                <w:bCs/>
                <w:sz w:val="20"/>
                <w:szCs w:val="20"/>
              </w:rPr>
              <w:t>2,8</w:t>
            </w:r>
          </w:p>
        </w:tc>
        <w:tc>
          <w:tcPr>
            <w:tcW w:w="720" w:type="dxa"/>
            <w:tcBorders>
              <w:top w:val="nil"/>
              <w:left w:val="nil"/>
              <w:bottom w:val="single" w:sz="4" w:space="0" w:color="auto"/>
              <w:right w:val="single" w:sz="4" w:space="0" w:color="auto"/>
            </w:tcBorders>
            <w:noWrap/>
            <w:vAlign w:val="bottom"/>
          </w:tcPr>
          <w:p w14:paraId="3BAEC52C" w14:textId="77777777" w:rsidR="00876815" w:rsidRPr="008B1DF0" w:rsidRDefault="00876815" w:rsidP="002B69B6">
            <w:pPr>
              <w:spacing w:before="120"/>
              <w:jc w:val="right"/>
              <w:rPr>
                <w:bCs/>
                <w:sz w:val="20"/>
                <w:szCs w:val="20"/>
              </w:rPr>
            </w:pPr>
            <w:r w:rsidRPr="008B1DF0">
              <w:rPr>
                <w:bCs/>
                <w:sz w:val="20"/>
                <w:szCs w:val="20"/>
                <w:lang w:val="en-US"/>
              </w:rPr>
              <w:t>2</w:t>
            </w:r>
            <w:r w:rsidRPr="008B1DF0">
              <w:rPr>
                <w:bCs/>
                <w:sz w:val="20"/>
                <w:szCs w:val="20"/>
              </w:rPr>
              <w:t>,</w:t>
            </w:r>
            <w:r w:rsidRPr="008B1DF0">
              <w:rPr>
                <w:bCs/>
                <w:sz w:val="20"/>
                <w:szCs w:val="20"/>
                <w:lang w:val="en-US"/>
              </w:rPr>
              <w:t>8</w:t>
            </w:r>
          </w:p>
        </w:tc>
        <w:tc>
          <w:tcPr>
            <w:tcW w:w="720" w:type="dxa"/>
            <w:tcBorders>
              <w:top w:val="nil"/>
              <w:left w:val="nil"/>
              <w:bottom w:val="single" w:sz="4" w:space="0" w:color="auto"/>
              <w:right w:val="single" w:sz="4" w:space="0" w:color="auto"/>
            </w:tcBorders>
            <w:noWrap/>
            <w:vAlign w:val="bottom"/>
          </w:tcPr>
          <w:p w14:paraId="3ACEFB8E" w14:textId="77777777" w:rsidR="00876815" w:rsidRPr="008B1DF0" w:rsidRDefault="00876815" w:rsidP="002B69B6">
            <w:pPr>
              <w:spacing w:before="120"/>
              <w:jc w:val="right"/>
              <w:rPr>
                <w:bCs/>
                <w:sz w:val="20"/>
                <w:szCs w:val="20"/>
              </w:rPr>
            </w:pPr>
            <w:r w:rsidRPr="008B1DF0">
              <w:rPr>
                <w:bCs/>
                <w:sz w:val="20"/>
                <w:szCs w:val="20"/>
                <w:lang w:val="en-US"/>
              </w:rPr>
              <w:t>2</w:t>
            </w:r>
            <w:r w:rsidRPr="008B1DF0">
              <w:rPr>
                <w:bCs/>
                <w:sz w:val="20"/>
                <w:szCs w:val="20"/>
              </w:rPr>
              <w:t>,</w:t>
            </w:r>
            <w:r w:rsidRPr="008B1DF0">
              <w:rPr>
                <w:bCs/>
                <w:sz w:val="20"/>
                <w:szCs w:val="20"/>
                <w:lang w:val="en-US"/>
              </w:rPr>
              <w:t>9</w:t>
            </w:r>
          </w:p>
        </w:tc>
        <w:tc>
          <w:tcPr>
            <w:tcW w:w="697" w:type="dxa"/>
            <w:tcBorders>
              <w:top w:val="nil"/>
              <w:left w:val="nil"/>
              <w:bottom w:val="single" w:sz="4" w:space="0" w:color="auto"/>
              <w:right w:val="single" w:sz="4" w:space="0" w:color="auto"/>
            </w:tcBorders>
            <w:noWrap/>
            <w:vAlign w:val="bottom"/>
          </w:tcPr>
          <w:p w14:paraId="319556DF" w14:textId="77777777" w:rsidR="00876815" w:rsidRPr="008B1DF0" w:rsidRDefault="00876815" w:rsidP="002B69B6">
            <w:pPr>
              <w:spacing w:before="120"/>
              <w:jc w:val="right"/>
              <w:rPr>
                <w:bCs/>
                <w:sz w:val="20"/>
                <w:szCs w:val="20"/>
              </w:rPr>
            </w:pPr>
            <w:r w:rsidRPr="008B1DF0">
              <w:rPr>
                <w:bCs/>
                <w:sz w:val="20"/>
                <w:szCs w:val="20"/>
              </w:rPr>
              <w:t>3,0</w:t>
            </w:r>
          </w:p>
        </w:tc>
        <w:tc>
          <w:tcPr>
            <w:tcW w:w="709" w:type="dxa"/>
            <w:tcBorders>
              <w:top w:val="nil"/>
              <w:left w:val="nil"/>
              <w:bottom w:val="single" w:sz="4" w:space="0" w:color="auto"/>
              <w:right w:val="single" w:sz="4" w:space="0" w:color="auto"/>
            </w:tcBorders>
            <w:noWrap/>
            <w:vAlign w:val="bottom"/>
          </w:tcPr>
          <w:p w14:paraId="49326C26" w14:textId="77777777" w:rsidR="00876815" w:rsidRPr="008B1DF0" w:rsidRDefault="00876815" w:rsidP="002B69B6">
            <w:pPr>
              <w:spacing w:before="120"/>
              <w:jc w:val="right"/>
              <w:rPr>
                <w:bCs/>
                <w:sz w:val="20"/>
                <w:szCs w:val="20"/>
                <w:lang w:val="en-US"/>
              </w:rPr>
            </w:pPr>
            <w:r w:rsidRPr="008B1DF0">
              <w:rPr>
                <w:bCs/>
                <w:sz w:val="20"/>
                <w:szCs w:val="20"/>
              </w:rPr>
              <w:t>3,3</w:t>
            </w:r>
          </w:p>
        </w:tc>
        <w:tc>
          <w:tcPr>
            <w:tcW w:w="620" w:type="dxa"/>
            <w:tcBorders>
              <w:top w:val="nil"/>
              <w:left w:val="nil"/>
              <w:bottom w:val="single" w:sz="4" w:space="0" w:color="auto"/>
              <w:right w:val="single" w:sz="4" w:space="0" w:color="auto"/>
            </w:tcBorders>
            <w:noWrap/>
            <w:vAlign w:val="bottom"/>
          </w:tcPr>
          <w:p w14:paraId="2E6BBE0E"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2</w:t>
            </w:r>
          </w:p>
        </w:tc>
        <w:tc>
          <w:tcPr>
            <w:tcW w:w="765" w:type="dxa"/>
            <w:tcBorders>
              <w:top w:val="nil"/>
              <w:left w:val="nil"/>
              <w:bottom w:val="single" w:sz="4" w:space="0" w:color="auto"/>
              <w:right w:val="single" w:sz="4" w:space="0" w:color="auto"/>
            </w:tcBorders>
            <w:vAlign w:val="bottom"/>
          </w:tcPr>
          <w:p w14:paraId="7666E72A"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2</w:t>
            </w:r>
          </w:p>
        </w:tc>
      </w:tr>
      <w:tr w:rsidR="00876815" w:rsidRPr="007B48E9" w14:paraId="34002AAA" w14:textId="77777777" w:rsidTr="002B69B6">
        <w:trPr>
          <w:trHeight w:val="137"/>
          <w:jc w:val="center"/>
        </w:trPr>
        <w:tc>
          <w:tcPr>
            <w:tcW w:w="4127" w:type="dxa"/>
            <w:tcBorders>
              <w:top w:val="nil"/>
              <w:left w:val="single" w:sz="4" w:space="0" w:color="auto"/>
              <w:bottom w:val="single" w:sz="4" w:space="0" w:color="auto"/>
              <w:right w:val="single" w:sz="4" w:space="0" w:color="auto"/>
            </w:tcBorders>
            <w:noWrap/>
            <w:vAlign w:val="bottom"/>
          </w:tcPr>
          <w:p w14:paraId="1517EFF2" w14:textId="77777777" w:rsidR="00876815" w:rsidRPr="008B1DF0" w:rsidRDefault="00876815" w:rsidP="002B69B6">
            <w:pPr>
              <w:spacing w:before="120"/>
              <w:rPr>
                <w:bCs/>
                <w:sz w:val="20"/>
                <w:szCs w:val="20"/>
              </w:rPr>
            </w:pPr>
            <w:r w:rsidRPr="008B1DF0">
              <w:rPr>
                <w:bCs/>
                <w:sz w:val="20"/>
                <w:szCs w:val="20"/>
              </w:rPr>
              <w:t>Евро зона (19 държави-членки)</w:t>
            </w:r>
          </w:p>
        </w:tc>
        <w:tc>
          <w:tcPr>
            <w:tcW w:w="786" w:type="dxa"/>
            <w:tcBorders>
              <w:top w:val="nil"/>
              <w:left w:val="nil"/>
              <w:bottom w:val="single" w:sz="4" w:space="0" w:color="auto"/>
              <w:right w:val="single" w:sz="4" w:space="0" w:color="auto"/>
            </w:tcBorders>
            <w:noWrap/>
            <w:vAlign w:val="bottom"/>
          </w:tcPr>
          <w:p w14:paraId="525CE00B" w14:textId="77777777" w:rsidR="00876815" w:rsidRPr="008B1DF0" w:rsidRDefault="00876815" w:rsidP="002B69B6">
            <w:pPr>
              <w:spacing w:before="120"/>
              <w:jc w:val="right"/>
              <w:rPr>
                <w:bCs/>
                <w:sz w:val="20"/>
                <w:szCs w:val="20"/>
              </w:rPr>
            </w:pPr>
            <w:r w:rsidRPr="008B1DF0">
              <w:rPr>
                <w:bCs/>
                <w:sz w:val="20"/>
                <w:szCs w:val="20"/>
              </w:rPr>
              <w:t>2,6</w:t>
            </w:r>
          </w:p>
        </w:tc>
        <w:tc>
          <w:tcPr>
            <w:tcW w:w="720" w:type="dxa"/>
            <w:tcBorders>
              <w:top w:val="nil"/>
              <w:left w:val="nil"/>
              <w:bottom w:val="single" w:sz="4" w:space="0" w:color="auto"/>
              <w:right w:val="single" w:sz="4" w:space="0" w:color="auto"/>
            </w:tcBorders>
            <w:noWrap/>
            <w:vAlign w:val="bottom"/>
          </w:tcPr>
          <w:p w14:paraId="500BEAA0" w14:textId="77777777" w:rsidR="00876815" w:rsidRPr="008B1DF0" w:rsidRDefault="00876815" w:rsidP="002B69B6">
            <w:pPr>
              <w:spacing w:before="120"/>
              <w:jc w:val="right"/>
              <w:rPr>
                <w:bCs/>
                <w:sz w:val="20"/>
                <w:szCs w:val="20"/>
              </w:rPr>
            </w:pPr>
            <w:r w:rsidRPr="008B1DF0">
              <w:rPr>
                <w:bCs/>
                <w:sz w:val="20"/>
                <w:szCs w:val="20"/>
              </w:rPr>
              <w:t>2,6</w:t>
            </w:r>
          </w:p>
        </w:tc>
        <w:tc>
          <w:tcPr>
            <w:tcW w:w="720" w:type="dxa"/>
            <w:tcBorders>
              <w:top w:val="nil"/>
              <w:left w:val="nil"/>
              <w:bottom w:val="single" w:sz="4" w:space="0" w:color="auto"/>
              <w:right w:val="single" w:sz="4" w:space="0" w:color="auto"/>
            </w:tcBorders>
            <w:noWrap/>
            <w:vAlign w:val="bottom"/>
          </w:tcPr>
          <w:p w14:paraId="7434D3CA" w14:textId="77777777" w:rsidR="00876815" w:rsidRPr="008B1DF0" w:rsidRDefault="00876815" w:rsidP="002B69B6">
            <w:pPr>
              <w:spacing w:before="120"/>
              <w:jc w:val="right"/>
              <w:rPr>
                <w:bCs/>
                <w:sz w:val="20"/>
                <w:szCs w:val="20"/>
              </w:rPr>
            </w:pPr>
            <w:r w:rsidRPr="008B1DF0">
              <w:rPr>
                <w:bCs/>
                <w:sz w:val="20"/>
                <w:szCs w:val="20"/>
              </w:rPr>
              <w:t>2,</w:t>
            </w:r>
            <w:r w:rsidRPr="008B1DF0">
              <w:rPr>
                <w:bCs/>
                <w:sz w:val="20"/>
                <w:szCs w:val="20"/>
                <w:lang w:val="en-US"/>
              </w:rPr>
              <w:t>7</w:t>
            </w:r>
          </w:p>
        </w:tc>
        <w:tc>
          <w:tcPr>
            <w:tcW w:w="697" w:type="dxa"/>
            <w:tcBorders>
              <w:top w:val="nil"/>
              <w:left w:val="nil"/>
              <w:bottom w:val="single" w:sz="4" w:space="0" w:color="auto"/>
              <w:right w:val="single" w:sz="4" w:space="0" w:color="auto"/>
            </w:tcBorders>
            <w:noWrap/>
            <w:vAlign w:val="bottom"/>
          </w:tcPr>
          <w:p w14:paraId="29ADDA28" w14:textId="77777777" w:rsidR="00876815" w:rsidRPr="008B1DF0" w:rsidRDefault="00876815" w:rsidP="002B69B6">
            <w:pPr>
              <w:spacing w:before="120"/>
              <w:jc w:val="right"/>
              <w:rPr>
                <w:bCs/>
                <w:sz w:val="20"/>
                <w:szCs w:val="20"/>
              </w:rPr>
            </w:pPr>
            <w:r w:rsidRPr="008B1DF0">
              <w:rPr>
                <w:bCs/>
                <w:sz w:val="20"/>
                <w:szCs w:val="20"/>
              </w:rPr>
              <w:t>2,8</w:t>
            </w:r>
          </w:p>
        </w:tc>
        <w:tc>
          <w:tcPr>
            <w:tcW w:w="709" w:type="dxa"/>
            <w:tcBorders>
              <w:top w:val="nil"/>
              <w:left w:val="nil"/>
              <w:bottom w:val="single" w:sz="4" w:space="0" w:color="auto"/>
              <w:right w:val="single" w:sz="4" w:space="0" w:color="auto"/>
            </w:tcBorders>
            <w:noWrap/>
            <w:vAlign w:val="bottom"/>
          </w:tcPr>
          <w:p w14:paraId="0D96E80E" w14:textId="77777777" w:rsidR="00876815" w:rsidRPr="008B1DF0" w:rsidRDefault="00876815" w:rsidP="002B69B6">
            <w:pPr>
              <w:spacing w:before="120"/>
              <w:jc w:val="right"/>
              <w:rPr>
                <w:bCs/>
                <w:sz w:val="20"/>
                <w:szCs w:val="20"/>
              </w:rPr>
            </w:pPr>
            <w:r w:rsidRPr="008B1DF0">
              <w:rPr>
                <w:bCs/>
                <w:sz w:val="20"/>
                <w:szCs w:val="20"/>
              </w:rPr>
              <w:t>3,</w:t>
            </w:r>
            <w:r w:rsidRPr="008B1DF0">
              <w:rPr>
                <w:bCs/>
                <w:sz w:val="20"/>
                <w:szCs w:val="20"/>
                <w:lang w:val="en-US"/>
              </w:rPr>
              <w:t>0</w:t>
            </w:r>
          </w:p>
        </w:tc>
        <w:tc>
          <w:tcPr>
            <w:tcW w:w="620" w:type="dxa"/>
            <w:tcBorders>
              <w:top w:val="nil"/>
              <w:left w:val="nil"/>
              <w:bottom w:val="single" w:sz="4" w:space="0" w:color="auto"/>
              <w:right w:val="single" w:sz="4" w:space="0" w:color="auto"/>
            </w:tcBorders>
            <w:noWrap/>
            <w:vAlign w:val="bottom"/>
          </w:tcPr>
          <w:p w14:paraId="71512B6A"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0</w:t>
            </w:r>
          </w:p>
        </w:tc>
        <w:tc>
          <w:tcPr>
            <w:tcW w:w="765" w:type="dxa"/>
            <w:tcBorders>
              <w:top w:val="nil"/>
              <w:left w:val="nil"/>
              <w:bottom w:val="single" w:sz="4" w:space="0" w:color="auto"/>
              <w:right w:val="single" w:sz="4" w:space="0" w:color="auto"/>
            </w:tcBorders>
            <w:vAlign w:val="bottom"/>
          </w:tcPr>
          <w:p w14:paraId="51FB628A"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0</w:t>
            </w:r>
          </w:p>
        </w:tc>
      </w:tr>
      <w:tr w:rsidR="00876815" w:rsidRPr="007B48E9" w14:paraId="47666A68" w14:textId="77777777" w:rsidTr="002B69B6">
        <w:trPr>
          <w:trHeight w:val="70"/>
          <w:jc w:val="center"/>
        </w:trPr>
        <w:tc>
          <w:tcPr>
            <w:tcW w:w="4127" w:type="dxa"/>
            <w:tcBorders>
              <w:top w:val="nil"/>
              <w:left w:val="single" w:sz="4" w:space="0" w:color="auto"/>
              <w:bottom w:val="single" w:sz="4" w:space="0" w:color="auto"/>
              <w:right w:val="single" w:sz="4" w:space="0" w:color="auto"/>
            </w:tcBorders>
            <w:noWrap/>
            <w:vAlign w:val="bottom"/>
          </w:tcPr>
          <w:p w14:paraId="05719022" w14:textId="77777777" w:rsidR="00876815" w:rsidRPr="008B1DF0" w:rsidRDefault="00876815" w:rsidP="002B69B6">
            <w:pPr>
              <w:spacing w:before="120"/>
              <w:rPr>
                <w:b/>
                <w:bCs/>
                <w:sz w:val="20"/>
                <w:szCs w:val="20"/>
              </w:rPr>
            </w:pPr>
            <w:r w:rsidRPr="008B1DF0">
              <w:rPr>
                <w:b/>
                <w:bCs/>
                <w:sz w:val="20"/>
                <w:szCs w:val="20"/>
              </w:rPr>
              <w:t>България</w:t>
            </w:r>
          </w:p>
        </w:tc>
        <w:tc>
          <w:tcPr>
            <w:tcW w:w="786" w:type="dxa"/>
            <w:tcBorders>
              <w:top w:val="nil"/>
              <w:left w:val="nil"/>
              <w:bottom w:val="single" w:sz="4" w:space="0" w:color="auto"/>
              <w:right w:val="single" w:sz="4" w:space="0" w:color="auto"/>
            </w:tcBorders>
            <w:noWrap/>
            <w:vAlign w:val="bottom"/>
          </w:tcPr>
          <w:p w14:paraId="70B309B1" w14:textId="77777777" w:rsidR="00876815" w:rsidRPr="008B1DF0" w:rsidRDefault="00876815" w:rsidP="002B69B6">
            <w:pPr>
              <w:spacing w:before="120"/>
              <w:jc w:val="right"/>
              <w:rPr>
                <w:b/>
                <w:bCs/>
                <w:sz w:val="20"/>
                <w:szCs w:val="20"/>
              </w:rPr>
            </w:pPr>
            <w:r w:rsidRPr="008B1DF0">
              <w:rPr>
                <w:b/>
                <w:bCs/>
                <w:sz w:val="20"/>
                <w:szCs w:val="20"/>
              </w:rPr>
              <w:t>2,7</w:t>
            </w:r>
          </w:p>
        </w:tc>
        <w:tc>
          <w:tcPr>
            <w:tcW w:w="720" w:type="dxa"/>
            <w:tcBorders>
              <w:top w:val="nil"/>
              <w:left w:val="nil"/>
              <w:bottom w:val="single" w:sz="4" w:space="0" w:color="auto"/>
              <w:right w:val="single" w:sz="4" w:space="0" w:color="auto"/>
            </w:tcBorders>
            <w:noWrap/>
            <w:vAlign w:val="bottom"/>
          </w:tcPr>
          <w:p w14:paraId="1F87C4FD" w14:textId="77777777" w:rsidR="00876815" w:rsidRPr="008B1DF0" w:rsidRDefault="00876815" w:rsidP="002B69B6">
            <w:pPr>
              <w:spacing w:before="120"/>
              <w:jc w:val="right"/>
              <w:rPr>
                <w:b/>
                <w:bCs/>
                <w:sz w:val="20"/>
                <w:szCs w:val="20"/>
              </w:rPr>
            </w:pPr>
            <w:r w:rsidRPr="008B1DF0">
              <w:rPr>
                <w:b/>
                <w:bCs/>
                <w:sz w:val="20"/>
                <w:szCs w:val="20"/>
              </w:rPr>
              <w:t>2,3</w:t>
            </w:r>
          </w:p>
        </w:tc>
        <w:tc>
          <w:tcPr>
            <w:tcW w:w="720" w:type="dxa"/>
            <w:tcBorders>
              <w:top w:val="nil"/>
              <w:left w:val="nil"/>
              <w:bottom w:val="single" w:sz="4" w:space="0" w:color="auto"/>
              <w:right w:val="single" w:sz="4" w:space="0" w:color="auto"/>
            </w:tcBorders>
            <w:noWrap/>
            <w:vAlign w:val="bottom"/>
          </w:tcPr>
          <w:p w14:paraId="369CD0CA" w14:textId="77777777" w:rsidR="00876815" w:rsidRPr="008B1DF0" w:rsidRDefault="00876815" w:rsidP="002B69B6">
            <w:pPr>
              <w:spacing w:before="120"/>
              <w:jc w:val="right"/>
              <w:rPr>
                <w:b/>
                <w:bCs/>
                <w:sz w:val="20"/>
                <w:szCs w:val="20"/>
                <w:lang w:val="en-US"/>
              </w:rPr>
            </w:pPr>
            <w:r w:rsidRPr="008B1DF0">
              <w:rPr>
                <w:b/>
                <w:bCs/>
                <w:sz w:val="20"/>
                <w:szCs w:val="20"/>
              </w:rPr>
              <w:t>3,1</w:t>
            </w:r>
          </w:p>
        </w:tc>
        <w:tc>
          <w:tcPr>
            <w:tcW w:w="697" w:type="dxa"/>
            <w:tcBorders>
              <w:top w:val="nil"/>
              <w:left w:val="nil"/>
              <w:bottom w:val="single" w:sz="4" w:space="0" w:color="auto"/>
              <w:right w:val="single" w:sz="4" w:space="0" w:color="auto"/>
            </w:tcBorders>
            <w:noWrap/>
            <w:vAlign w:val="bottom"/>
          </w:tcPr>
          <w:p w14:paraId="390295AC" w14:textId="77777777" w:rsidR="00876815" w:rsidRPr="008B1DF0" w:rsidRDefault="00876815" w:rsidP="002B69B6">
            <w:pPr>
              <w:spacing w:before="120"/>
              <w:jc w:val="right"/>
              <w:rPr>
                <w:b/>
                <w:bCs/>
                <w:sz w:val="20"/>
                <w:szCs w:val="20"/>
              </w:rPr>
            </w:pPr>
            <w:r w:rsidRPr="008B1DF0">
              <w:rPr>
                <w:b/>
                <w:bCs/>
                <w:sz w:val="20"/>
                <w:szCs w:val="20"/>
              </w:rPr>
              <w:t>3,</w:t>
            </w:r>
            <w:r w:rsidRPr="008B1DF0">
              <w:rPr>
                <w:b/>
                <w:bCs/>
                <w:sz w:val="20"/>
                <w:szCs w:val="20"/>
                <w:lang w:val="en-US"/>
              </w:rPr>
              <w:t>3</w:t>
            </w:r>
          </w:p>
        </w:tc>
        <w:tc>
          <w:tcPr>
            <w:tcW w:w="709" w:type="dxa"/>
            <w:tcBorders>
              <w:top w:val="nil"/>
              <w:left w:val="nil"/>
              <w:bottom w:val="single" w:sz="4" w:space="0" w:color="auto"/>
              <w:right w:val="single" w:sz="4" w:space="0" w:color="auto"/>
            </w:tcBorders>
            <w:noWrap/>
            <w:vAlign w:val="bottom"/>
          </w:tcPr>
          <w:p w14:paraId="3334BB7B" w14:textId="77777777" w:rsidR="00876815" w:rsidRPr="008B1DF0" w:rsidRDefault="00876815" w:rsidP="002B69B6">
            <w:pPr>
              <w:spacing w:before="120"/>
              <w:jc w:val="right"/>
              <w:rPr>
                <w:b/>
                <w:bCs/>
                <w:sz w:val="20"/>
                <w:szCs w:val="20"/>
                <w:lang w:val="en-US"/>
              </w:rPr>
            </w:pPr>
            <w:r w:rsidRPr="008B1DF0">
              <w:rPr>
                <w:b/>
                <w:bCs/>
                <w:sz w:val="20"/>
                <w:szCs w:val="20"/>
                <w:lang w:val="en-US"/>
              </w:rPr>
              <w:t>3</w:t>
            </w:r>
            <w:r w:rsidRPr="008B1DF0">
              <w:rPr>
                <w:b/>
                <w:bCs/>
                <w:sz w:val="20"/>
                <w:szCs w:val="20"/>
              </w:rPr>
              <w:t>,</w:t>
            </w:r>
            <w:r w:rsidRPr="008B1DF0">
              <w:rPr>
                <w:b/>
                <w:bCs/>
                <w:sz w:val="20"/>
                <w:szCs w:val="20"/>
                <w:lang w:val="en-US"/>
              </w:rPr>
              <w:t>3</w:t>
            </w:r>
          </w:p>
        </w:tc>
        <w:tc>
          <w:tcPr>
            <w:tcW w:w="620" w:type="dxa"/>
            <w:tcBorders>
              <w:top w:val="nil"/>
              <w:left w:val="nil"/>
              <w:bottom w:val="single" w:sz="4" w:space="0" w:color="auto"/>
              <w:right w:val="single" w:sz="4" w:space="0" w:color="auto"/>
            </w:tcBorders>
            <w:noWrap/>
            <w:vAlign w:val="bottom"/>
          </w:tcPr>
          <w:p w14:paraId="090928EA" w14:textId="77777777" w:rsidR="00876815" w:rsidRPr="008B1DF0" w:rsidRDefault="00876815" w:rsidP="002B69B6">
            <w:pPr>
              <w:spacing w:before="120"/>
              <w:jc w:val="right"/>
              <w:rPr>
                <w:b/>
                <w:bCs/>
                <w:sz w:val="20"/>
                <w:szCs w:val="20"/>
                <w:lang w:val="en-US"/>
              </w:rPr>
            </w:pPr>
            <w:r w:rsidRPr="008B1DF0">
              <w:rPr>
                <w:b/>
                <w:bCs/>
                <w:sz w:val="20"/>
                <w:szCs w:val="20"/>
                <w:lang w:val="en-US"/>
              </w:rPr>
              <w:t>2</w:t>
            </w:r>
            <w:r w:rsidRPr="008B1DF0">
              <w:rPr>
                <w:b/>
                <w:bCs/>
                <w:sz w:val="20"/>
                <w:szCs w:val="20"/>
              </w:rPr>
              <w:t>,</w:t>
            </w:r>
            <w:r w:rsidRPr="008B1DF0">
              <w:rPr>
                <w:b/>
                <w:bCs/>
                <w:sz w:val="20"/>
                <w:szCs w:val="20"/>
                <w:lang w:val="en-US"/>
              </w:rPr>
              <w:t>6</w:t>
            </w:r>
          </w:p>
        </w:tc>
        <w:tc>
          <w:tcPr>
            <w:tcW w:w="765" w:type="dxa"/>
            <w:tcBorders>
              <w:top w:val="nil"/>
              <w:left w:val="nil"/>
              <w:bottom w:val="single" w:sz="4" w:space="0" w:color="auto"/>
              <w:right w:val="single" w:sz="4" w:space="0" w:color="auto"/>
            </w:tcBorders>
            <w:vAlign w:val="bottom"/>
          </w:tcPr>
          <w:p w14:paraId="3F735A92" w14:textId="77777777" w:rsidR="00876815" w:rsidRPr="008B1DF0" w:rsidRDefault="00876815" w:rsidP="002B69B6">
            <w:pPr>
              <w:spacing w:before="120"/>
              <w:jc w:val="right"/>
              <w:rPr>
                <w:b/>
                <w:bCs/>
                <w:sz w:val="20"/>
                <w:szCs w:val="20"/>
                <w:lang w:val="en-US"/>
              </w:rPr>
            </w:pPr>
            <w:r w:rsidRPr="008B1DF0">
              <w:rPr>
                <w:b/>
                <w:bCs/>
                <w:sz w:val="20"/>
                <w:szCs w:val="20"/>
                <w:lang w:val="en-US"/>
              </w:rPr>
              <w:t>3</w:t>
            </w:r>
            <w:r w:rsidRPr="008B1DF0">
              <w:rPr>
                <w:b/>
                <w:bCs/>
                <w:sz w:val="20"/>
                <w:szCs w:val="20"/>
              </w:rPr>
              <w:t>,</w:t>
            </w:r>
            <w:r w:rsidRPr="008B1DF0">
              <w:rPr>
                <w:b/>
                <w:bCs/>
                <w:sz w:val="20"/>
                <w:szCs w:val="20"/>
                <w:lang w:val="en-US"/>
              </w:rPr>
              <w:t>0</w:t>
            </w:r>
          </w:p>
        </w:tc>
      </w:tr>
      <w:tr w:rsidR="00876815" w:rsidRPr="007B48E9" w14:paraId="628967A5" w14:textId="77777777" w:rsidTr="002B69B6">
        <w:trPr>
          <w:trHeight w:val="122"/>
          <w:jc w:val="center"/>
        </w:trPr>
        <w:tc>
          <w:tcPr>
            <w:tcW w:w="4127" w:type="dxa"/>
            <w:tcBorders>
              <w:top w:val="nil"/>
              <w:left w:val="single" w:sz="4" w:space="0" w:color="auto"/>
              <w:bottom w:val="single" w:sz="4" w:space="0" w:color="auto"/>
              <w:right w:val="single" w:sz="4" w:space="0" w:color="auto"/>
            </w:tcBorders>
            <w:noWrap/>
            <w:vAlign w:val="bottom"/>
          </w:tcPr>
          <w:p w14:paraId="3F0CE9AE" w14:textId="77777777" w:rsidR="00876815" w:rsidRPr="008B1DF0" w:rsidRDefault="00876815" w:rsidP="002B69B6">
            <w:pPr>
              <w:spacing w:before="120"/>
              <w:rPr>
                <w:bCs/>
                <w:sz w:val="20"/>
                <w:szCs w:val="20"/>
              </w:rPr>
            </w:pPr>
            <w:r w:rsidRPr="008B1DF0">
              <w:rPr>
                <w:bCs/>
                <w:sz w:val="20"/>
                <w:szCs w:val="20"/>
              </w:rPr>
              <w:t>Ирландия</w:t>
            </w:r>
          </w:p>
        </w:tc>
        <w:tc>
          <w:tcPr>
            <w:tcW w:w="786" w:type="dxa"/>
            <w:tcBorders>
              <w:top w:val="nil"/>
              <w:left w:val="nil"/>
              <w:bottom w:val="single" w:sz="4" w:space="0" w:color="auto"/>
              <w:right w:val="single" w:sz="4" w:space="0" w:color="auto"/>
            </w:tcBorders>
            <w:noWrap/>
            <w:vAlign w:val="bottom"/>
          </w:tcPr>
          <w:p w14:paraId="6D6D8024" w14:textId="77777777" w:rsidR="00876815" w:rsidRPr="008B1DF0" w:rsidRDefault="00876815" w:rsidP="002B69B6">
            <w:pPr>
              <w:spacing w:before="120"/>
              <w:jc w:val="right"/>
              <w:rPr>
                <w:bCs/>
                <w:sz w:val="20"/>
                <w:szCs w:val="20"/>
              </w:rPr>
            </w:pPr>
            <w:r w:rsidRPr="008B1DF0">
              <w:rPr>
                <w:bCs/>
                <w:sz w:val="20"/>
                <w:szCs w:val="20"/>
              </w:rPr>
              <w:t>2,0</w:t>
            </w:r>
          </w:p>
        </w:tc>
        <w:tc>
          <w:tcPr>
            <w:tcW w:w="720" w:type="dxa"/>
            <w:tcBorders>
              <w:top w:val="nil"/>
              <w:left w:val="nil"/>
              <w:bottom w:val="single" w:sz="4" w:space="0" w:color="auto"/>
              <w:right w:val="single" w:sz="4" w:space="0" w:color="auto"/>
            </w:tcBorders>
            <w:noWrap/>
            <w:vAlign w:val="bottom"/>
          </w:tcPr>
          <w:p w14:paraId="1CD9CD4E" w14:textId="77777777" w:rsidR="00876815" w:rsidRPr="008B1DF0" w:rsidRDefault="00876815" w:rsidP="002B69B6">
            <w:pPr>
              <w:spacing w:before="120"/>
              <w:jc w:val="right"/>
              <w:rPr>
                <w:bCs/>
                <w:sz w:val="20"/>
                <w:szCs w:val="20"/>
              </w:rPr>
            </w:pPr>
            <w:r w:rsidRPr="008B1DF0">
              <w:rPr>
                <w:bCs/>
                <w:sz w:val="20"/>
                <w:szCs w:val="20"/>
              </w:rPr>
              <w:t>1,</w:t>
            </w:r>
            <w:r w:rsidRPr="008B1DF0">
              <w:rPr>
                <w:bCs/>
                <w:sz w:val="20"/>
                <w:szCs w:val="20"/>
                <w:lang w:val="en-US"/>
              </w:rPr>
              <w:t>9</w:t>
            </w:r>
          </w:p>
        </w:tc>
        <w:tc>
          <w:tcPr>
            <w:tcW w:w="720" w:type="dxa"/>
            <w:tcBorders>
              <w:top w:val="nil"/>
              <w:left w:val="nil"/>
              <w:bottom w:val="single" w:sz="4" w:space="0" w:color="auto"/>
              <w:right w:val="single" w:sz="4" w:space="0" w:color="auto"/>
            </w:tcBorders>
            <w:noWrap/>
            <w:vAlign w:val="bottom"/>
          </w:tcPr>
          <w:p w14:paraId="6AA5F649" w14:textId="77777777" w:rsidR="00876815" w:rsidRPr="008B1DF0" w:rsidRDefault="00876815" w:rsidP="002B69B6">
            <w:pPr>
              <w:spacing w:before="120"/>
              <w:jc w:val="right"/>
              <w:rPr>
                <w:bCs/>
                <w:sz w:val="20"/>
                <w:szCs w:val="20"/>
                <w:lang w:val="en-US"/>
              </w:rPr>
            </w:pPr>
            <w:r w:rsidRPr="008B1DF0">
              <w:rPr>
                <w:bCs/>
                <w:sz w:val="20"/>
                <w:szCs w:val="20"/>
                <w:lang w:val="en-US"/>
              </w:rPr>
              <w:t>2</w:t>
            </w:r>
            <w:r w:rsidRPr="008B1DF0">
              <w:rPr>
                <w:bCs/>
                <w:sz w:val="20"/>
                <w:szCs w:val="20"/>
              </w:rPr>
              <w:t>,</w:t>
            </w:r>
            <w:r w:rsidRPr="008B1DF0">
              <w:rPr>
                <w:bCs/>
                <w:sz w:val="20"/>
                <w:szCs w:val="20"/>
                <w:lang w:val="en-US"/>
              </w:rPr>
              <w:t>0</w:t>
            </w:r>
          </w:p>
        </w:tc>
        <w:tc>
          <w:tcPr>
            <w:tcW w:w="697" w:type="dxa"/>
            <w:tcBorders>
              <w:top w:val="nil"/>
              <w:left w:val="nil"/>
              <w:bottom w:val="single" w:sz="4" w:space="0" w:color="auto"/>
              <w:right w:val="single" w:sz="4" w:space="0" w:color="auto"/>
            </w:tcBorders>
            <w:noWrap/>
            <w:vAlign w:val="bottom"/>
          </w:tcPr>
          <w:p w14:paraId="7BE63D43" w14:textId="77777777" w:rsidR="00876815" w:rsidRPr="008B1DF0" w:rsidRDefault="00876815" w:rsidP="002B69B6">
            <w:pPr>
              <w:spacing w:before="120"/>
              <w:jc w:val="right"/>
              <w:rPr>
                <w:bCs/>
                <w:sz w:val="20"/>
                <w:szCs w:val="20"/>
                <w:lang w:val="en-US"/>
              </w:rPr>
            </w:pPr>
            <w:r w:rsidRPr="008B1DF0">
              <w:rPr>
                <w:bCs/>
                <w:sz w:val="20"/>
                <w:szCs w:val="20"/>
                <w:lang w:val="en-US"/>
              </w:rPr>
              <w:t>2</w:t>
            </w:r>
            <w:r w:rsidRPr="008B1DF0">
              <w:rPr>
                <w:bCs/>
                <w:sz w:val="20"/>
                <w:szCs w:val="20"/>
              </w:rPr>
              <w:t>,</w:t>
            </w:r>
            <w:r w:rsidRPr="008B1DF0">
              <w:rPr>
                <w:bCs/>
                <w:sz w:val="20"/>
                <w:szCs w:val="20"/>
                <w:lang w:val="en-US"/>
              </w:rPr>
              <w:t>3</w:t>
            </w:r>
          </w:p>
        </w:tc>
        <w:tc>
          <w:tcPr>
            <w:tcW w:w="709" w:type="dxa"/>
            <w:tcBorders>
              <w:top w:val="nil"/>
              <w:left w:val="nil"/>
              <w:bottom w:val="single" w:sz="4" w:space="0" w:color="auto"/>
              <w:right w:val="single" w:sz="4" w:space="0" w:color="auto"/>
            </w:tcBorders>
            <w:noWrap/>
            <w:vAlign w:val="bottom"/>
          </w:tcPr>
          <w:p w14:paraId="4AC91F03" w14:textId="77777777" w:rsidR="00876815" w:rsidRPr="008B1DF0" w:rsidRDefault="00876815" w:rsidP="002B69B6">
            <w:pPr>
              <w:spacing w:before="120"/>
              <w:jc w:val="right"/>
              <w:rPr>
                <w:bCs/>
                <w:sz w:val="20"/>
                <w:szCs w:val="20"/>
                <w:lang w:val="en-US"/>
              </w:rPr>
            </w:pPr>
            <w:r w:rsidRPr="008B1DF0">
              <w:rPr>
                <w:bCs/>
                <w:sz w:val="20"/>
                <w:szCs w:val="20"/>
                <w:lang w:val="en-US"/>
              </w:rPr>
              <w:t>2</w:t>
            </w:r>
            <w:r w:rsidRPr="008B1DF0">
              <w:rPr>
                <w:bCs/>
                <w:sz w:val="20"/>
                <w:szCs w:val="20"/>
              </w:rPr>
              <w:t>,</w:t>
            </w:r>
            <w:r w:rsidRPr="008B1DF0">
              <w:rPr>
                <w:bCs/>
                <w:sz w:val="20"/>
                <w:szCs w:val="20"/>
                <w:lang w:val="en-US"/>
              </w:rPr>
              <w:t>3</w:t>
            </w:r>
          </w:p>
        </w:tc>
        <w:tc>
          <w:tcPr>
            <w:tcW w:w="620" w:type="dxa"/>
            <w:tcBorders>
              <w:top w:val="nil"/>
              <w:left w:val="nil"/>
              <w:bottom w:val="single" w:sz="4" w:space="0" w:color="auto"/>
              <w:right w:val="single" w:sz="4" w:space="0" w:color="auto"/>
            </w:tcBorders>
            <w:noWrap/>
            <w:vAlign w:val="bottom"/>
          </w:tcPr>
          <w:p w14:paraId="20B790AE" w14:textId="77777777" w:rsidR="00876815" w:rsidRPr="008B1DF0" w:rsidRDefault="00876815" w:rsidP="002B69B6">
            <w:pPr>
              <w:spacing w:before="120"/>
              <w:jc w:val="right"/>
              <w:rPr>
                <w:bCs/>
                <w:sz w:val="20"/>
                <w:szCs w:val="20"/>
                <w:lang w:val="en-US"/>
              </w:rPr>
            </w:pPr>
            <w:r w:rsidRPr="008B1DF0">
              <w:rPr>
                <w:bCs/>
                <w:sz w:val="20"/>
                <w:szCs w:val="20"/>
                <w:lang w:val="en-US"/>
              </w:rPr>
              <w:t>2</w:t>
            </w:r>
            <w:r w:rsidRPr="008B1DF0">
              <w:rPr>
                <w:bCs/>
                <w:sz w:val="20"/>
                <w:szCs w:val="20"/>
              </w:rPr>
              <w:t>,</w:t>
            </w:r>
            <w:r w:rsidRPr="008B1DF0">
              <w:rPr>
                <w:bCs/>
                <w:sz w:val="20"/>
                <w:szCs w:val="20"/>
                <w:lang w:val="en-US"/>
              </w:rPr>
              <w:t>0</w:t>
            </w:r>
          </w:p>
        </w:tc>
        <w:tc>
          <w:tcPr>
            <w:tcW w:w="765" w:type="dxa"/>
            <w:tcBorders>
              <w:top w:val="nil"/>
              <w:left w:val="nil"/>
              <w:bottom w:val="single" w:sz="4" w:space="0" w:color="auto"/>
              <w:right w:val="single" w:sz="4" w:space="0" w:color="auto"/>
            </w:tcBorders>
            <w:vAlign w:val="bottom"/>
          </w:tcPr>
          <w:p w14:paraId="3D362DD7" w14:textId="77777777" w:rsidR="00876815" w:rsidRPr="008B1DF0" w:rsidRDefault="00876815" w:rsidP="002B69B6">
            <w:pPr>
              <w:spacing w:before="120"/>
              <w:jc w:val="right"/>
              <w:rPr>
                <w:bCs/>
                <w:sz w:val="20"/>
                <w:szCs w:val="20"/>
                <w:lang w:val="en-US"/>
              </w:rPr>
            </w:pPr>
            <w:r w:rsidRPr="008B1DF0">
              <w:rPr>
                <w:bCs/>
                <w:sz w:val="20"/>
                <w:szCs w:val="20"/>
                <w:lang w:val="en-US"/>
              </w:rPr>
              <w:t>2</w:t>
            </w:r>
            <w:r w:rsidRPr="008B1DF0">
              <w:rPr>
                <w:bCs/>
                <w:sz w:val="20"/>
                <w:szCs w:val="20"/>
              </w:rPr>
              <w:t>,</w:t>
            </w:r>
            <w:r w:rsidRPr="008B1DF0">
              <w:rPr>
                <w:bCs/>
                <w:sz w:val="20"/>
                <w:szCs w:val="20"/>
                <w:lang w:val="en-US"/>
              </w:rPr>
              <w:t>0</w:t>
            </w:r>
          </w:p>
        </w:tc>
      </w:tr>
      <w:tr w:rsidR="00876815" w:rsidRPr="007B48E9" w14:paraId="68D617EB" w14:textId="77777777" w:rsidTr="002B69B6">
        <w:trPr>
          <w:trHeight w:val="74"/>
          <w:jc w:val="center"/>
        </w:trPr>
        <w:tc>
          <w:tcPr>
            <w:tcW w:w="4127" w:type="dxa"/>
            <w:tcBorders>
              <w:top w:val="nil"/>
              <w:left w:val="single" w:sz="4" w:space="0" w:color="auto"/>
              <w:bottom w:val="single" w:sz="4" w:space="0" w:color="auto"/>
              <w:right w:val="single" w:sz="4" w:space="0" w:color="auto"/>
            </w:tcBorders>
            <w:noWrap/>
            <w:vAlign w:val="bottom"/>
          </w:tcPr>
          <w:p w14:paraId="4C5A1D47" w14:textId="77777777" w:rsidR="00876815" w:rsidRPr="008B1DF0" w:rsidRDefault="00876815" w:rsidP="002B69B6">
            <w:pPr>
              <w:spacing w:before="120"/>
              <w:rPr>
                <w:bCs/>
                <w:sz w:val="20"/>
                <w:szCs w:val="20"/>
              </w:rPr>
            </w:pPr>
            <w:r w:rsidRPr="008B1DF0">
              <w:rPr>
                <w:bCs/>
                <w:sz w:val="20"/>
                <w:szCs w:val="20"/>
              </w:rPr>
              <w:t>Испания</w:t>
            </w:r>
          </w:p>
        </w:tc>
        <w:tc>
          <w:tcPr>
            <w:tcW w:w="786" w:type="dxa"/>
            <w:tcBorders>
              <w:top w:val="nil"/>
              <w:left w:val="nil"/>
              <w:bottom w:val="single" w:sz="4" w:space="0" w:color="auto"/>
              <w:right w:val="single" w:sz="4" w:space="0" w:color="auto"/>
            </w:tcBorders>
            <w:noWrap/>
            <w:vAlign w:val="bottom"/>
          </w:tcPr>
          <w:p w14:paraId="3821FBB1" w14:textId="77777777" w:rsidR="00876815" w:rsidRPr="008B1DF0" w:rsidRDefault="00876815" w:rsidP="002B69B6">
            <w:pPr>
              <w:spacing w:before="120"/>
              <w:jc w:val="right"/>
              <w:rPr>
                <w:bCs/>
                <w:sz w:val="20"/>
                <w:szCs w:val="20"/>
              </w:rPr>
            </w:pPr>
            <w:r w:rsidRPr="008B1DF0">
              <w:rPr>
                <w:bCs/>
                <w:sz w:val="20"/>
                <w:szCs w:val="20"/>
              </w:rPr>
              <w:t>2,0</w:t>
            </w:r>
          </w:p>
        </w:tc>
        <w:tc>
          <w:tcPr>
            <w:tcW w:w="720" w:type="dxa"/>
            <w:tcBorders>
              <w:top w:val="nil"/>
              <w:left w:val="nil"/>
              <w:bottom w:val="single" w:sz="4" w:space="0" w:color="auto"/>
              <w:right w:val="single" w:sz="4" w:space="0" w:color="auto"/>
            </w:tcBorders>
            <w:noWrap/>
            <w:vAlign w:val="bottom"/>
          </w:tcPr>
          <w:p w14:paraId="0AC19969" w14:textId="77777777" w:rsidR="00876815" w:rsidRPr="008B1DF0" w:rsidRDefault="00876815" w:rsidP="002B69B6">
            <w:pPr>
              <w:spacing w:before="120"/>
              <w:jc w:val="right"/>
              <w:rPr>
                <w:bCs/>
                <w:sz w:val="20"/>
                <w:szCs w:val="20"/>
              </w:rPr>
            </w:pPr>
            <w:r w:rsidRPr="008B1DF0">
              <w:rPr>
                <w:bCs/>
                <w:sz w:val="20"/>
                <w:szCs w:val="20"/>
              </w:rPr>
              <w:t>2,0</w:t>
            </w:r>
          </w:p>
        </w:tc>
        <w:tc>
          <w:tcPr>
            <w:tcW w:w="720" w:type="dxa"/>
            <w:tcBorders>
              <w:top w:val="nil"/>
              <w:left w:val="nil"/>
              <w:bottom w:val="single" w:sz="4" w:space="0" w:color="auto"/>
              <w:right w:val="single" w:sz="4" w:space="0" w:color="auto"/>
            </w:tcBorders>
            <w:noWrap/>
            <w:vAlign w:val="bottom"/>
          </w:tcPr>
          <w:p w14:paraId="4026F808"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2</w:t>
            </w:r>
          </w:p>
        </w:tc>
        <w:tc>
          <w:tcPr>
            <w:tcW w:w="697" w:type="dxa"/>
            <w:tcBorders>
              <w:top w:val="nil"/>
              <w:left w:val="nil"/>
              <w:bottom w:val="single" w:sz="4" w:space="0" w:color="auto"/>
              <w:right w:val="single" w:sz="4" w:space="0" w:color="auto"/>
            </w:tcBorders>
            <w:noWrap/>
            <w:vAlign w:val="bottom"/>
          </w:tcPr>
          <w:p w14:paraId="32062F29"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2</w:t>
            </w:r>
          </w:p>
        </w:tc>
        <w:tc>
          <w:tcPr>
            <w:tcW w:w="709" w:type="dxa"/>
            <w:tcBorders>
              <w:top w:val="nil"/>
              <w:left w:val="nil"/>
              <w:bottom w:val="single" w:sz="4" w:space="0" w:color="auto"/>
              <w:right w:val="single" w:sz="4" w:space="0" w:color="auto"/>
            </w:tcBorders>
            <w:noWrap/>
            <w:vAlign w:val="bottom"/>
          </w:tcPr>
          <w:p w14:paraId="324C1315" w14:textId="77777777" w:rsidR="00876815" w:rsidRPr="008B1DF0" w:rsidRDefault="00876815" w:rsidP="002B69B6">
            <w:pPr>
              <w:spacing w:before="120"/>
              <w:jc w:val="right"/>
              <w:rPr>
                <w:bCs/>
                <w:sz w:val="20"/>
                <w:szCs w:val="20"/>
              </w:rPr>
            </w:pPr>
            <w:r w:rsidRPr="008B1DF0">
              <w:rPr>
                <w:bCs/>
                <w:sz w:val="20"/>
                <w:szCs w:val="20"/>
              </w:rPr>
              <w:t>2,</w:t>
            </w:r>
            <w:r w:rsidRPr="008B1DF0">
              <w:rPr>
                <w:bCs/>
                <w:sz w:val="20"/>
                <w:szCs w:val="20"/>
                <w:lang w:val="en-US"/>
              </w:rPr>
              <w:t>6</w:t>
            </w:r>
          </w:p>
        </w:tc>
        <w:tc>
          <w:tcPr>
            <w:tcW w:w="620" w:type="dxa"/>
            <w:tcBorders>
              <w:top w:val="nil"/>
              <w:left w:val="nil"/>
              <w:bottom w:val="single" w:sz="4" w:space="0" w:color="auto"/>
              <w:right w:val="single" w:sz="4" w:space="0" w:color="auto"/>
            </w:tcBorders>
            <w:noWrap/>
            <w:vAlign w:val="bottom"/>
          </w:tcPr>
          <w:p w14:paraId="2B84E8A4"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7</w:t>
            </w:r>
          </w:p>
        </w:tc>
        <w:tc>
          <w:tcPr>
            <w:tcW w:w="765" w:type="dxa"/>
            <w:tcBorders>
              <w:top w:val="nil"/>
              <w:left w:val="nil"/>
              <w:bottom w:val="single" w:sz="4" w:space="0" w:color="auto"/>
              <w:right w:val="single" w:sz="4" w:space="0" w:color="auto"/>
            </w:tcBorders>
            <w:vAlign w:val="bottom"/>
          </w:tcPr>
          <w:p w14:paraId="24DDB784"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8</w:t>
            </w:r>
          </w:p>
        </w:tc>
      </w:tr>
      <w:tr w:rsidR="00876815" w:rsidRPr="007B48E9" w14:paraId="6CED00E5" w14:textId="77777777" w:rsidTr="002B69B6">
        <w:trPr>
          <w:trHeight w:val="70"/>
          <w:jc w:val="center"/>
        </w:trPr>
        <w:tc>
          <w:tcPr>
            <w:tcW w:w="4127" w:type="dxa"/>
            <w:tcBorders>
              <w:top w:val="nil"/>
              <w:left w:val="single" w:sz="4" w:space="0" w:color="auto"/>
              <w:bottom w:val="single" w:sz="4" w:space="0" w:color="auto"/>
              <w:right w:val="single" w:sz="4" w:space="0" w:color="auto"/>
            </w:tcBorders>
            <w:noWrap/>
            <w:vAlign w:val="bottom"/>
          </w:tcPr>
          <w:p w14:paraId="786091D2" w14:textId="77777777" w:rsidR="00876815" w:rsidRPr="008B1DF0" w:rsidRDefault="00876815" w:rsidP="002B69B6">
            <w:pPr>
              <w:spacing w:before="120"/>
              <w:rPr>
                <w:bCs/>
                <w:sz w:val="20"/>
                <w:szCs w:val="20"/>
              </w:rPr>
            </w:pPr>
            <w:r w:rsidRPr="008B1DF0">
              <w:rPr>
                <w:bCs/>
                <w:sz w:val="20"/>
                <w:szCs w:val="20"/>
              </w:rPr>
              <w:t>Италия</w:t>
            </w:r>
          </w:p>
        </w:tc>
        <w:tc>
          <w:tcPr>
            <w:tcW w:w="786" w:type="dxa"/>
            <w:tcBorders>
              <w:top w:val="nil"/>
              <w:left w:val="nil"/>
              <w:bottom w:val="single" w:sz="4" w:space="0" w:color="auto"/>
              <w:right w:val="single" w:sz="4" w:space="0" w:color="auto"/>
            </w:tcBorders>
            <w:noWrap/>
            <w:vAlign w:val="bottom"/>
          </w:tcPr>
          <w:p w14:paraId="2BC7245E" w14:textId="77777777" w:rsidR="00876815" w:rsidRPr="008B1DF0" w:rsidRDefault="00876815" w:rsidP="002B69B6">
            <w:pPr>
              <w:spacing w:before="120"/>
              <w:jc w:val="right"/>
              <w:rPr>
                <w:bCs/>
                <w:sz w:val="20"/>
                <w:szCs w:val="20"/>
              </w:rPr>
            </w:pPr>
            <w:r w:rsidRPr="008B1DF0">
              <w:rPr>
                <w:bCs/>
                <w:sz w:val="20"/>
                <w:szCs w:val="20"/>
              </w:rPr>
              <w:t>2,3</w:t>
            </w:r>
          </w:p>
        </w:tc>
        <w:tc>
          <w:tcPr>
            <w:tcW w:w="720" w:type="dxa"/>
            <w:tcBorders>
              <w:top w:val="nil"/>
              <w:left w:val="nil"/>
              <w:bottom w:val="single" w:sz="4" w:space="0" w:color="auto"/>
              <w:right w:val="single" w:sz="4" w:space="0" w:color="auto"/>
            </w:tcBorders>
            <w:noWrap/>
            <w:vAlign w:val="bottom"/>
          </w:tcPr>
          <w:p w14:paraId="11CB0663" w14:textId="77777777" w:rsidR="00876815" w:rsidRPr="008B1DF0" w:rsidRDefault="00876815" w:rsidP="002B69B6">
            <w:pPr>
              <w:spacing w:before="120"/>
              <w:jc w:val="right"/>
              <w:rPr>
                <w:bCs/>
                <w:sz w:val="20"/>
                <w:szCs w:val="20"/>
              </w:rPr>
            </w:pPr>
            <w:r w:rsidRPr="008B1DF0">
              <w:rPr>
                <w:bCs/>
                <w:sz w:val="20"/>
                <w:szCs w:val="20"/>
              </w:rPr>
              <w:t>2,</w:t>
            </w:r>
            <w:r w:rsidRPr="008B1DF0">
              <w:rPr>
                <w:bCs/>
                <w:sz w:val="20"/>
                <w:szCs w:val="20"/>
                <w:lang w:val="en-US"/>
              </w:rPr>
              <w:t>2</w:t>
            </w:r>
          </w:p>
        </w:tc>
        <w:tc>
          <w:tcPr>
            <w:tcW w:w="720" w:type="dxa"/>
            <w:tcBorders>
              <w:top w:val="nil"/>
              <w:left w:val="nil"/>
              <w:bottom w:val="single" w:sz="4" w:space="0" w:color="auto"/>
              <w:right w:val="single" w:sz="4" w:space="0" w:color="auto"/>
            </w:tcBorders>
            <w:noWrap/>
            <w:vAlign w:val="bottom"/>
          </w:tcPr>
          <w:p w14:paraId="34C0CE72"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1</w:t>
            </w:r>
          </w:p>
        </w:tc>
        <w:tc>
          <w:tcPr>
            <w:tcW w:w="697" w:type="dxa"/>
            <w:tcBorders>
              <w:top w:val="nil"/>
              <w:left w:val="nil"/>
              <w:bottom w:val="single" w:sz="4" w:space="0" w:color="auto"/>
              <w:right w:val="single" w:sz="4" w:space="0" w:color="auto"/>
            </w:tcBorders>
            <w:noWrap/>
            <w:vAlign w:val="bottom"/>
          </w:tcPr>
          <w:p w14:paraId="63BCB405" w14:textId="77777777" w:rsidR="00876815" w:rsidRPr="008B1DF0" w:rsidRDefault="00876815" w:rsidP="002B69B6">
            <w:pPr>
              <w:spacing w:before="120"/>
              <w:jc w:val="right"/>
              <w:rPr>
                <w:bCs/>
                <w:sz w:val="20"/>
                <w:szCs w:val="20"/>
              </w:rPr>
            </w:pPr>
            <w:r w:rsidRPr="008B1DF0">
              <w:rPr>
                <w:bCs/>
                <w:sz w:val="20"/>
                <w:szCs w:val="20"/>
              </w:rPr>
              <w:t>2,3</w:t>
            </w:r>
          </w:p>
        </w:tc>
        <w:tc>
          <w:tcPr>
            <w:tcW w:w="709" w:type="dxa"/>
            <w:tcBorders>
              <w:top w:val="nil"/>
              <w:left w:val="nil"/>
              <w:bottom w:val="single" w:sz="4" w:space="0" w:color="auto"/>
              <w:right w:val="single" w:sz="4" w:space="0" w:color="auto"/>
            </w:tcBorders>
            <w:noWrap/>
            <w:vAlign w:val="bottom"/>
          </w:tcPr>
          <w:p w14:paraId="5952FE07"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6</w:t>
            </w:r>
          </w:p>
        </w:tc>
        <w:tc>
          <w:tcPr>
            <w:tcW w:w="620" w:type="dxa"/>
            <w:tcBorders>
              <w:top w:val="nil"/>
              <w:left w:val="nil"/>
              <w:bottom w:val="single" w:sz="4" w:space="0" w:color="auto"/>
              <w:right w:val="single" w:sz="4" w:space="0" w:color="auto"/>
            </w:tcBorders>
            <w:noWrap/>
            <w:vAlign w:val="bottom"/>
          </w:tcPr>
          <w:p w14:paraId="5FE8470E"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9</w:t>
            </w:r>
          </w:p>
        </w:tc>
        <w:tc>
          <w:tcPr>
            <w:tcW w:w="765" w:type="dxa"/>
            <w:tcBorders>
              <w:top w:val="nil"/>
              <w:left w:val="nil"/>
              <w:bottom w:val="single" w:sz="4" w:space="0" w:color="auto"/>
              <w:right w:val="single" w:sz="4" w:space="0" w:color="auto"/>
            </w:tcBorders>
            <w:vAlign w:val="bottom"/>
          </w:tcPr>
          <w:p w14:paraId="6CFACF3B"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7</w:t>
            </w:r>
          </w:p>
        </w:tc>
      </w:tr>
      <w:tr w:rsidR="00876815" w:rsidRPr="007B48E9" w14:paraId="0AD5AB98" w14:textId="77777777" w:rsidTr="002B69B6">
        <w:trPr>
          <w:trHeight w:val="181"/>
          <w:jc w:val="center"/>
        </w:trPr>
        <w:tc>
          <w:tcPr>
            <w:tcW w:w="4127" w:type="dxa"/>
            <w:tcBorders>
              <w:top w:val="nil"/>
              <w:left w:val="single" w:sz="4" w:space="0" w:color="auto"/>
              <w:bottom w:val="single" w:sz="4" w:space="0" w:color="auto"/>
              <w:right w:val="single" w:sz="4" w:space="0" w:color="auto"/>
            </w:tcBorders>
            <w:noWrap/>
            <w:vAlign w:val="bottom"/>
          </w:tcPr>
          <w:p w14:paraId="5B4831C6" w14:textId="77777777" w:rsidR="00876815" w:rsidRPr="008B1DF0" w:rsidRDefault="00876815" w:rsidP="002B69B6">
            <w:pPr>
              <w:spacing w:before="120"/>
              <w:rPr>
                <w:bCs/>
                <w:sz w:val="20"/>
                <w:szCs w:val="20"/>
              </w:rPr>
            </w:pPr>
            <w:r w:rsidRPr="008B1DF0">
              <w:rPr>
                <w:bCs/>
                <w:sz w:val="20"/>
                <w:szCs w:val="20"/>
              </w:rPr>
              <w:t>Полша</w:t>
            </w:r>
          </w:p>
        </w:tc>
        <w:tc>
          <w:tcPr>
            <w:tcW w:w="786" w:type="dxa"/>
            <w:tcBorders>
              <w:top w:val="nil"/>
              <w:left w:val="nil"/>
              <w:bottom w:val="single" w:sz="4" w:space="0" w:color="auto"/>
              <w:right w:val="single" w:sz="4" w:space="0" w:color="auto"/>
            </w:tcBorders>
            <w:noWrap/>
            <w:vAlign w:val="bottom"/>
          </w:tcPr>
          <w:p w14:paraId="7BAA5803" w14:textId="77777777" w:rsidR="00876815" w:rsidRPr="008B1DF0" w:rsidRDefault="00876815" w:rsidP="002B69B6">
            <w:pPr>
              <w:spacing w:before="120"/>
              <w:jc w:val="right"/>
              <w:rPr>
                <w:bCs/>
                <w:sz w:val="20"/>
                <w:szCs w:val="20"/>
              </w:rPr>
            </w:pPr>
            <w:r w:rsidRPr="008B1DF0">
              <w:rPr>
                <w:bCs/>
                <w:sz w:val="20"/>
                <w:szCs w:val="20"/>
              </w:rPr>
              <w:t>3,3</w:t>
            </w:r>
          </w:p>
        </w:tc>
        <w:tc>
          <w:tcPr>
            <w:tcW w:w="720" w:type="dxa"/>
            <w:tcBorders>
              <w:top w:val="nil"/>
              <w:left w:val="nil"/>
              <w:bottom w:val="single" w:sz="4" w:space="0" w:color="auto"/>
              <w:right w:val="single" w:sz="4" w:space="0" w:color="auto"/>
            </w:tcBorders>
            <w:noWrap/>
            <w:vAlign w:val="bottom"/>
          </w:tcPr>
          <w:p w14:paraId="50FF582F"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8</w:t>
            </w:r>
          </w:p>
        </w:tc>
        <w:tc>
          <w:tcPr>
            <w:tcW w:w="720" w:type="dxa"/>
            <w:tcBorders>
              <w:top w:val="nil"/>
              <w:left w:val="nil"/>
              <w:bottom w:val="single" w:sz="4" w:space="0" w:color="auto"/>
              <w:right w:val="single" w:sz="4" w:space="0" w:color="auto"/>
            </w:tcBorders>
            <w:noWrap/>
            <w:vAlign w:val="bottom"/>
          </w:tcPr>
          <w:p w14:paraId="6EE6EEE5" w14:textId="77777777" w:rsidR="00876815" w:rsidRPr="008B1DF0" w:rsidRDefault="00876815" w:rsidP="002B69B6">
            <w:pPr>
              <w:spacing w:before="120"/>
              <w:jc w:val="right"/>
              <w:rPr>
                <w:bCs/>
                <w:sz w:val="20"/>
                <w:szCs w:val="20"/>
                <w:lang w:val="en-US"/>
              </w:rPr>
            </w:pPr>
            <w:r w:rsidRPr="008B1DF0">
              <w:rPr>
                <w:bCs/>
                <w:sz w:val="20"/>
                <w:szCs w:val="20"/>
                <w:lang w:val="en-US"/>
              </w:rPr>
              <w:t>4</w:t>
            </w:r>
            <w:r w:rsidRPr="008B1DF0">
              <w:rPr>
                <w:bCs/>
                <w:sz w:val="20"/>
                <w:szCs w:val="20"/>
              </w:rPr>
              <w:t>,7</w:t>
            </w:r>
          </w:p>
        </w:tc>
        <w:tc>
          <w:tcPr>
            <w:tcW w:w="697" w:type="dxa"/>
            <w:tcBorders>
              <w:top w:val="nil"/>
              <w:left w:val="nil"/>
              <w:bottom w:val="single" w:sz="4" w:space="0" w:color="auto"/>
              <w:right w:val="single" w:sz="4" w:space="0" w:color="auto"/>
            </w:tcBorders>
            <w:noWrap/>
            <w:vAlign w:val="bottom"/>
          </w:tcPr>
          <w:p w14:paraId="2C67AFA5" w14:textId="77777777" w:rsidR="00876815" w:rsidRPr="008B1DF0" w:rsidRDefault="00876815" w:rsidP="002B69B6">
            <w:pPr>
              <w:spacing w:before="120"/>
              <w:jc w:val="right"/>
              <w:rPr>
                <w:bCs/>
                <w:sz w:val="20"/>
                <w:szCs w:val="20"/>
              </w:rPr>
            </w:pPr>
            <w:r w:rsidRPr="008B1DF0">
              <w:rPr>
                <w:bCs/>
                <w:sz w:val="20"/>
                <w:szCs w:val="20"/>
                <w:lang w:val="en-US"/>
              </w:rPr>
              <w:t>4</w:t>
            </w:r>
            <w:r w:rsidRPr="008B1DF0">
              <w:rPr>
                <w:bCs/>
                <w:sz w:val="20"/>
                <w:szCs w:val="20"/>
              </w:rPr>
              <w:t>,3</w:t>
            </w:r>
          </w:p>
        </w:tc>
        <w:tc>
          <w:tcPr>
            <w:tcW w:w="709" w:type="dxa"/>
            <w:tcBorders>
              <w:top w:val="nil"/>
              <w:left w:val="nil"/>
              <w:bottom w:val="single" w:sz="4" w:space="0" w:color="auto"/>
              <w:right w:val="single" w:sz="4" w:space="0" w:color="auto"/>
            </w:tcBorders>
            <w:noWrap/>
            <w:vAlign w:val="bottom"/>
          </w:tcPr>
          <w:p w14:paraId="20CA0883" w14:textId="77777777" w:rsidR="00876815" w:rsidRPr="008B1DF0" w:rsidRDefault="00876815" w:rsidP="002B69B6">
            <w:pPr>
              <w:spacing w:before="120"/>
              <w:jc w:val="right"/>
              <w:rPr>
                <w:bCs/>
                <w:sz w:val="20"/>
                <w:szCs w:val="20"/>
                <w:lang w:val="en-US"/>
              </w:rPr>
            </w:pPr>
            <w:r w:rsidRPr="008B1DF0">
              <w:rPr>
                <w:bCs/>
                <w:sz w:val="20"/>
                <w:szCs w:val="20"/>
                <w:lang w:val="en-US"/>
              </w:rPr>
              <w:t>4</w:t>
            </w:r>
            <w:r w:rsidRPr="008B1DF0">
              <w:rPr>
                <w:bCs/>
                <w:sz w:val="20"/>
                <w:szCs w:val="20"/>
              </w:rPr>
              <w:t>,</w:t>
            </w:r>
            <w:r w:rsidRPr="008B1DF0">
              <w:rPr>
                <w:bCs/>
                <w:sz w:val="20"/>
                <w:szCs w:val="20"/>
                <w:lang w:val="en-US"/>
              </w:rPr>
              <w:t>5</w:t>
            </w:r>
          </w:p>
        </w:tc>
        <w:tc>
          <w:tcPr>
            <w:tcW w:w="620" w:type="dxa"/>
            <w:tcBorders>
              <w:top w:val="nil"/>
              <w:left w:val="nil"/>
              <w:bottom w:val="single" w:sz="4" w:space="0" w:color="auto"/>
              <w:right w:val="single" w:sz="4" w:space="0" w:color="auto"/>
            </w:tcBorders>
            <w:noWrap/>
            <w:vAlign w:val="bottom"/>
          </w:tcPr>
          <w:p w14:paraId="01B54C94" w14:textId="77777777" w:rsidR="00876815" w:rsidRPr="008B1DF0" w:rsidRDefault="00876815" w:rsidP="002B69B6">
            <w:pPr>
              <w:spacing w:before="120"/>
              <w:jc w:val="right"/>
              <w:rPr>
                <w:bCs/>
                <w:sz w:val="20"/>
                <w:szCs w:val="20"/>
                <w:lang w:val="en-US"/>
              </w:rPr>
            </w:pPr>
            <w:r w:rsidRPr="008B1DF0">
              <w:rPr>
                <w:bCs/>
                <w:sz w:val="20"/>
                <w:szCs w:val="20"/>
                <w:lang w:val="en-US"/>
              </w:rPr>
              <w:t>4</w:t>
            </w:r>
            <w:r w:rsidRPr="008B1DF0">
              <w:rPr>
                <w:bCs/>
                <w:sz w:val="20"/>
                <w:szCs w:val="20"/>
              </w:rPr>
              <w:t>,</w:t>
            </w:r>
            <w:r w:rsidRPr="008B1DF0">
              <w:rPr>
                <w:bCs/>
                <w:sz w:val="20"/>
                <w:szCs w:val="20"/>
                <w:lang w:val="en-US"/>
              </w:rPr>
              <w:t>1</w:t>
            </w:r>
          </w:p>
        </w:tc>
        <w:tc>
          <w:tcPr>
            <w:tcW w:w="765" w:type="dxa"/>
            <w:tcBorders>
              <w:top w:val="nil"/>
              <w:left w:val="nil"/>
              <w:bottom w:val="single" w:sz="4" w:space="0" w:color="auto"/>
              <w:right w:val="single" w:sz="4" w:space="0" w:color="auto"/>
            </w:tcBorders>
            <w:vAlign w:val="bottom"/>
          </w:tcPr>
          <w:p w14:paraId="23478C14" w14:textId="77777777" w:rsidR="00876815" w:rsidRPr="008B1DF0" w:rsidRDefault="00876815" w:rsidP="002B69B6">
            <w:pPr>
              <w:spacing w:before="120"/>
              <w:jc w:val="right"/>
              <w:rPr>
                <w:bCs/>
                <w:sz w:val="20"/>
                <w:szCs w:val="20"/>
                <w:lang w:val="en-US"/>
              </w:rPr>
            </w:pPr>
            <w:r w:rsidRPr="008B1DF0">
              <w:rPr>
                <w:bCs/>
                <w:sz w:val="20"/>
                <w:szCs w:val="20"/>
                <w:lang w:val="en-US"/>
              </w:rPr>
              <w:t>4</w:t>
            </w:r>
            <w:r w:rsidRPr="008B1DF0">
              <w:rPr>
                <w:bCs/>
                <w:sz w:val="20"/>
                <w:szCs w:val="20"/>
              </w:rPr>
              <w:t>,</w:t>
            </w:r>
            <w:r w:rsidRPr="008B1DF0">
              <w:rPr>
                <w:bCs/>
                <w:sz w:val="20"/>
                <w:szCs w:val="20"/>
                <w:lang w:val="en-US"/>
              </w:rPr>
              <w:t>0</w:t>
            </w:r>
          </w:p>
        </w:tc>
      </w:tr>
      <w:tr w:rsidR="00876815" w:rsidRPr="007B48E9" w14:paraId="68C5EE7D" w14:textId="77777777" w:rsidTr="002B69B6">
        <w:trPr>
          <w:trHeight w:val="70"/>
          <w:jc w:val="center"/>
        </w:trPr>
        <w:tc>
          <w:tcPr>
            <w:tcW w:w="4127" w:type="dxa"/>
            <w:tcBorders>
              <w:top w:val="nil"/>
              <w:left w:val="single" w:sz="4" w:space="0" w:color="auto"/>
              <w:bottom w:val="single" w:sz="4" w:space="0" w:color="auto"/>
              <w:right w:val="single" w:sz="4" w:space="0" w:color="auto"/>
            </w:tcBorders>
            <w:noWrap/>
            <w:vAlign w:val="bottom"/>
          </w:tcPr>
          <w:p w14:paraId="4224A5E8" w14:textId="77777777" w:rsidR="00876815" w:rsidRPr="008B1DF0" w:rsidRDefault="00876815" w:rsidP="002B69B6">
            <w:pPr>
              <w:spacing w:before="120"/>
              <w:rPr>
                <w:bCs/>
                <w:sz w:val="20"/>
                <w:szCs w:val="20"/>
              </w:rPr>
            </w:pPr>
            <w:r w:rsidRPr="008B1DF0">
              <w:rPr>
                <w:bCs/>
                <w:sz w:val="20"/>
                <w:szCs w:val="20"/>
              </w:rPr>
              <w:t>Румъния</w:t>
            </w:r>
          </w:p>
        </w:tc>
        <w:tc>
          <w:tcPr>
            <w:tcW w:w="786" w:type="dxa"/>
            <w:tcBorders>
              <w:top w:val="nil"/>
              <w:left w:val="nil"/>
              <w:bottom w:val="single" w:sz="4" w:space="0" w:color="auto"/>
              <w:right w:val="single" w:sz="4" w:space="0" w:color="auto"/>
            </w:tcBorders>
            <w:noWrap/>
            <w:vAlign w:val="bottom"/>
          </w:tcPr>
          <w:p w14:paraId="12FD9E42" w14:textId="77777777" w:rsidR="00876815" w:rsidRPr="008B1DF0" w:rsidRDefault="00876815" w:rsidP="002B69B6">
            <w:pPr>
              <w:spacing w:before="120"/>
              <w:jc w:val="right"/>
              <w:rPr>
                <w:bCs/>
                <w:sz w:val="20"/>
                <w:szCs w:val="20"/>
                <w:lang w:val="en-US"/>
              </w:rPr>
            </w:pPr>
            <w:r w:rsidRPr="008B1DF0">
              <w:rPr>
                <w:bCs/>
                <w:sz w:val="20"/>
                <w:szCs w:val="20"/>
              </w:rPr>
              <w:t>3,7</w:t>
            </w:r>
          </w:p>
        </w:tc>
        <w:tc>
          <w:tcPr>
            <w:tcW w:w="720" w:type="dxa"/>
            <w:tcBorders>
              <w:top w:val="nil"/>
              <w:left w:val="nil"/>
              <w:bottom w:val="single" w:sz="4" w:space="0" w:color="auto"/>
              <w:right w:val="single" w:sz="4" w:space="0" w:color="auto"/>
            </w:tcBorders>
            <w:noWrap/>
            <w:vAlign w:val="bottom"/>
          </w:tcPr>
          <w:p w14:paraId="26AD0FD0" w14:textId="77777777" w:rsidR="00876815" w:rsidRPr="008B1DF0" w:rsidRDefault="00876815" w:rsidP="002B69B6">
            <w:pPr>
              <w:spacing w:before="120"/>
              <w:jc w:val="right"/>
              <w:rPr>
                <w:bCs/>
                <w:sz w:val="20"/>
                <w:szCs w:val="20"/>
              </w:rPr>
            </w:pPr>
            <w:r w:rsidRPr="008B1DF0">
              <w:rPr>
                <w:bCs/>
                <w:sz w:val="20"/>
                <w:szCs w:val="20"/>
              </w:rPr>
              <w:t>2,</w:t>
            </w:r>
            <w:r w:rsidRPr="008B1DF0">
              <w:rPr>
                <w:bCs/>
                <w:sz w:val="20"/>
                <w:szCs w:val="20"/>
                <w:lang w:val="en-US"/>
              </w:rPr>
              <w:t>6</w:t>
            </w:r>
          </w:p>
        </w:tc>
        <w:tc>
          <w:tcPr>
            <w:tcW w:w="720" w:type="dxa"/>
            <w:tcBorders>
              <w:top w:val="nil"/>
              <w:left w:val="nil"/>
              <w:bottom w:val="single" w:sz="4" w:space="0" w:color="auto"/>
              <w:right w:val="single" w:sz="4" w:space="0" w:color="auto"/>
            </w:tcBorders>
            <w:noWrap/>
            <w:vAlign w:val="bottom"/>
          </w:tcPr>
          <w:p w14:paraId="58445D20" w14:textId="77777777" w:rsidR="00876815" w:rsidRPr="008B1DF0" w:rsidRDefault="00876815" w:rsidP="002B69B6">
            <w:pPr>
              <w:spacing w:before="120"/>
              <w:jc w:val="right"/>
              <w:rPr>
                <w:bCs/>
                <w:sz w:val="20"/>
                <w:szCs w:val="20"/>
                <w:lang w:val="en-US"/>
              </w:rPr>
            </w:pPr>
            <w:r w:rsidRPr="008B1DF0">
              <w:rPr>
                <w:bCs/>
                <w:sz w:val="20"/>
                <w:szCs w:val="20"/>
              </w:rPr>
              <w:t>2,</w:t>
            </w:r>
            <w:r w:rsidRPr="008B1DF0">
              <w:rPr>
                <w:bCs/>
                <w:sz w:val="20"/>
                <w:szCs w:val="20"/>
                <w:lang w:val="en-US"/>
              </w:rPr>
              <w:t>6</w:t>
            </w:r>
          </w:p>
        </w:tc>
        <w:tc>
          <w:tcPr>
            <w:tcW w:w="697" w:type="dxa"/>
            <w:tcBorders>
              <w:top w:val="nil"/>
              <w:left w:val="nil"/>
              <w:bottom w:val="single" w:sz="4" w:space="0" w:color="auto"/>
              <w:right w:val="single" w:sz="4" w:space="0" w:color="auto"/>
            </w:tcBorders>
            <w:noWrap/>
            <w:vAlign w:val="bottom"/>
          </w:tcPr>
          <w:p w14:paraId="51B5882A" w14:textId="77777777" w:rsidR="00876815" w:rsidRPr="008B1DF0" w:rsidRDefault="00876815" w:rsidP="002B69B6">
            <w:pPr>
              <w:spacing w:before="120"/>
              <w:jc w:val="right"/>
              <w:rPr>
                <w:bCs/>
                <w:sz w:val="20"/>
                <w:szCs w:val="20"/>
              </w:rPr>
            </w:pPr>
            <w:r w:rsidRPr="008B1DF0">
              <w:rPr>
                <w:bCs/>
                <w:sz w:val="20"/>
                <w:szCs w:val="20"/>
              </w:rPr>
              <w:t>3,5</w:t>
            </w:r>
          </w:p>
        </w:tc>
        <w:tc>
          <w:tcPr>
            <w:tcW w:w="709" w:type="dxa"/>
            <w:tcBorders>
              <w:top w:val="nil"/>
              <w:left w:val="nil"/>
              <w:bottom w:val="single" w:sz="4" w:space="0" w:color="auto"/>
              <w:right w:val="single" w:sz="4" w:space="0" w:color="auto"/>
            </w:tcBorders>
            <w:noWrap/>
            <w:vAlign w:val="bottom"/>
          </w:tcPr>
          <w:p w14:paraId="3C35908B" w14:textId="77777777" w:rsidR="00876815" w:rsidRPr="008B1DF0" w:rsidRDefault="00876815" w:rsidP="002B69B6">
            <w:pPr>
              <w:spacing w:before="120"/>
              <w:jc w:val="right"/>
              <w:rPr>
                <w:bCs/>
                <w:sz w:val="20"/>
                <w:szCs w:val="20"/>
                <w:lang w:val="en-US"/>
              </w:rPr>
            </w:pPr>
            <w:r w:rsidRPr="008B1DF0">
              <w:rPr>
                <w:bCs/>
                <w:sz w:val="20"/>
                <w:szCs w:val="20"/>
              </w:rPr>
              <w:t>4,6</w:t>
            </w:r>
          </w:p>
        </w:tc>
        <w:tc>
          <w:tcPr>
            <w:tcW w:w="620" w:type="dxa"/>
            <w:tcBorders>
              <w:top w:val="nil"/>
              <w:left w:val="nil"/>
              <w:bottom w:val="single" w:sz="4" w:space="0" w:color="auto"/>
              <w:right w:val="single" w:sz="4" w:space="0" w:color="auto"/>
            </w:tcBorders>
            <w:noWrap/>
            <w:vAlign w:val="bottom"/>
          </w:tcPr>
          <w:p w14:paraId="6DF703CD" w14:textId="77777777" w:rsidR="00876815" w:rsidRPr="008B1DF0" w:rsidRDefault="00876815" w:rsidP="002B69B6">
            <w:pPr>
              <w:spacing w:before="120"/>
              <w:jc w:val="right"/>
              <w:rPr>
                <w:bCs/>
                <w:sz w:val="20"/>
                <w:szCs w:val="20"/>
                <w:lang w:val="en-US"/>
              </w:rPr>
            </w:pPr>
            <w:r w:rsidRPr="008B1DF0">
              <w:rPr>
                <w:bCs/>
                <w:sz w:val="20"/>
                <w:szCs w:val="20"/>
              </w:rPr>
              <w:t>4,</w:t>
            </w:r>
            <w:r w:rsidRPr="008B1DF0">
              <w:rPr>
                <w:bCs/>
                <w:sz w:val="20"/>
                <w:szCs w:val="20"/>
                <w:lang w:val="en-US"/>
              </w:rPr>
              <w:t>2</w:t>
            </w:r>
          </w:p>
        </w:tc>
        <w:tc>
          <w:tcPr>
            <w:tcW w:w="765" w:type="dxa"/>
            <w:tcBorders>
              <w:top w:val="nil"/>
              <w:left w:val="nil"/>
              <w:bottom w:val="single" w:sz="4" w:space="0" w:color="auto"/>
              <w:right w:val="single" w:sz="4" w:space="0" w:color="auto"/>
            </w:tcBorders>
            <w:vAlign w:val="bottom"/>
          </w:tcPr>
          <w:p w14:paraId="3859D179" w14:textId="77777777" w:rsidR="00876815" w:rsidRPr="008B1DF0" w:rsidRDefault="00876815" w:rsidP="002B69B6">
            <w:pPr>
              <w:spacing w:before="120"/>
              <w:jc w:val="right"/>
              <w:rPr>
                <w:bCs/>
                <w:sz w:val="20"/>
                <w:szCs w:val="20"/>
                <w:lang w:val="en-US"/>
              </w:rPr>
            </w:pPr>
            <w:r w:rsidRPr="008B1DF0">
              <w:rPr>
                <w:bCs/>
                <w:sz w:val="20"/>
                <w:szCs w:val="20"/>
              </w:rPr>
              <w:t>4,</w:t>
            </w:r>
            <w:r w:rsidRPr="008B1DF0">
              <w:rPr>
                <w:bCs/>
                <w:sz w:val="20"/>
                <w:szCs w:val="20"/>
                <w:lang w:val="en-US"/>
              </w:rPr>
              <w:t>2</w:t>
            </w:r>
          </w:p>
        </w:tc>
      </w:tr>
      <w:tr w:rsidR="00876815" w:rsidRPr="007B48E9" w14:paraId="03FED46C" w14:textId="77777777" w:rsidTr="002B69B6">
        <w:trPr>
          <w:trHeight w:val="70"/>
          <w:jc w:val="center"/>
        </w:trPr>
        <w:tc>
          <w:tcPr>
            <w:tcW w:w="4127" w:type="dxa"/>
            <w:tcBorders>
              <w:top w:val="nil"/>
              <w:left w:val="single" w:sz="4" w:space="0" w:color="auto"/>
              <w:bottom w:val="single" w:sz="4" w:space="0" w:color="auto"/>
              <w:right w:val="single" w:sz="4" w:space="0" w:color="auto"/>
            </w:tcBorders>
            <w:noWrap/>
            <w:vAlign w:val="bottom"/>
          </w:tcPr>
          <w:p w14:paraId="0C5B21F5" w14:textId="77777777" w:rsidR="00876815" w:rsidRPr="008B1DF0" w:rsidRDefault="00876815" w:rsidP="002B69B6">
            <w:pPr>
              <w:spacing w:before="120"/>
              <w:rPr>
                <w:bCs/>
                <w:sz w:val="20"/>
                <w:szCs w:val="20"/>
              </w:rPr>
            </w:pPr>
            <w:r w:rsidRPr="008B1DF0">
              <w:rPr>
                <w:bCs/>
                <w:sz w:val="20"/>
                <w:szCs w:val="20"/>
              </w:rPr>
              <w:t>Словакия</w:t>
            </w:r>
          </w:p>
        </w:tc>
        <w:tc>
          <w:tcPr>
            <w:tcW w:w="786" w:type="dxa"/>
            <w:tcBorders>
              <w:top w:val="nil"/>
              <w:left w:val="nil"/>
              <w:bottom w:val="single" w:sz="4" w:space="0" w:color="auto"/>
              <w:right w:val="single" w:sz="4" w:space="0" w:color="auto"/>
            </w:tcBorders>
            <w:noWrap/>
            <w:vAlign w:val="bottom"/>
          </w:tcPr>
          <w:p w14:paraId="1F3260BD" w14:textId="77777777" w:rsidR="00876815" w:rsidRPr="008B1DF0" w:rsidRDefault="00876815" w:rsidP="002B69B6">
            <w:pPr>
              <w:spacing w:before="120"/>
              <w:jc w:val="right"/>
              <w:rPr>
                <w:bCs/>
                <w:sz w:val="20"/>
                <w:szCs w:val="20"/>
              </w:rPr>
            </w:pPr>
            <w:r w:rsidRPr="008B1DF0">
              <w:rPr>
                <w:bCs/>
                <w:sz w:val="20"/>
                <w:szCs w:val="20"/>
              </w:rPr>
              <w:t>3,4</w:t>
            </w:r>
          </w:p>
        </w:tc>
        <w:tc>
          <w:tcPr>
            <w:tcW w:w="720" w:type="dxa"/>
            <w:tcBorders>
              <w:top w:val="nil"/>
              <w:left w:val="nil"/>
              <w:bottom w:val="single" w:sz="4" w:space="0" w:color="auto"/>
              <w:right w:val="single" w:sz="4" w:space="0" w:color="auto"/>
            </w:tcBorders>
            <w:noWrap/>
            <w:vAlign w:val="bottom"/>
          </w:tcPr>
          <w:p w14:paraId="6AB5F6FE" w14:textId="77777777" w:rsidR="00876815" w:rsidRPr="008B1DF0" w:rsidRDefault="00876815" w:rsidP="002B69B6">
            <w:pPr>
              <w:spacing w:before="120"/>
              <w:jc w:val="right"/>
              <w:rPr>
                <w:bCs/>
                <w:sz w:val="20"/>
                <w:szCs w:val="20"/>
              </w:rPr>
            </w:pPr>
            <w:r w:rsidRPr="008B1DF0">
              <w:rPr>
                <w:bCs/>
                <w:sz w:val="20"/>
                <w:szCs w:val="20"/>
              </w:rPr>
              <w:t>3,4</w:t>
            </w:r>
          </w:p>
        </w:tc>
        <w:tc>
          <w:tcPr>
            <w:tcW w:w="720" w:type="dxa"/>
            <w:tcBorders>
              <w:top w:val="nil"/>
              <w:left w:val="nil"/>
              <w:bottom w:val="single" w:sz="4" w:space="0" w:color="auto"/>
              <w:right w:val="single" w:sz="4" w:space="0" w:color="auto"/>
            </w:tcBorders>
            <w:noWrap/>
            <w:vAlign w:val="bottom"/>
          </w:tcPr>
          <w:p w14:paraId="61D16149"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8</w:t>
            </w:r>
          </w:p>
        </w:tc>
        <w:tc>
          <w:tcPr>
            <w:tcW w:w="697" w:type="dxa"/>
            <w:tcBorders>
              <w:top w:val="nil"/>
              <w:left w:val="nil"/>
              <w:bottom w:val="single" w:sz="4" w:space="0" w:color="auto"/>
              <w:right w:val="single" w:sz="4" w:space="0" w:color="auto"/>
            </w:tcBorders>
            <w:noWrap/>
            <w:vAlign w:val="bottom"/>
          </w:tcPr>
          <w:p w14:paraId="388E26C1" w14:textId="77777777" w:rsidR="00876815" w:rsidRPr="008B1DF0" w:rsidRDefault="00876815" w:rsidP="002B69B6">
            <w:pPr>
              <w:spacing w:before="120"/>
              <w:jc w:val="right"/>
              <w:rPr>
                <w:bCs/>
                <w:sz w:val="20"/>
                <w:szCs w:val="20"/>
              </w:rPr>
            </w:pPr>
            <w:r w:rsidRPr="008B1DF0">
              <w:rPr>
                <w:bCs/>
                <w:sz w:val="20"/>
                <w:szCs w:val="20"/>
              </w:rPr>
              <w:t>3,</w:t>
            </w:r>
            <w:r w:rsidRPr="008B1DF0">
              <w:rPr>
                <w:bCs/>
                <w:sz w:val="20"/>
                <w:szCs w:val="20"/>
                <w:lang w:val="en-US"/>
              </w:rPr>
              <w:t>6</w:t>
            </w:r>
          </w:p>
        </w:tc>
        <w:tc>
          <w:tcPr>
            <w:tcW w:w="709" w:type="dxa"/>
            <w:tcBorders>
              <w:top w:val="nil"/>
              <w:left w:val="nil"/>
              <w:bottom w:val="single" w:sz="4" w:space="0" w:color="auto"/>
              <w:right w:val="single" w:sz="4" w:space="0" w:color="auto"/>
            </w:tcBorders>
            <w:noWrap/>
            <w:vAlign w:val="bottom"/>
          </w:tcPr>
          <w:p w14:paraId="40718FE8" w14:textId="77777777" w:rsidR="00876815" w:rsidRPr="008B1DF0" w:rsidRDefault="00876815" w:rsidP="002B69B6">
            <w:pPr>
              <w:spacing w:before="120"/>
              <w:jc w:val="right"/>
              <w:rPr>
                <w:bCs/>
                <w:sz w:val="20"/>
                <w:szCs w:val="20"/>
              </w:rPr>
            </w:pPr>
            <w:r w:rsidRPr="008B1DF0">
              <w:rPr>
                <w:bCs/>
                <w:sz w:val="20"/>
                <w:szCs w:val="20"/>
              </w:rPr>
              <w:t>3,4</w:t>
            </w:r>
          </w:p>
        </w:tc>
        <w:tc>
          <w:tcPr>
            <w:tcW w:w="620" w:type="dxa"/>
            <w:tcBorders>
              <w:top w:val="nil"/>
              <w:left w:val="nil"/>
              <w:bottom w:val="single" w:sz="4" w:space="0" w:color="auto"/>
              <w:right w:val="single" w:sz="4" w:space="0" w:color="auto"/>
            </w:tcBorders>
            <w:noWrap/>
            <w:vAlign w:val="bottom"/>
          </w:tcPr>
          <w:p w14:paraId="5FAA904B"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1</w:t>
            </w:r>
          </w:p>
        </w:tc>
        <w:tc>
          <w:tcPr>
            <w:tcW w:w="765" w:type="dxa"/>
            <w:tcBorders>
              <w:top w:val="nil"/>
              <w:left w:val="nil"/>
              <w:bottom w:val="single" w:sz="4" w:space="0" w:color="auto"/>
              <w:right w:val="single" w:sz="4" w:space="0" w:color="auto"/>
            </w:tcBorders>
            <w:vAlign w:val="bottom"/>
          </w:tcPr>
          <w:p w14:paraId="2D6E855C" w14:textId="77777777" w:rsidR="00876815" w:rsidRPr="008B1DF0" w:rsidRDefault="00876815" w:rsidP="002B69B6">
            <w:pPr>
              <w:spacing w:before="120"/>
              <w:jc w:val="right"/>
              <w:rPr>
                <w:bCs/>
                <w:sz w:val="20"/>
                <w:szCs w:val="20"/>
                <w:lang w:val="en-US"/>
              </w:rPr>
            </w:pPr>
            <w:r w:rsidRPr="008B1DF0">
              <w:rPr>
                <w:bCs/>
                <w:sz w:val="20"/>
                <w:szCs w:val="20"/>
              </w:rPr>
              <w:t>3,</w:t>
            </w:r>
            <w:r w:rsidRPr="008B1DF0">
              <w:rPr>
                <w:bCs/>
                <w:sz w:val="20"/>
                <w:szCs w:val="20"/>
                <w:lang w:val="en-US"/>
              </w:rPr>
              <w:t>3</w:t>
            </w:r>
          </w:p>
        </w:tc>
      </w:tr>
      <w:tr w:rsidR="00876815" w:rsidRPr="007B48E9" w14:paraId="689B2292" w14:textId="77777777" w:rsidTr="002B69B6">
        <w:trPr>
          <w:trHeight w:val="255"/>
          <w:jc w:val="center"/>
        </w:trPr>
        <w:tc>
          <w:tcPr>
            <w:tcW w:w="9144" w:type="dxa"/>
            <w:gridSpan w:val="8"/>
            <w:tcBorders>
              <w:top w:val="nil"/>
              <w:left w:val="nil"/>
              <w:bottom w:val="nil"/>
              <w:right w:val="nil"/>
            </w:tcBorders>
            <w:noWrap/>
            <w:vAlign w:val="bottom"/>
          </w:tcPr>
          <w:p w14:paraId="6227D6F9" w14:textId="77777777" w:rsidR="00876815" w:rsidRPr="008B1DF0" w:rsidRDefault="00876815" w:rsidP="002B69B6">
            <w:pPr>
              <w:spacing w:before="120"/>
              <w:rPr>
                <w:sz w:val="20"/>
                <w:szCs w:val="20"/>
              </w:rPr>
            </w:pPr>
            <w:r w:rsidRPr="008B1DF0">
              <w:rPr>
                <w:sz w:val="20"/>
                <w:szCs w:val="20"/>
              </w:rPr>
              <w:t>Източник: Евростат</w:t>
            </w:r>
          </w:p>
          <w:p w14:paraId="2D6F00F3" w14:textId="77777777" w:rsidR="00876815" w:rsidRPr="003E4FBF" w:rsidRDefault="00876815" w:rsidP="002B69B6">
            <w:pPr>
              <w:spacing w:before="120"/>
              <w:rPr>
                <w:sz w:val="20"/>
                <w:szCs w:val="20"/>
              </w:rPr>
            </w:pPr>
            <w:r w:rsidRPr="008B1DF0">
              <w:rPr>
                <w:sz w:val="20"/>
                <w:szCs w:val="20"/>
              </w:rPr>
              <w:t xml:space="preserve">*Данните за 2022 г. са на база DG ECFIN - European </w:t>
            </w:r>
            <w:r w:rsidRPr="008B1DF0">
              <w:rPr>
                <w:sz w:val="20"/>
                <w:szCs w:val="20"/>
                <w:lang w:val="en-GB"/>
              </w:rPr>
              <w:t>Economic</w:t>
            </w:r>
            <w:r w:rsidRPr="008B1DF0">
              <w:rPr>
                <w:sz w:val="20"/>
                <w:szCs w:val="20"/>
              </w:rPr>
              <w:t xml:space="preserve"> </w:t>
            </w:r>
            <w:r w:rsidRPr="008B1DF0">
              <w:rPr>
                <w:sz w:val="20"/>
                <w:szCs w:val="20"/>
                <w:lang w:val="en-GB"/>
              </w:rPr>
              <w:t>Forecast</w:t>
            </w:r>
            <w:r w:rsidRPr="008B1DF0">
              <w:rPr>
                <w:sz w:val="20"/>
                <w:szCs w:val="20"/>
              </w:rPr>
              <w:t xml:space="preserve"> - </w:t>
            </w:r>
            <w:r w:rsidRPr="008B1DF0">
              <w:rPr>
                <w:sz w:val="20"/>
                <w:szCs w:val="20"/>
                <w:lang w:val="en-GB"/>
              </w:rPr>
              <w:t>spring</w:t>
            </w:r>
            <w:r w:rsidRPr="008B1DF0">
              <w:rPr>
                <w:sz w:val="20"/>
                <w:szCs w:val="20"/>
              </w:rPr>
              <w:t xml:space="preserve"> 2023</w:t>
            </w:r>
          </w:p>
          <w:p w14:paraId="168432BC" w14:textId="77777777" w:rsidR="00876815" w:rsidRPr="008B1DF0" w:rsidRDefault="00876815" w:rsidP="002B69B6">
            <w:pPr>
              <w:spacing w:before="120"/>
              <w:rPr>
                <w:sz w:val="20"/>
                <w:szCs w:val="20"/>
              </w:rPr>
            </w:pPr>
          </w:p>
        </w:tc>
      </w:tr>
    </w:tbl>
    <w:p w14:paraId="228A37CC" w14:textId="77777777" w:rsidR="00876815" w:rsidRPr="008B1DF0" w:rsidRDefault="00876815" w:rsidP="00876815">
      <w:pPr>
        <w:pStyle w:val="Default"/>
        <w:ind w:firstLine="700"/>
        <w:jc w:val="both"/>
        <w:rPr>
          <w:color w:val="auto"/>
          <w:sz w:val="12"/>
          <w:szCs w:val="12"/>
        </w:rPr>
      </w:pPr>
      <w:r w:rsidRPr="008B1DF0">
        <w:rPr>
          <w:rFonts w:ascii="Times New Roman" w:hAnsi="Times New Roman"/>
          <w:color w:val="auto"/>
        </w:rPr>
        <w:t xml:space="preserve">През </w:t>
      </w:r>
      <w:r w:rsidRPr="008B1DF0">
        <w:rPr>
          <w:rFonts w:ascii="Times New Roman" w:hAnsi="Times New Roman" w:cs="Times New Roman"/>
          <w:color w:val="auto"/>
        </w:rPr>
        <w:t>2021 г.</w:t>
      </w:r>
      <w:r w:rsidRPr="008B1DF0">
        <w:rPr>
          <w:rFonts w:ascii="Times New Roman" w:hAnsi="Times New Roman"/>
          <w:color w:val="auto"/>
        </w:rPr>
        <w:t xml:space="preserve"> публичните разходи за инвестиции в основен капитал са на средното ниво, отчетено за държавите от Европейския съюз. Като относителен дял от БВП се отчита нарастване от 0,4 пр. п. спрямо 2021 г. </w:t>
      </w:r>
      <w:r w:rsidRPr="008D541B">
        <w:rPr>
          <w:rFonts w:ascii="Times New Roman" w:hAnsi="Times New Roman"/>
          <w:color w:val="auto"/>
        </w:rPr>
        <w:t xml:space="preserve">Въпреки </w:t>
      </w:r>
      <w:r>
        <w:rPr>
          <w:rFonts w:ascii="Times New Roman" w:hAnsi="Times New Roman"/>
          <w:color w:val="auto"/>
        </w:rPr>
        <w:t>съществения по</w:t>
      </w:r>
      <w:r w:rsidRPr="008D541B">
        <w:rPr>
          <w:rFonts w:ascii="Times New Roman" w:hAnsi="Times New Roman"/>
          <w:color w:val="auto"/>
        </w:rPr>
        <w:t xml:space="preserve"> размер ресурс, мобилизиран за предоставяне на компенсации, свързани с цените на електрическата енергия и природния газ</w:t>
      </w:r>
      <w:r>
        <w:rPr>
          <w:rFonts w:ascii="Times New Roman" w:hAnsi="Times New Roman"/>
          <w:color w:val="auto"/>
        </w:rPr>
        <w:t>, както и за</w:t>
      </w:r>
      <w:r w:rsidRPr="008D541B">
        <w:rPr>
          <w:rFonts w:ascii="Times New Roman" w:hAnsi="Times New Roman"/>
          <w:color w:val="auto"/>
        </w:rPr>
        <w:t xml:space="preserve"> справяне с последствията от пандемията работата по приоритетни проекти в областта на пътната инфраструктура продължи. Голяма част от тези проекти се изпълняват със средствата от европейските програми и фондове, при които в края на програмния период се отчита ускоряване на усвояването на средствата по Оперативните програми и фондовете на ЕС. Изпълнението на инвестиционните политики през 2022 г. продължи да следва приоритетите от предхо</w:t>
      </w:r>
      <w:r w:rsidRPr="008B1DF0">
        <w:rPr>
          <w:rFonts w:ascii="Times New Roman" w:hAnsi="Times New Roman"/>
          <w:color w:val="auto"/>
        </w:rPr>
        <w:t>дните години за модернизиране на екологичната и пътната инфраструктура, като съществен принос имаха и проектите по оперативните програми, съфинансирани от Структурните и Кохезионния фондове на ЕС, както и от други фондове и програми на ЕС. Капиталовите разходи са разпределени по приоритети в рамките на изпълняваните от първостепенните разпоредители с бюджет политики и програми с цел стимулиране на секторите, генериращи високи икономически и социално-обществени ползи.</w:t>
      </w:r>
    </w:p>
    <w:p w14:paraId="2B8B5125" w14:textId="77777777" w:rsidR="00876815" w:rsidRPr="008B1DF0" w:rsidRDefault="00876815" w:rsidP="00876815">
      <w:pPr>
        <w:pStyle w:val="Default"/>
        <w:spacing w:before="240" w:line="360" w:lineRule="auto"/>
        <w:ind w:left="1219" w:hanging="499"/>
        <w:rPr>
          <w:rFonts w:ascii="Times New Roman" w:hAnsi="Times New Roman" w:cs="Times New Roman"/>
          <w:color w:val="auto"/>
        </w:rPr>
      </w:pPr>
      <w:r w:rsidRPr="008B1DF0">
        <w:rPr>
          <w:rFonts w:ascii="Times New Roman" w:hAnsi="Times New Roman" w:cs="Times New Roman"/>
          <w:b/>
          <w:bCs/>
          <w:color w:val="auto"/>
        </w:rPr>
        <w:t xml:space="preserve">Публични капиталови разходи </w:t>
      </w:r>
    </w:p>
    <w:p w14:paraId="1AB4CF96" w14:textId="77777777" w:rsidR="00876815" w:rsidRPr="00345D37" w:rsidRDefault="00876815" w:rsidP="00876815">
      <w:pPr>
        <w:pStyle w:val="Default"/>
        <w:ind w:firstLine="720"/>
        <w:jc w:val="both"/>
        <w:rPr>
          <w:rFonts w:ascii="Times New Roman" w:hAnsi="Times New Roman"/>
          <w:color w:val="auto"/>
        </w:rPr>
      </w:pPr>
      <w:r w:rsidRPr="00345D37">
        <w:rPr>
          <w:rFonts w:ascii="Times New Roman" w:hAnsi="Times New Roman"/>
          <w:color w:val="auto"/>
        </w:rPr>
        <w:t xml:space="preserve">Разпределението на капиталовите разходи за 2022 г. по консолидираната фискална програма по функции отразява секторните приоритети при реализацията на инвестиционната политика в публичната сфера. На графиката по-долу е представено функционалното разпределение на отчетените за 2022 г. капиталови разходи. </w:t>
      </w:r>
    </w:p>
    <w:p w14:paraId="258C6A7C" w14:textId="77777777" w:rsidR="00876815" w:rsidRPr="007B48E9" w:rsidRDefault="00876815" w:rsidP="00876815">
      <w:pPr>
        <w:pStyle w:val="Default"/>
        <w:ind w:firstLine="180"/>
        <w:jc w:val="both"/>
        <w:rPr>
          <w:rFonts w:ascii="Times New Roman" w:hAnsi="Times New Roman"/>
          <w:color w:val="0070C0"/>
        </w:rPr>
      </w:pPr>
    </w:p>
    <w:p w14:paraId="5A9A4FB5" w14:textId="4655E4C8" w:rsidR="00876815" w:rsidRDefault="00876815" w:rsidP="00876815">
      <w:pPr>
        <w:pStyle w:val="Default"/>
        <w:jc w:val="both"/>
        <w:rPr>
          <w:rFonts w:ascii="Times New Roman" w:hAnsi="Times New Roman"/>
          <w:color w:val="0070C0"/>
        </w:rPr>
      </w:pPr>
    </w:p>
    <w:p w14:paraId="6836ACCA" w14:textId="4CFC2146" w:rsidR="00F67FFA" w:rsidRDefault="00F67FFA" w:rsidP="00876815">
      <w:pPr>
        <w:pStyle w:val="Default"/>
        <w:jc w:val="both"/>
        <w:rPr>
          <w:rFonts w:ascii="Times New Roman" w:hAnsi="Times New Roman"/>
          <w:color w:val="0070C0"/>
        </w:rPr>
      </w:pPr>
      <w:r>
        <w:rPr>
          <w:rFonts w:ascii="Times New Roman" w:hAnsi="Times New Roman"/>
          <w:noProof/>
          <w:color w:val="0070C0"/>
        </w:rPr>
        <w:drawing>
          <wp:inline distT="0" distB="0" distL="0" distR="0" wp14:anchorId="64F74825" wp14:editId="0D7E4600">
            <wp:extent cx="5962650" cy="36207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80131" cy="3631385"/>
                    </a:xfrm>
                    <a:prstGeom prst="rect">
                      <a:avLst/>
                    </a:prstGeom>
                    <a:noFill/>
                  </pic:spPr>
                </pic:pic>
              </a:graphicData>
            </a:graphic>
          </wp:inline>
        </w:drawing>
      </w:r>
    </w:p>
    <w:p w14:paraId="20A815C7" w14:textId="77777777" w:rsidR="00F67FFA" w:rsidRPr="007B48E9" w:rsidRDefault="00F67FFA" w:rsidP="00876815">
      <w:pPr>
        <w:pStyle w:val="Default"/>
        <w:jc w:val="both"/>
        <w:rPr>
          <w:rFonts w:ascii="Times New Roman" w:hAnsi="Times New Roman"/>
          <w:color w:val="0070C0"/>
        </w:rPr>
      </w:pPr>
    </w:p>
    <w:p w14:paraId="67BE1907" w14:textId="77777777" w:rsidR="00876815" w:rsidRPr="007B48E9" w:rsidRDefault="00876815" w:rsidP="00876815">
      <w:pPr>
        <w:autoSpaceDE w:val="0"/>
        <w:autoSpaceDN w:val="0"/>
        <w:adjustRightInd w:val="0"/>
        <w:ind w:firstLine="720"/>
        <w:jc w:val="both"/>
        <w:rPr>
          <w:rFonts w:cs="Arial"/>
          <w:color w:val="0070C0"/>
        </w:rPr>
      </w:pPr>
    </w:p>
    <w:p w14:paraId="02D30BDF" w14:textId="2304BF2D" w:rsidR="00876815" w:rsidRDefault="00876815" w:rsidP="00876815">
      <w:pPr>
        <w:autoSpaceDE w:val="0"/>
        <w:autoSpaceDN w:val="0"/>
        <w:adjustRightInd w:val="0"/>
        <w:spacing w:after="120"/>
        <w:ind w:firstLine="720"/>
        <w:jc w:val="both"/>
        <w:rPr>
          <w:rFonts w:cs="Arial"/>
        </w:rPr>
      </w:pPr>
      <w:r w:rsidRPr="007C5EBD">
        <w:rPr>
          <w:rFonts w:cs="Arial"/>
        </w:rPr>
        <w:t>Анализът на инвестиционните разходи по функционален признак показва, че най-голям относителен дял през 2022 г. заемат разходите по функция „Икономически дейности и услуги”  – 36,4 % от общите разходи.</w:t>
      </w:r>
      <w:r w:rsidRPr="007B48E9">
        <w:rPr>
          <w:rFonts w:cs="Arial"/>
          <w:color w:val="0070C0"/>
        </w:rPr>
        <w:t xml:space="preserve"> </w:t>
      </w:r>
      <w:r w:rsidRPr="00034601">
        <w:rPr>
          <w:rFonts w:cs="Arial"/>
        </w:rPr>
        <w:t>Размерът на отчетените средства по функцията е 2 074,2 млн. лв., като основната част от разходите в тази функция са отчетени в група В „Транспорт и съобщения”.</w:t>
      </w:r>
      <w:r w:rsidRPr="00034601">
        <w:t xml:space="preserve"> </w:t>
      </w:r>
      <w:r w:rsidRPr="00034601">
        <w:rPr>
          <w:rFonts w:cs="Arial"/>
        </w:rPr>
        <w:t>Разходите по тази група са свързани основно с финансирането на инфраструктурни обекти с национално значение.</w:t>
      </w:r>
    </w:p>
    <w:p w14:paraId="0826EDDA" w14:textId="3EE595DE" w:rsidR="002D1CA7" w:rsidRPr="00034601" w:rsidRDefault="002D1CA7" w:rsidP="00876815">
      <w:pPr>
        <w:autoSpaceDE w:val="0"/>
        <w:autoSpaceDN w:val="0"/>
        <w:adjustRightInd w:val="0"/>
        <w:spacing w:after="120"/>
        <w:ind w:firstLine="720"/>
        <w:jc w:val="both"/>
        <w:rPr>
          <w:rFonts w:cs="Arial"/>
        </w:rPr>
      </w:pPr>
      <w:r w:rsidRPr="002D1CA7">
        <w:rPr>
          <w:rFonts w:cs="Arial"/>
        </w:rPr>
        <w:t>Към 31.12.2022 г. са предоставени над 1,85 млрд. евро под формата на безвъзмездна финансова помощ по ОПТТИ, което е приблизително 104</w:t>
      </w:r>
      <w:r>
        <w:rPr>
          <w:rFonts w:cs="Arial"/>
        </w:rPr>
        <w:t xml:space="preserve"> </w:t>
      </w:r>
      <w:r w:rsidRPr="002D1CA7">
        <w:rPr>
          <w:rFonts w:cs="Arial"/>
        </w:rPr>
        <w:t>% от бюджета на програмата. Броят на сключените ДБФП е 71, от които 42 броя са в изпълнение, 25 броя са приключени и 4 броя са прекратени към 31.12.2022 г. Стойността на сключените договори с изпълнители по проектите, допустими за финансиране от програмата, към края на 2022 г. достигна почти 1,77 млрд. евро, което е 99</w:t>
      </w:r>
      <w:r>
        <w:rPr>
          <w:rFonts w:cs="Arial"/>
        </w:rPr>
        <w:t xml:space="preserve"> </w:t>
      </w:r>
      <w:r w:rsidRPr="002D1CA7">
        <w:rPr>
          <w:rFonts w:cs="Arial"/>
        </w:rPr>
        <w:t>% от бюджета ѝ. Стойността на сертифицираните средства към 31.12.2022 г. достигна приблизително 1,13 млрд. евро или 63</w:t>
      </w:r>
      <w:r>
        <w:rPr>
          <w:rFonts w:cs="Arial"/>
        </w:rPr>
        <w:t xml:space="preserve"> </w:t>
      </w:r>
      <w:r w:rsidRPr="002D1CA7">
        <w:rPr>
          <w:rFonts w:cs="Arial"/>
        </w:rPr>
        <w:t>% от средствата по програмата.</w:t>
      </w:r>
    </w:p>
    <w:p w14:paraId="1FC58292" w14:textId="77777777" w:rsidR="002D1CA7" w:rsidRDefault="002D1CA7" w:rsidP="002D1CA7">
      <w:pPr>
        <w:autoSpaceDE w:val="0"/>
        <w:autoSpaceDN w:val="0"/>
        <w:adjustRightInd w:val="0"/>
        <w:spacing w:after="120"/>
        <w:ind w:firstLine="720"/>
        <w:jc w:val="both"/>
      </w:pPr>
      <w:r>
        <w:t>Изпълнението на ОП „Транспорт и транспортна инфраструктура“ 2014-2020 г. и през 2022 г. бе силно повлияно от външната среда. Инфлацията, нарушените вериги на доставка, както и неблагоприятната международна обстановка оказаха негативен ефект върху темповете на изпълненение най-вече на големите инфраструктурни проекти. Изпълнението по приоритетни оси 1 и 2, в които е насочен най-големият финансов ресурс по програмата, е изправено пред сериозни предизвикателства. Управляващият орган съвместно с бенефициентите и партньорите от Европейската комисия, продължиха да извършват задълбочено наблюдение на проектите с цел преодоляване на възникналите трудности в хода на реализацията им. Поради идентифицираната невъзможност за приключване на дейностите по някои от големите инфраструктурни проекти до 31.12.2023 г., са предприети координирани действия с партньорите от ЕК в посока фазиране и включване на допълнителни проекти по ОПТТИ.</w:t>
      </w:r>
    </w:p>
    <w:p w14:paraId="6A2AFC84" w14:textId="4254C6D8" w:rsidR="002D1CA7" w:rsidRDefault="002D1CA7" w:rsidP="002D1CA7">
      <w:pPr>
        <w:autoSpaceDE w:val="0"/>
        <w:autoSpaceDN w:val="0"/>
        <w:adjustRightInd w:val="0"/>
        <w:spacing w:after="120"/>
        <w:ind w:firstLine="720"/>
        <w:jc w:val="both"/>
        <w:rPr>
          <w:rFonts w:cs="Arial"/>
        </w:rPr>
      </w:pPr>
      <w:r>
        <w:t>Към края на 2022 г. не е допусната загуба на средства по ОПТТИ и общата цел за 2022 г. по правилото за автоматично освобождаване на средства (N+3) бе постигната на 100 процента. Предстои ключово предизвикателство пред програмата през последната година на изпълнението ѝ, когато трябва да бъдат сертифицирани близо 37 % от бюджета ѝ.</w:t>
      </w:r>
    </w:p>
    <w:p w14:paraId="082CEBD0" w14:textId="77777777" w:rsidR="00876815" w:rsidRPr="003E4FBF" w:rsidRDefault="00876815" w:rsidP="00876815">
      <w:pPr>
        <w:autoSpaceDE w:val="0"/>
        <w:autoSpaceDN w:val="0"/>
        <w:adjustRightInd w:val="0"/>
        <w:spacing w:after="120"/>
        <w:ind w:firstLine="720"/>
        <w:jc w:val="both"/>
        <w:rPr>
          <w:rFonts w:cs="Arial"/>
        </w:rPr>
      </w:pPr>
      <w:r w:rsidRPr="003E4FBF">
        <w:rPr>
          <w:rFonts w:cs="Arial"/>
        </w:rPr>
        <w:t>Със средства от ОПТТИ се подпомага и подготовката на конкретни инвестиционни проекти за програмен период 2021-2027 г.</w:t>
      </w:r>
    </w:p>
    <w:p w14:paraId="3E5F44DB" w14:textId="77777777" w:rsidR="00876815" w:rsidRPr="00371B57" w:rsidRDefault="00876815" w:rsidP="00876815">
      <w:pPr>
        <w:autoSpaceDE w:val="0"/>
        <w:autoSpaceDN w:val="0"/>
        <w:adjustRightInd w:val="0"/>
        <w:spacing w:after="120"/>
        <w:ind w:firstLine="720"/>
        <w:jc w:val="both"/>
        <w:rPr>
          <w:rFonts w:cs="Arial"/>
        </w:rPr>
      </w:pPr>
      <w:r w:rsidRPr="009F6720">
        <w:t>На второ място по размер са инвестиционните разходи за „Жилищно строителство, благоустройство, комунално стопанство и опазване на околната среда“</w:t>
      </w:r>
      <w:r w:rsidRPr="009F6720">
        <w:rPr>
          <w:rFonts w:cs="Arial"/>
        </w:rPr>
        <w:t>,</w:t>
      </w:r>
      <w:r w:rsidRPr="009F6720">
        <w:t xml:space="preserve"> чиито дял съставлява 22,0 % от капиталовите разходи по КФП.</w:t>
      </w:r>
      <w:r w:rsidRPr="009F6720">
        <w:rPr>
          <w:rFonts w:cs="Arial"/>
        </w:rPr>
        <w:t xml:space="preserve"> Размерът на отчетените средства по функцията е 1 256,0 млн. лв., като основната част от разходите в тази функция са отчетени в група А „жилищно строителство, благоустройство, комунално стопанство” и са свързани основно с инвестиционната дейност в общините по териториалното развитие и благоустрояване на населените места, както и за изпълнение програмите на МРРБ за „Развитие на регионите в страната и намаляване на различията, ефективно и ефикасно използване на публичните финанси за подобряване качеството на жизнената среда и създаване на работни места“, „Подобряване на инфраструктурната свързаност на регионите – изграждане и модернизиране на пътната и ВиК инфраструктура“ и „Подобряване на инвестиционния процес чрез развитие на устройственото планиране, усъвършенстване на информационните системи на кадастъра и имотния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 </w:t>
      </w:r>
      <w:r w:rsidRPr="00371B57">
        <w:rPr>
          <w:rFonts w:cs="Arial"/>
        </w:rPr>
        <w:t>През годината за тези дейности по оперативни програми (вкл. националното съфинансиране) са изразходвани средства в размер на 211,3 млн. лв. Разходите за 2022 г., определени по решение на общинския съвет, свързани с поддържането на уличната мрежа, водоснабдяване, канализация и други публични услуги, предоставяни на населението, са в размер на 523,9 млн. лв. Делът на отчетените капиталови разходи в група Б „Опазване на околната среда” от общо капиталовите разходи по тази функция е 39,9%. Разходите в група „Опазване на околната среда” са свързани с дейностите по изпълнението на приоритетните политики по управлението на водите и управлението на отпадъците. В групата се отчитат и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 Основната част от разходите в тази група на функцията представляват средства по бюджетите на общините (106,7 млн. лв.)  и средствата, изразходвани за тези дейности по оперативни програми в размер на 366,1 млн. лева.</w:t>
      </w:r>
    </w:p>
    <w:p w14:paraId="67E16B89" w14:textId="77777777" w:rsidR="00876815" w:rsidRPr="00E053B8" w:rsidRDefault="00876815" w:rsidP="00876815">
      <w:pPr>
        <w:autoSpaceDE w:val="0"/>
        <w:autoSpaceDN w:val="0"/>
        <w:adjustRightInd w:val="0"/>
        <w:spacing w:after="120"/>
        <w:ind w:firstLine="720"/>
        <w:jc w:val="both"/>
        <w:rPr>
          <w:rFonts w:cs="Arial"/>
        </w:rPr>
      </w:pPr>
      <w:r w:rsidRPr="009F6720">
        <w:rPr>
          <w:rFonts w:cs="Arial"/>
        </w:rPr>
        <w:t xml:space="preserve">Инвестициите за функция </w:t>
      </w:r>
      <w:r w:rsidRPr="009F6720">
        <w:t>„Отбрана</w:t>
      </w:r>
      <w:r>
        <w:t xml:space="preserve"> и</w:t>
      </w:r>
      <w:r w:rsidRPr="009F6720">
        <w:t xml:space="preserve"> сигурност” заемат 18,3 % от капиталовите разходи по КФП.</w:t>
      </w:r>
      <w:r w:rsidRPr="009F6720">
        <w:rPr>
          <w:rFonts w:cs="Arial"/>
        </w:rPr>
        <w:t xml:space="preserve"> </w:t>
      </w:r>
      <w:r w:rsidRPr="00371B57">
        <w:rPr>
          <w:rFonts w:cs="Arial"/>
        </w:rPr>
        <w:t xml:space="preserve">Размерът на отчетените средства по функцията е 1 042,2 млн. лв., от които основна част представляват разходите, отчетени по бюджета на Министерството на отбраната (МО), </w:t>
      </w:r>
      <w:r w:rsidRPr="00E053B8">
        <w:rPr>
          <w:rFonts w:cs="Arial"/>
        </w:rPr>
        <w:t xml:space="preserve">във връзка с придобиване на многофункционален модулен патрулен кораб; изграждане на интегрирана система и инфраструктура за усвояване, експлоатация и осигуряване на новия тип боен самолет, вкл. и за съпътстващи разходи по придобиването му, </w:t>
      </w:r>
      <w:r w:rsidRPr="00E053B8">
        <w:rPr>
          <w:szCs w:val="20"/>
        </w:rPr>
        <w:t xml:space="preserve">придобиване на зенитно-управляеми ракети </w:t>
      </w:r>
      <w:r w:rsidRPr="00E90ED7">
        <w:rPr>
          <w:szCs w:val="20"/>
        </w:rPr>
        <w:t>"MICA"</w:t>
      </w:r>
      <w:r>
        <w:rPr>
          <w:szCs w:val="20"/>
        </w:rPr>
        <w:t xml:space="preserve">, </w:t>
      </w:r>
      <w:r w:rsidRPr="00E053B8">
        <w:rPr>
          <w:szCs w:val="20"/>
        </w:rPr>
        <w:t>осигуряване на експлоатацията на вертолети AS 532 AL Cougar и двигатели MAKILA 1A1</w:t>
      </w:r>
      <w:r>
        <w:rPr>
          <w:szCs w:val="20"/>
        </w:rPr>
        <w:t>,</w:t>
      </w:r>
      <w:r w:rsidRPr="00E053B8">
        <w:rPr>
          <w:szCs w:val="20"/>
        </w:rPr>
        <w:t xml:space="preserve"> придобиване на радио комуникационно оборудване</w:t>
      </w:r>
      <w:r>
        <w:rPr>
          <w:szCs w:val="20"/>
        </w:rPr>
        <w:t xml:space="preserve">, </w:t>
      </w:r>
      <w:r w:rsidRPr="00E053B8">
        <w:rPr>
          <w:szCs w:val="20"/>
        </w:rPr>
        <w:t xml:space="preserve">финансово обезпечаване на дейностите по реализацията на модела за Централизирана система за персонализация за български лични документи </w:t>
      </w:r>
      <w:r w:rsidRPr="00E053B8">
        <w:rPr>
          <w:rFonts w:cs="Arial"/>
        </w:rPr>
        <w:t xml:space="preserve">по бюджета на Министерството на вътрешните работи. </w:t>
      </w:r>
    </w:p>
    <w:p w14:paraId="4DE748C6" w14:textId="77777777" w:rsidR="00876815" w:rsidRPr="00E053B8" w:rsidRDefault="00876815" w:rsidP="00876815">
      <w:pPr>
        <w:pStyle w:val="Default"/>
        <w:spacing w:after="120"/>
        <w:ind w:firstLine="720"/>
        <w:jc w:val="both"/>
        <w:rPr>
          <w:rFonts w:ascii="Times New Roman" w:hAnsi="Times New Roman"/>
          <w:color w:val="auto"/>
        </w:rPr>
      </w:pPr>
      <w:r w:rsidRPr="00E053B8">
        <w:rPr>
          <w:rFonts w:ascii="Times New Roman" w:hAnsi="Times New Roman" w:cs="Times New Roman"/>
          <w:color w:val="auto"/>
        </w:rPr>
        <w:t xml:space="preserve">Размерът на инвестиционните разходи по функция </w:t>
      </w:r>
      <w:r w:rsidRPr="00E053B8">
        <w:rPr>
          <w:rFonts w:ascii="Times New Roman" w:hAnsi="Times New Roman" w:cs="Times New Roman"/>
          <w:bCs/>
          <w:color w:val="auto"/>
        </w:rPr>
        <w:t>„Образование</w:t>
      </w:r>
      <w:r w:rsidRPr="00E053B8">
        <w:rPr>
          <w:rFonts w:ascii="Times New Roman" w:hAnsi="Times New Roman" w:cs="Times New Roman"/>
          <w:color w:val="auto"/>
        </w:rPr>
        <w:t xml:space="preserve">” за 2022 г. е 454,8 млн. лв., което представлява 8,0 % от общата сума на отчетените капиталови разходи. От тях 300,3 млн. лв. са отчетените разходи, финансирани с национални средства, в системата на предучилищното и училищното образование и 88,5 млн. лв. в системата на висшето образование. Размерът на инвестиционните разходи по функцията за 2022 г., финансирани от оперативните програми, е 64,0 млн. лева. </w:t>
      </w:r>
    </w:p>
    <w:p w14:paraId="3CDFC43F" w14:textId="77777777" w:rsidR="00876815" w:rsidRPr="00E053B8" w:rsidRDefault="00876815" w:rsidP="00876815">
      <w:pPr>
        <w:pStyle w:val="Default"/>
        <w:spacing w:after="120"/>
        <w:ind w:firstLine="720"/>
        <w:jc w:val="both"/>
        <w:rPr>
          <w:rFonts w:ascii="Times New Roman" w:hAnsi="Times New Roman" w:cs="Times New Roman"/>
          <w:color w:val="auto"/>
        </w:rPr>
      </w:pPr>
      <w:r w:rsidRPr="00E053B8">
        <w:rPr>
          <w:rFonts w:ascii="Times New Roman" w:hAnsi="Times New Roman" w:cs="Times New Roman"/>
          <w:color w:val="auto"/>
        </w:rPr>
        <w:t xml:space="preserve">През 2022 г. за финансиране на инвестиционните дейности по функция „Общи държавни служби” са усвоени средства на обща стойност 407,7 млн. лв., което представлява 7,1 % от общия размер на инвестиционните разходи. </w:t>
      </w:r>
    </w:p>
    <w:p w14:paraId="6F788970" w14:textId="77777777" w:rsidR="00876815" w:rsidRPr="00E053B8" w:rsidRDefault="00876815" w:rsidP="00876815">
      <w:pPr>
        <w:ind w:firstLine="720"/>
        <w:jc w:val="both"/>
        <w:rPr>
          <w:rFonts w:cs="Arial"/>
        </w:rPr>
      </w:pPr>
      <w:r w:rsidRPr="00E053B8">
        <w:rPr>
          <w:rFonts w:cs="Arial"/>
        </w:rPr>
        <w:t>Като цяло основната част от инвестиционните разходи през 2022 година бяха насочени към осъществяване на мащабни инфраструктурни проекти, включително съфинансирани по Оперативна програма „Транспорт и транспортна инфраструктура“, проекти за модернизиране на българската армия, по рехабилитацията и изграждането на пътна и железопътна инфраструктура, развитие на ВиК сектора, системи за управление на отпадъците и други.</w:t>
      </w:r>
      <w:r w:rsidRPr="00E053B8">
        <w:t xml:space="preserve"> Работата по тези проекти продължи</w:t>
      </w:r>
      <w:r w:rsidRPr="00E053B8">
        <w:rPr>
          <w:rFonts w:cs="Arial"/>
        </w:rPr>
        <w:t>, въпреки кризата, поради  тяхната значимост за икономиката и за запазване на съществуващите работни места.</w:t>
      </w:r>
    </w:p>
    <w:p w14:paraId="37CB68AD" w14:textId="2F60087B" w:rsidR="003217F9" w:rsidRPr="00260B08" w:rsidRDefault="000C3F4F" w:rsidP="004D74B5">
      <w:pPr>
        <w:numPr>
          <w:ilvl w:val="0"/>
          <w:numId w:val="6"/>
        </w:numPr>
        <w:ind w:left="714" w:hanging="357"/>
        <w:outlineLvl w:val="0"/>
        <w:rPr>
          <w:b/>
        </w:rPr>
      </w:pPr>
      <w:r w:rsidRPr="007B48E9">
        <w:rPr>
          <w:b/>
          <w:color w:val="0070C0"/>
        </w:rPr>
        <w:br w:type="page"/>
      </w:r>
      <w:bookmarkStart w:id="79" w:name="_Toc462146102"/>
      <w:bookmarkStart w:id="80" w:name="_Toc167181035"/>
      <w:bookmarkStart w:id="81" w:name="_Toc261276578"/>
      <w:bookmarkStart w:id="82" w:name="_Toc324863415"/>
      <w:bookmarkStart w:id="83" w:name="_Toc146037888"/>
      <w:r w:rsidR="003217F9" w:rsidRPr="00260B08">
        <w:rPr>
          <w:b/>
        </w:rPr>
        <w:t>Основни параметри на консолидираната фискална програма</w:t>
      </w:r>
      <w:r w:rsidR="00B61AE7" w:rsidRPr="00260B08">
        <w:rPr>
          <w:rStyle w:val="FootnoteReference"/>
          <w:b/>
        </w:rPr>
        <w:footnoteReference w:id="7"/>
      </w:r>
      <w:r w:rsidR="003217F9" w:rsidRPr="00260B08">
        <w:rPr>
          <w:b/>
        </w:rPr>
        <w:t xml:space="preserve"> за 20</w:t>
      </w:r>
      <w:r w:rsidR="008165FC" w:rsidRPr="00260B08">
        <w:rPr>
          <w:b/>
        </w:rPr>
        <w:t>2</w:t>
      </w:r>
      <w:r w:rsidR="00260B08" w:rsidRPr="00260B08">
        <w:rPr>
          <w:b/>
        </w:rPr>
        <w:t>2</w:t>
      </w:r>
      <w:r w:rsidR="003217F9" w:rsidRPr="00260B08">
        <w:rPr>
          <w:b/>
        </w:rPr>
        <w:t xml:space="preserve"> г.</w:t>
      </w:r>
      <w:bookmarkEnd w:id="79"/>
      <w:bookmarkEnd w:id="83"/>
    </w:p>
    <w:p w14:paraId="117B95BC" w14:textId="77777777" w:rsidR="003217F9" w:rsidRPr="007B48E9" w:rsidRDefault="003217F9" w:rsidP="003217F9">
      <w:pPr>
        <w:ind w:firstLine="540"/>
        <w:jc w:val="both"/>
        <w:rPr>
          <w:color w:val="0070C0"/>
          <w:sz w:val="4"/>
          <w:szCs w:val="4"/>
          <w:lang w:eastAsia="en-US"/>
        </w:rPr>
      </w:pPr>
    </w:p>
    <w:p w14:paraId="4D2BFB74" w14:textId="77777777" w:rsidR="00F930C8" w:rsidRPr="007B48E9" w:rsidRDefault="00F930C8" w:rsidP="00F930C8">
      <w:pPr>
        <w:ind w:firstLine="540"/>
        <w:jc w:val="both"/>
        <w:rPr>
          <w:color w:val="0070C0"/>
          <w:sz w:val="4"/>
          <w:szCs w:val="4"/>
          <w:lang w:eastAsia="en-US"/>
        </w:rPr>
      </w:pPr>
    </w:p>
    <w:bookmarkEnd w:id="80"/>
    <w:bookmarkEnd w:id="81"/>
    <w:bookmarkEnd w:id="82"/>
    <w:p w14:paraId="3E55DE54" w14:textId="77777777" w:rsidR="00612D58" w:rsidRPr="00D61418" w:rsidRDefault="00612D58" w:rsidP="00612D58">
      <w:pPr>
        <w:ind w:firstLine="720"/>
        <w:jc w:val="both"/>
        <w:rPr>
          <w:color w:val="000000" w:themeColor="text1"/>
        </w:rPr>
      </w:pPr>
      <w:r w:rsidRPr="00D61418">
        <w:rPr>
          <w:color w:val="000000" w:themeColor="text1"/>
        </w:rPr>
        <w:t>Изпълнението на основните параметри по КФП за 202</w:t>
      </w:r>
      <w:r w:rsidRPr="00D61418">
        <w:rPr>
          <w:color w:val="000000" w:themeColor="text1"/>
          <w:lang w:val="ru-RU"/>
        </w:rPr>
        <w:t>2</w:t>
      </w:r>
      <w:r w:rsidRPr="00D61418">
        <w:rPr>
          <w:color w:val="000000" w:themeColor="text1"/>
        </w:rPr>
        <w:t> г., отнесено към предходната година и към програмата е, както следва:</w:t>
      </w:r>
    </w:p>
    <w:p w14:paraId="7F3F086A" w14:textId="77777777" w:rsidR="00612D58" w:rsidRPr="00D61418" w:rsidRDefault="00612D58" w:rsidP="00612D58">
      <w:pPr>
        <w:ind w:firstLine="7740"/>
        <w:jc w:val="both"/>
        <w:rPr>
          <w:b/>
          <w:color w:val="000000" w:themeColor="text1"/>
          <w:sz w:val="18"/>
          <w:szCs w:val="18"/>
        </w:rPr>
      </w:pPr>
      <w:r w:rsidRPr="00D61418">
        <w:rPr>
          <w:b/>
          <w:color w:val="000000" w:themeColor="text1"/>
          <w:sz w:val="18"/>
          <w:szCs w:val="18"/>
        </w:rPr>
        <w:t>(в млн. лв.)</w:t>
      </w:r>
    </w:p>
    <w:tbl>
      <w:tblPr>
        <w:tblW w:w="9267" w:type="dxa"/>
        <w:tblInd w:w="70" w:type="dxa"/>
        <w:tblLayout w:type="fixed"/>
        <w:tblCellMar>
          <w:left w:w="70" w:type="dxa"/>
          <w:right w:w="70" w:type="dxa"/>
        </w:tblCellMar>
        <w:tblLook w:val="0000" w:firstRow="0" w:lastRow="0" w:firstColumn="0" w:lastColumn="0" w:noHBand="0" w:noVBand="0"/>
      </w:tblPr>
      <w:tblGrid>
        <w:gridCol w:w="3415"/>
        <w:gridCol w:w="839"/>
        <w:gridCol w:w="1205"/>
        <w:gridCol w:w="1018"/>
        <w:gridCol w:w="1440"/>
        <w:gridCol w:w="1350"/>
      </w:tblGrid>
      <w:tr w:rsidR="00612D58" w:rsidRPr="00D61418" w14:paraId="47780BE4" w14:textId="77777777" w:rsidTr="00D337DB">
        <w:trPr>
          <w:trHeight w:val="397"/>
        </w:trPr>
        <w:tc>
          <w:tcPr>
            <w:tcW w:w="3415" w:type="dxa"/>
            <w:tcBorders>
              <w:top w:val="double" w:sz="6" w:space="0" w:color="800000"/>
              <w:left w:val="double" w:sz="6" w:space="0" w:color="800000"/>
              <w:bottom w:val="single" w:sz="8" w:space="0" w:color="800000"/>
              <w:right w:val="single" w:sz="12" w:space="0" w:color="FFFFFF"/>
            </w:tcBorders>
            <w:shd w:val="clear" w:color="auto" w:fill="800000"/>
            <w:noWrap/>
            <w:vAlign w:val="bottom"/>
          </w:tcPr>
          <w:p w14:paraId="3032CAC9"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ПОКАЗАТЕЛИ</w:t>
            </w:r>
            <w:r w:rsidRPr="00D61418">
              <w:rPr>
                <w:b/>
                <w:bCs/>
                <w:color w:val="FFFFFF" w:themeColor="background1"/>
                <w:vertAlign w:val="superscript"/>
              </w:rPr>
              <w:footnoteReference w:id="8"/>
            </w:r>
          </w:p>
        </w:tc>
        <w:tc>
          <w:tcPr>
            <w:tcW w:w="839" w:type="dxa"/>
            <w:tcBorders>
              <w:top w:val="double" w:sz="6" w:space="0" w:color="800000"/>
              <w:left w:val="single" w:sz="12" w:space="0" w:color="FFFFFF"/>
              <w:bottom w:val="single" w:sz="8" w:space="0" w:color="800000"/>
              <w:right w:val="single" w:sz="12" w:space="0" w:color="FFFFFF"/>
            </w:tcBorders>
            <w:shd w:val="clear" w:color="auto" w:fill="800000"/>
            <w:noWrap/>
            <w:vAlign w:val="center"/>
          </w:tcPr>
          <w:p w14:paraId="279A59A9"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Отчет</w:t>
            </w:r>
          </w:p>
        </w:tc>
        <w:tc>
          <w:tcPr>
            <w:tcW w:w="1205" w:type="dxa"/>
            <w:tcBorders>
              <w:top w:val="double" w:sz="6" w:space="0" w:color="800000"/>
              <w:left w:val="single" w:sz="12" w:space="0" w:color="FFFFFF"/>
              <w:bottom w:val="single" w:sz="8" w:space="0" w:color="800000"/>
              <w:right w:val="single" w:sz="12" w:space="0" w:color="FFFFFF"/>
            </w:tcBorders>
            <w:shd w:val="clear" w:color="auto" w:fill="800000"/>
            <w:noWrap/>
            <w:vAlign w:val="center"/>
          </w:tcPr>
          <w:p w14:paraId="676E7DA9" w14:textId="77777777" w:rsidR="00612D58" w:rsidRPr="00D61418" w:rsidRDefault="00612D58" w:rsidP="00D337DB">
            <w:pPr>
              <w:ind w:right="-15"/>
              <w:jc w:val="center"/>
              <w:rPr>
                <w:b/>
                <w:bCs/>
                <w:color w:val="FFFFFF" w:themeColor="background1"/>
                <w:sz w:val="20"/>
                <w:szCs w:val="20"/>
              </w:rPr>
            </w:pPr>
            <w:r w:rsidRPr="00D61418">
              <w:rPr>
                <w:b/>
                <w:bCs/>
                <w:color w:val="FFFFFF" w:themeColor="background1"/>
                <w:sz w:val="20"/>
                <w:szCs w:val="20"/>
              </w:rPr>
              <w:t>Програма</w:t>
            </w:r>
            <w:r w:rsidRPr="00426F15">
              <w:rPr>
                <w:b/>
                <w:bCs/>
                <w:color w:val="FFFFFF" w:themeColor="background1"/>
                <w:sz w:val="20"/>
                <w:szCs w:val="20"/>
                <w:vertAlign w:val="superscript"/>
              </w:rPr>
              <w:footnoteReference w:id="9"/>
            </w:r>
          </w:p>
        </w:tc>
        <w:tc>
          <w:tcPr>
            <w:tcW w:w="1018" w:type="dxa"/>
            <w:tcBorders>
              <w:top w:val="double" w:sz="6" w:space="0" w:color="800000"/>
              <w:left w:val="single" w:sz="12" w:space="0" w:color="FFFFFF"/>
              <w:bottom w:val="single" w:sz="8" w:space="0" w:color="800000"/>
              <w:right w:val="single" w:sz="12" w:space="0" w:color="FFFFFF"/>
            </w:tcBorders>
            <w:shd w:val="clear" w:color="auto" w:fill="800000"/>
            <w:noWrap/>
            <w:vAlign w:val="center"/>
          </w:tcPr>
          <w:p w14:paraId="14D7B15C"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Отчет</w:t>
            </w:r>
          </w:p>
        </w:tc>
        <w:tc>
          <w:tcPr>
            <w:tcW w:w="1440" w:type="dxa"/>
            <w:vMerge w:val="restart"/>
            <w:tcBorders>
              <w:top w:val="double" w:sz="6" w:space="0" w:color="800000"/>
              <w:left w:val="single" w:sz="12" w:space="0" w:color="FFFFFF"/>
              <w:bottom w:val="nil"/>
              <w:right w:val="single" w:sz="12" w:space="0" w:color="FFFFFF"/>
            </w:tcBorders>
            <w:shd w:val="clear" w:color="auto" w:fill="800000"/>
            <w:vAlign w:val="bottom"/>
          </w:tcPr>
          <w:p w14:paraId="31BBDEA7" w14:textId="77777777" w:rsidR="00612D58" w:rsidRDefault="00612D58" w:rsidP="00D337DB">
            <w:pPr>
              <w:jc w:val="center"/>
              <w:rPr>
                <w:b/>
                <w:bCs/>
                <w:color w:val="FFFFFF" w:themeColor="background1"/>
                <w:sz w:val="20"/>
                <w:szCs w:val="20"/>
              </w:rPr>
            </w:pPr>
            <w:r>
              <w:rPr>
                <w:b/>
                <w:bCs/>
                <w:color w:val="FFFFFF" w:themeColor="background1"/>
                <w:sz w:val="20"/>
                <w:szCs w:val="20"/>
              </w:rPr>
              <w:t xml:space="preserve">Отчет на съпоставима база 2022 г.  </w:t>
            </w:r>
          </w:p>
          <w:p w14:paraId="0F598A68" w14:textId="77777777" w:rsidR="00612D58" w:rsidRPr="00D61418" w:rsidRDefault="00612D58" w:rsidP="00D337DB">
            <w:pPr>
              <w:jc w:val="center"/>
              <w:rPr>
                <w:b/>
                <w:bCs/>
                <w:color w:val="FFFFFF" w:themeColor="background1"/>
                <w:sz w:val="20"/>
                <w:szCs w:val="20"/>
              </w:rPr>
            </w:pPr>
            <w:r>
              <w:rPr>
                <w:b/>
                <w:bCs/>
                <w:color w:val="FFFFFF" w:themeColor="background1"/>
                <w:sz w:val="20"/>
                <w:szCs w:val="20"/>
              </w:rPr>
              <w:t xml:space="preserve">               </w:t>
            </w:r>
          </w:p>
        </w:tc>
        <w:tc>
          <w:tcPr>
            <w:tcW w:w="1350" w:type="dxa"/>
            <w:vMerge w:val="restart"/>
            <w:tcBorders>
              <w:top w:val="double" w:sz="6" w:space="0" w:color="800000"/>
              <w:left w:val="single" w:sz="12" w:space="0" w:color="FFFFFF"/>
              <w:bottom w:val="nil"/>
              <w:right w:val="double" w:sz="6" w:space="0" w:color="800000"/>
            </w:tcBorders>
            <w:shd w:val="clear" w:color="auto" w:fill="800000"/>
            <w:vAlign w:val="bottom"/>
          </w:tcPr>
          <w:p w14:paraId="791F742C" w14:textId="77777777" w:rsidR="00612D58" w:rsidRPr="00D61418" w:rsidRDefault="00612D58" w:rsidP="00D337DB">
            <w:pPr>
              <w:jc w:val="center"/>
              <w:rPr>
                <w:b/>
                <w:bCs/>
                <w:color w:val="FFFFFF" w:themeColor="background1"/>
                <w:sz w:val="20"/>
                <w:szCs w:val="20"/>
              </w:rPr>
            </w:pPr>
            <w:r>
              <w:rPr>
                <w:b/>
                <w:bCs/>
                <w:color w:val="FFFFFF" w:themeColor="background1"/>
                <w:sz w:val="20"/>
                <w:szCs w:val="20"/>
              </w:rPr>
              <w:t xml:space="preserve">Отчет на съпоставима база </w:t>
            </w:r>
          </w:p>
          <w:p w14:paraId="46B8A542"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спрямо</w:t>
            </w:r>
          </w:p>
          <w:p w14:paraId="34A8B6C2"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програма</w:t>
            </w:r>
          </w:p>
        </w:tc>
      </w:tr>
      <w:tr w:rsidR="00612D58" w:rsidRPr="00D61418" w14:paraId="0BC13470" w14:textId="77777777" w:rsidTr="00D337DB">
        <w:trPr>
          <w:trHeight w:val="270"/>
        </w:trPr>
        <w:tc>
          <w:tcPr>
            <w:tcW w:w="3415" w:type="dxa"/>
            <w:tcBorders>
              <w:top w:val="single" w:sz="8" w:space="0" w:color="800000"/>
              <w:left w:val="double" w:sz="6" w:space="0" w:color="800000"/>
              <w:bottom w:val="double" w:sz="6" w:space="0" w:color="800000"/>
              <w:right w:val="single" w:sz="12" w:space="0" w:color="FFFFFF"/>
            </w:tcBorders>
            <w:shd w:val="clear" w:color="auto" w:fill="800000"/>
            <w:noWrap/>
            <w:vAlign w:val="bottom"/>
          </w:tcPr>
          <w:p w14:paraId="636CF461"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 </w:t>
            </w:r>
          </w:p>
        </w:tc>
        <w:tc>
          <w:tcPr>
            <w:tcW w:w="839" w:type="dxa"/>
            <w:tcBorders>
              <w:top w:val="nil"/>
              <w:left w:val="single" w:sz="12" w:space="0" w:color="FFFFFF"/>
              <w:bottom w:val="double" w:sz="6" w:space="0" w:color="800000"/>
              <w:right w:val="single" w:sz="12" w:space="0" w:color="FFFFFF"/>
            </w:tcBorders>
            <w:shd w:val="clear" w:color="auto" w:fill="800000"/>
            <w:noWrap/>
            <w:vAlign w:val="center"/>
          </w:tcPr>
          <w:p w14:paraId="65E8232C"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20</w:t>
            </w:r>
            <w:r w:rsidRPr="00426F15">
              <w:rPr>
                <w:b/>
                <w:bCs/>
                <w:color w:val="FFFFFF" w:themeColor="background1"/>
                <w:sz w:val="20"/>
                <w:szCs w:val="20"/>
                <w:lang w:val="ru-RU"/>
              </w:rPr>
              <w:t>21</w:t>
            </w:r>
            <w:r w:rsidRPr="00D61418">
              <w:rPr>
                <w:b/>
                <w:bCs/>
                <w:color w:val="FFFFFF" w:themeColor="background1"/>
                <w:sz w:val="20"/>
                <w:szCs w:val="20"/>
              </w:rPr>
              <w:t xml:space="preserve"> г.</w:t>
            </w:r>
          </w:p>
        </w:tc>
        <w:tc>
          <w:tcPr>
            <w:tcW w:w="1205" w:type="dxa"/>
            <w:tcBorders>
              <w:top w:val="single" w:sz="8" w:space="0" w:color="800000"/>
              <w:left w:val="single" w:sz="12" w:space="0" w:color="FFFFFF"/>
              <w:bottom w:val="double" w:sz="6" w:space="0" w:color="800000"/>
              <w:right w:val="single" w:sz="12" w:space="0" w:color="FFFFFF"/>
            </w:tcBorders>
            <w:shd w:val="clear" w:color="auto" w:fill="800000"/>
            <w:noWrap/>
            <w:vAlign w:val="center"/>
          </w:tcPr>
          <w:p w14:paraId="159A4B71"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202</w:t>
            </w:r>
            <w:r w:rsidRPr="00426F15">
              <w:rPr>
                <w:b/>
                <w:bCs/>
                <w:color w:val="FFFFFF" w:themeColor="background1"/>
                <w:sz w:val="20"/>
                <w:szCs w:val="20"/>
                <w:lang w:val="ru-RU"/>
              </w:rPr>
              <w:t>2</w:t>
            </w:r>
            <w:r w:rsidRPr="00D61418">
              <w:rPr>
                <w:b/>
                <w:bCs/>
                <w:color w:val="FFFFFF" w:themeColor="background1"/>
                <w:sz w:val="20"/>
                <w:szCs w:val="20"/>
              </w:rPr>
              <w:t xml:space="preserve"> г.</w:t>
            </w:r>
          </w:p>
        </w:tc>
        <w:tc>
          <w:tcPr>
            <w:tcW w:w="1018" w:type="dxa"/>
            <w:tcBorders>
              <w:top w:val="nil"/>
              <w:left w:val="single" w:sz="12" w:space="0" w:color="FFFFFF"/>
              <w:bottom w:val="double" w:sz="6" w:space="0" w:color="800000"/>
              <w:right w:val="single" w:sz="12" w:space="0" w:color="FFFFFF"/>
            </w:tcBorders>
            <w:shd w:val="clear" w:color="auto" w:fill="800000"/>
            <w:noWrap/>
            <w:vAlign w:val="center"/>
          </w:tcPr>
          <w:p w14:paraId="5B4CFC93" w14:textId="77777777" w:rsidR="00612D58" w:rsidRPr="00D61418" w:rsidRDefault="00612D58" w:rsidP="00D337DB">
            <w:pPr>
              <w:jc w:val="center"/>
              <w:rPr>
                <w:b/>
                <w:bCs/>
                <w:color w:val="FFFFFF" w:themeColor="background1"/>
                <w:sz w:val="20"/>
                <w:szCs w:val="20"/>
              </w:rPr>
            </w:pPr>
            <w:r w:rsidRPr="00D61418">
              <w:rPr>
                <w:b/>
                <w:bCs/>
                <w:color w:val="FFFFFF" w:themeColor="background1"/>
                <w:sz w:val="20"/>
                <w:szCs w:val="20"/>
              </w:rPr>
              <w:t>202</w:t>
            </w:r>
            <w:r w:rsidRPr="00426F15">
              <w:rPr>
                <w:b/>
                <w:bCs/>
                <w:color w:val="FFFFFF" w:themeColor="background1"/>
                <w:sz w:val="20"/>
                <w:szCs w:val="20"/>
                <w:lang w:val="ru-RU"/>
              </w:rPr>
              <w:t>2</w:t>
            </w:r>
            <w:r w:rsidRPr="00D61418">
              <w:rPr>
                <w:b/>
                <w:bCs/>
                <w:color w:val="FFFFFF" w:themeColor="background1"/>
                <w:sz w:val="20"/>
                <w:szCs w:val="20"/>
              </w:rPr>
              <w:t xml:space="preserve"> г.</w:t>
            </w:r>
          </w:p>
        </w:tc>
        <w:tc>
          <w:tcPr>
            <w:tcW w:w="1440" w:type="dxa"/>
            <w:vMerge/>
            <w:tcBorders>
              <w:left w:val="single" w:sz="12" w:space="0" w:color="FFFFFF"/>
              <w:bottom w:val="double" w:sz="6" w:space="0" w:color="800000"/>
              <w:right w:val="single" w:sz="12" w:space="0" w:color="FFFFFF"/>
            </w:tcBorders>
            <w:shd w:val="clear" w:color="auto" w:fill="800000"/>
            <w:noWrap/>
            <w:vAlign w:val="bottom"/>
          </w:tcPr>
          <w:p w14:paraId="33827B07" w14:textId="77777777" w:rsidR="00612D58" w:rsidRPr="00D61418" w:rsidRDefault="00612D58" w:rsidP="00D337DB">
            <w:pPr>
              <w:jc w:val="center"/>
              <w:rPr>
                <w:b/>
                <w:bCs/>
                <w:color w:val="FFFFFF" w:themeColor="background1"/>
                <w:sz w:val="20"/>
                <w:szCs w:val="20"/>
              </w:rPr>
            </w:pPr>
          </w:p>
        </w:tc>
        <w:tc>
          <w:tcPr>
            <w:tcW w:w="1350" w:type="dxa"/>
            <w:vMerge/>
            <w:tcBorders>
              <w:left w:val="single" w:sz="12" w:space="0" w:color="FFFFFF"/>
              <w:bottom w:val="double" w:sz="6" w:space="0" w:color="800000"/>
              <w:right w:val="double" w:sz="6" w:space="0" w:color="800000"/>
            </w:tcBorders>
            <w:shd w:val="clear" w:color="auto" w:fill="800000"/>
            <w:noWrap/>
            <w:vAlign w:val="bottom"/>
          </w:tcPr>
          <w:p w14:paraId="2FB69D67" w14:textId="77777777" w:rsidR="00612D58" w:rsidRPr="00D61418" w:rsidRDefault="00612D58" w:rsidP="00D337DB">
            <w:pPr>
              <w:jc w:val="center"/>
              <w:rPr>
                <w:b/>
                <w:bCs/>
                <w:color w:val="FFFFFF" w:themeColor="background1"/>
                <w:sz w:val="20"/>
                <w:szCs w:val="20"/>
              </w:rPr>
            </w:pPr>
          </w:p>
        </w:tc>
      </w:tr>
      <w:tr w:rsidR="00EF664F" w:rsidRPr="00D61418" w14:paraId="38406FDC" w14:textId="77777777" w:rsidTr="00D337DB">
        <w:trPr>
          <w:trHeight w:val="156"/>
        </w:trPr>
        <w:tc>
          <w:tcPr>
            <w:tcW w:w="3415" w:type="dxa"/>
            <w:tcBorders>
              <w:top w:val="nil"/>
              <w:left w:val="double" w:sz="6" w:space="0" w:color="800000"/>
              <w:bottom w:val="nil"/>
              <w:right w:val="single" w:sz="8" w:space="0" w:color="800000"/>
            </w:tcBorders>
            <w:shd w:val="clear" w:color="auto" w:fill="FFFFCC"/>
            <w:noWrap/>
            <w:vAlign w:val="bottom"/>
          </w:tcPr>
          <w:p w14:paraId="0E057320" w14:textId="77777777" w:rsidR="00EF664F" w:rsidRPr="00D61418" w:rsidRDefault="00EF664F" w:rsidP="00EF664F">
            <w:pPr>
              <w:rPr>
                <w:b/>
                <w:bCs/>
                <w:color w:val="000000" w:themeColor="text1"/>
                <w:sz w:val="20"/>
                <w:szCs w:val="20"/>
              </w:rPr>
            </w:pPr>
            <w:r w:rsidRPr="00D61418">
              <w:rPr>
                <w:b/>
                <w:bCs/>
                <w:color w:val="000000" w:themeColor="text1"/>
                <w:sz w:val="20"/>
                <w:szCs w:val="20"/>
              </w:rPr>
              <w:t>Приходи, помощи и дарения</w:t>
            </w:r>
          </w:p>
        </w:tc>
        <w:tc>
          <w:tcPr>
            <w:tcW w:w="839" w:type="dxa"/>
            <w:tcBorders>
              <w:top w:val="double" w:sz="6" w:space="0" w:color="800000"/>
              <w:left w:val="nil"/>
              <w:bottom w:val="nil"/>
              <w:right w:val="single" w:sz="4" w:space="0" w:color="800000"/>
            </w:tcBorders>
            <w:shd w:val="clear" w:color="000000" w:fill="FFFFCC"/>
            <w:noWrap/>
            <w:vAlign w:val="bottom"/>
          </w:tcPr>
          <w:p w14:paraId="021E3C37" w14:textId="77777777" w:rsidR="00EF664F" w:rsidRPr="00426F15" w:rsidRDefault="00EF664F" w:rsidP="00EF664F">
            <w:pPr>
              <w:jc w:val="right"/>
              <w:rPr>
                <w:b/>
                <w:bCs/>
                <w:color w:val="000000" w:themeColor="text1"/>
                <w:sz w:val="18"/>
                <w:szCs w:val="18"/>
                <w:lang w:val="ru-RU"/>
              </w:rPr>
            </w:pPr>
            <w:r w:rsidRPr="00D61418">
              <w:rPr>
                <w:b/>
                <w:bCs/>
                <w:color w:val="000000" w:themeColor="text1"/>
                <w:sz w:val="18"/>
                <w:szCs w:val="18"/>
              </w:rPr>
              <w:t>52 458,</w:t>
            </w:r>
            <w:r w:rsidRPr="00426F15">
              <w:rPr>
                <w:b/>
                <w:bCs/>
                <w:color w:val="000000" w:themeColor="text1"/>
                <w:sz w:val="18"/>
                <w:szCs w:val="18"/>
                <w:lang w:val="ru-RU"/>
              </w:rPr>
              <w:t>9</w:t>
            </w:r>
          </w:p>
        </w:tc>
        <w:tc>
          <w:tcPr>
            <w:tcW w:w="1205" w:type="dxa"/>
            <w:tcBorders>
              <w:top w:val="double" w:sz="6" w:space="0" w:color="800000"/>
              <w:left w:val="double" w:sz="6" w:space="0" w:color="800000"/>
              <w:bottom w:val="nil"/>
              <w:right w:val="single" w:sz="8" w:space="0" w:color="800000"/>
            </w:tcBorders>
            <w:shd w:val="clear" w:color="000000" w:fill="FFFFCC"/>
            <w:noWrap/>
            <w:vAlign w:val="bottom"/>
          </w:tcPr>
          <w:p w14:paraId="5CF8B630" w14:textId="77777777" w:rsidR="00EF664F" w:rsidRPr="00426F15" w:rsidRDefault="00EF664F" w:rsidP="00EF664F">
            <w:pPr>
              <w:jc w:val="right"/>
              <w:rPr>
                <w:b/>
                <w:bCs/>
                <w:color w:val="000000" w:themeColor="text1"/>
                <w:sz w:val="18"/>
                <w:szCs w:val="18"/>
                <w:lang w:val="ru-RU"/>
              </w:rPr>
            </w:pPr>
            <w:r w:rsidRPr="00D61418">
              <w:rPr>
                <w:b/>
                <w:bCs/>
                <w:color w:val="000000" w:themeColor="text1"/>
                <w:sz w:val="18"/>
                <w:szCs w:val="18"/>
              </w:rPr>
              <w:t>5</w:t>
            </w:r>
            <w:r w:rsidRPr="00426F15">
              <w:rPr>
                <w:b/>
                <w:bCs/>
                <w:color w:val="000000" w:themeColor="text1"/>
                <w:sz w:val="18"/>
                <w:szCs w:val="18"/>
                <w:lang w:val="ru-RU"/>
              </w:rPr>
              <w:t>9</w:t>
            </w:r>
            <w:r w:rsidRPr="00D61418">
              <w:rPr>
                <w:b/>
                <w:bCs/>
                <w:color w:val="000000" w:themeColor="text1"/>
                <w:sz w:val="18"/>
                <w:szCs w:val="18"/>
              </w:rPr>
              <w:t> </w:t>
            </w:r>
            <w:r w:rsidRPr="00426F15">
              <w:rPr>
                <w:b/>
                <w:bCs/>
                <w:color w:val="000000" w:themeColor="text1"/>
                <w:sz w:val="18"/>
                <w:szCs w:val="18"/>
                <w:lang w:val="ru-RU"/>
              </w:rPr>
              <w:t>65</w:t>
            </w:r>
            <w:r w:rsidRPr="00D61418">
              <w:rPr>
                <w:b/>
                <w:bCs/>
                <w:color w:val="000000" w:themeColor="text1"/>
                <w:sz w:val="18"/>
                <w:szCs w:val="18"/>
              </w:rPr>
              <w:t>8,</w:t>
            </w:r>
            <w:r w:rsidRPr="00426F15">
              <w:rPr>
                <w:b/>
                <w:bCs/>
                <w:color w:val="000000" w:themeColor="text1"/>
                <w:sz w:val="18"/>
                <w:szCs w:val="18"/>
                <w:lang w:val="ru-RU"/>
              </w:rPr>
              <w:t>7</w:t>
            </w:r>
          </w:p>
        </w:tc>
        <w:tc>
          <w:tcPr>
            <w:tcW w:w="1018" w:type="dxa"/>
            <w:tcBorders>
              <w:top w:val="double" w:sz="6" w:space="0" w:color="800000"/>
              <w:left w:val="nil"/>
              <w:bottom w:val="nil"/>
              <w:right w:val="single" w:sz="4" w:space="0" w:color="800000"/>
            </w:tcBorders>
            <w:shd w:val="clear" w:color="000000" w:fill="FFFFCC"/>
            <w:noWrap/>
            <w:vAlign w:val="bottom"/>
          </w:tcPr>
          <w:p w14:paraId="4C722FB9" w14:textId="0C772707" w:rsidR="00EF664F" w:rsidRPr="00D61418" w:rsidRDefault="00EF664F" w:rsidP="00014EDC">
            <w:pPr>
              <w:jc w:val="right"/>
              <w:rPr>
                <w:b/>
                <w:bCs/>
                <w:color w:val="000000" w:themeColor="text1"/>
                <w:sz w:val="18"/>
                <w:szCs w:val="18"/>
              </w:rPr>
            </w:pPr>
            <w:r w:rsidRPr="00426F15">
              <w:rPr>
                <w:b/>
                <w:bCs/>
                <w:color w:val="000000" w:themeColor="text1"/>
                <w:sz w:val="18"/>
                <w:szCs w:val="18"/>
                <w:lang w:val="ru-RU"/>
              </w:rPr>
              <w:t>6</w:t>
            </w:r>
            <w:r>
              <w:rPr>
                <w:b/>
                <w:bCs/>
                <w:color w:val="000000" w:themeColor="text1"/>
                <w:sz w:val="18"/>
                <w:szCs w:val="18"/>
                <w:lang w:val="en-US"/>
              </w:rPr>
              <w:t>4</w:t>
            </w:r>
            <w:r w:rsidRPr="00D61418">
              <w:rPr>
                <w:b/>
                <w:bCs/>
                <w:color w:val="000000" w:themeColor="text1"/>
                <w:sz w:val="18"/>
                <w:szCs w:val="18"/>
              </w:rPr>
              <w:t> </w:t>
            </w:r>
            <w:r>
              <w:rPr>
                <w:b/>
                <w:bCs/>
                <w:color w:val="000000" w:themeColor="text1"/>
                <w:sz w:val="18"/>
                <w:szCs w:val="18"/>
                <w:lang w:val="en-US"/>
              </w:rPr>
              <w:t>788</w:t>
            </w:r>
            <w:r w:rsidRPr="00D61418">
              <w:rPr>
                <w:b/>
                <w:bCs/>
                <w:color w:val="000000" w:themeColor="text1"/>
                <w:sz w:val="18"/>
                <w:szCs w:val="18"/>
              </w:rPr>
              <w:t>,</w:t>
            </w:r>
            <w:r w:rsidR="00014EDC">
              <w:rPr>
                <w:b/>
                <w:bCs/>
                <w:color w:val="000000" w:themeColor="text1"/>
                <w:sz w:val="18"/>
                <w:szCs w:val="18"/>
                <w:lang w:val="en-US"/>
              </w:rPr>
              <w:t>7</w:t>
            </w:r>
          </w:p>
        </w:tc>
        <w:tc>
          <w:tcPr>
            <w:tcW w:w="1440" w:type="dxa"/>
            <w:tcBorders>
              <w:top w:val="double" w:sz="6" w:space="0" w:color="800000"/>
              <w:left w:val="nil"/>
              <w:bottom w:val="nil"/>
              <w:right w:val="single" w:sz="4" w:space="0" w:color="800000"/>
            </w:tcBorders>
            <w:shd w:val="clear" w:color="000000" w:fill="FFFFCC"/>
            <w:noWrap/>
            <w:vAlign w:val="bottom"/>
          </w:tcPr>
          <w:p w14:paraId="539DA658" w14:textId="130DE2D8" w:rsidR="00EF664F" w:rsidRPr="00D61418" w:rsidRDefault="00EF664F" w:rsidP="00014EDC">
            <w:pPr>
              <w:jc w:val="right"/>
              <w:rPr>
                <w:b/>
                <w:bCs/>
                <w:color w:val="000000" w:themeColor="text1"/>
                <w:sz w:val="18"/>
                <w:szCs w:val="18"/>
              </w:rPr>
            </w:pPr>
            <w:r>
              <w:rPr>
                <w:b/>
                <w:bCs/>
                <w:sz w:val="18"/>
                <w:szCs w:val="18"/>
              </w:rPr>
              <w:t>61 607,</w:t>
            </w:r>
            <w:r w:rsidR="00014EDC">
              <w:rPr>
                <w:b/>
                <w:bCs/>
                <w:sz w:val="18"/>
                <w:szCs w:val="18"/>
                <w:lang w:val="en-US"/>
              </w:rPr>
              <w:t>7</w:t>
            </w:r>
          </w:p>
        </w:tc>
        <w:tc>
          <w:tcPr>
            <w:tcW w:w="1350" w:type="dxa"/>
            <w:tcBorders>
              <w:top w:val="single" w:sz="8" w:space="0" w:color="800000"/>
              <w:left w:val="single" w:sz="4" w:space="0" w:color="800000"/>
              <w:bottom w:val="nil"/>
              <w:right w:val="single" w:sz="4" w:space="0" w:color="800000"/>
            </w:tcBorders>
            <w:shd w:val="clear" w:color="000000" w:fill="FFFFCC"/>
            <w:noWrap/>
            <w:vAlign w:val="bottom"/>
          </w:tcPr>
          <w:p w14:paraId="62036B83" w14:textId="0DFCE44A" w:rsidR="00EF664F" w:rsidRPr="00D61418" w:rsidRDefault="00EF664F" w:rsidP="00EF664F">
            <w:pPr>
              <w:jc w:val="right"/>
              <w:rPr>
                <w:b/>
                <w:bCs/>
                <w:color w:val="000000" w:themeColor="text1"/>
                <w:sz w:val="18"/>
                <w:szCs w:val="18"/>
              </w:rPr>
            </w:pPr>
            <w:r>
              <w:rPr>
                <w:b/>
                <w:bCs/>
                <w:sz w:val="20"/>
                <w:szCs w:val="20"/>
              </w:rPr>
              <w:t>103,3%</w:t>
            </w:r>
          </w:p>
        </w:tc>
      </w:tr>
      <w:tr w:rsidR="00EF664F" w:rsidRPr="00D61418" w14:paraId="03A2BA84" w14:textId="77777777" w:rsidTr="00D337DB">
        <w:trPr>
          <w:trHeight w:val="100"/>
        </w:trPr>
        <w:tc>
          <w:tcPr>
            <w:tcW w:w="3415" w:type="dxa"/>
            <w:tcBorders>
              <w:top w:val="nil"/>
              <w:left w:val="double" w:sz="6" w:space="0" w:color="800000"/>
              <w:bottom w:val="nil"/>
              <w:right w:val="single" w:sz="8" w:space="0" w:color="800000"/>
            </w:tcBorders>
            <w:shd w:val="clear" w:color="auto" w:fill="FFFFCC"/>
            <w:noWrap/>
            <w:vAlign w:val="bottom"/>
          </w:tcPr>
          <w:p w14:paraId="1B101AA6" w14:textId="77777777" w:rsidR="00EF664F" w:rsidRPr="00D61418" w:rsidRDefault="00EF664F" w:rsidP="00EF664F">
            <w:pPr>
              <w:rPr>
                <w:color w:val="000000" w:themeColor="text1"/>
                <w:sz w:val="20"/>
                <w:szCs w:val="20"/>
              </w:rPr>
            </w:pPr>
            <w:r w:rsidRPr="00D61418">
              <w:rPr>
                <w:color w:val="000000" w:themeColor="text1"/>
                <w:sz w:val="20"/>
                <w:szCs w:val="20"/>
              </w:rPr>
              <w:t xml:space="preserve">   -Данъчно-осигурителни приходи</w:t>
            </w:r>
          </w:p>
        </w:tc>
        <w:tc>
          <w:tcPr>
            <w:tcW w:w="839" w:type="dxa"/>
            <w:tcBorders>
              <w:top w:val="nil"/>
              <w:left w:val="nil"/>
              <w:bottom w:val="nil"/>
              <w:right w:val="single" w:sz="4" w:space="0" w:color="800000"/>
            </w:tcBorders>
            <w:shd w:val="clear" w:color="000000" w:fill="FFFFCC"/>
            <w:noWrap/>
            <w:vAlign w:val="bottom"/>
          </w:tcPr>
          <w:p w14:paraId="53DB0FF8" w14:textId="77777777" w:rsidR="00EF664F" w:rsidRPr="00D61418" w:rsidRDefault="00EF664F" w:rsidP="00EF664F">
            <w:pPr>
              <w:jc w:val="right"/>
              <w:rPr>
                <w:color w:val="000000" w:themeColor="text1"/>
                <w:sz w:val="18"/>
                <w:szCs w:val="18"/>
              </w:rPr>
            </w:pPr>
            <w:r w:rsidRPr="00D61418">
              <w:rPr>
                <w:color w:val="000000" w:themeColor="text1"/>
                <w:sz w:val="18"/>
                <w:szCs w:val="18"/>
              </w:rPr>
              <w:t>40 876,3</w:t>
            </w:r>
          </w:p>
        </w:tc>
        <w:tc>
          <w:tcPr>
            <w:tcW w:w="1205" w:type="dxa"/>
            <w:tcBorders>
              <w:top w:val="nil"/>
              <w:left w:val="double" w:sz="6" w:space="0" w:color="800000"/>
              <w:bottom w:val="nil"/>
              <w:right w:val="single" w:sz="8" w:space="0" w:color="800000"/>
            </w:tcBorders>
            <w:shd w:val="clear" w:color="000000" w:fill="FFFFCC"/>
            <w:noWrap/>
            <w:vAlign w:val="bottom"/>
          </w:tcPr>
          <w:p w14:paraId="160089BE" w14:textId="77777777" w:rsidR="00EF664F" w:rsidRPr="00D61418" w:rsidRDefault="00EF664F" w:rsidP="00EF664F">
            <w:pPr>
              <w:jc w:val="right"/>
              <w:rPr>
                <w:color w:val="000000" w:themeColor="text1"/>
                <w:sz w:val="18"/>
                <w:szCs w:val="18"/>
              </w:rPr>
            </w:pPr>
            <w:r>
              <w:rPr>
                <w:color w:val="000000" w:themeColor="text1"/>
                <w:sz w:val="18"/>
                <w:szCs w:val="18"/>
                <w:lang w:val="en-US"/>
              </w:rPr>
              <w:t>46</w:t>
            </w:r>
            <w:r w:rsidRPr="00D61418">
              <w:rPr>
                <w:color w:val="000000" w:themeColor="text1"/>
                <w:sz w:val="18"/>
                <w:szCs w:val="18"/>
              </w:rPr>
              <w:t> </w:t>
            </w:r>
            <w:r>
              <w:rPr>
                <w:color w:val="000000" w:themeColor="text1"/>
                <w:sz w:val="18"/>
                <w:szCs w:val="18"/>
                <w:lang w:val="en-US"/>
              </w:rPr>
              <w:t>122</w:t>
            </w:r>
            <w:r w:rsidRPr="00D61418">
              <w:rPr>
                <w:color w:val="000000" w:themeColor="text1"/>
                <w:sz w:val="18"/>
                <w:szCs w:val="18"/>
              </w:rPr>
              <w:t>,6</w:t>
            </w:r>
          </w:p>
        </w:tc>
        <w:tc>
          <w:tcPr>
            <w:tcW w:w="1018" w:type="dxa"/>
            <w:tcBorders>
              <w:top w:val="nil"/>
              <w:left w:val="nil"/>
              <w:bottom w:val="nil"/>
              <w:right w:val="single" w:sz="4" w:space="0" w:color="800000"/>
            </w:tcBorders>
            <w:shd w:val="clear" w:color="000000" w:fill="FFFFCC"/>
            <w:noWrap/>
            <w:vAlign w:val="bottom"/>
          </w:tcPr>
          <w:p w14:paraId="2DB10009" w14:textId="77777777" w:rsidR="00EF664F" w:rsidRPr="005F431F" w:rsidRDefault="00EF664F" w:rsidP="00EF664F">
            <w:pPr>
              <w:jc w:val="right"/>
              <w:rPr>
                <w:color w:val="000000" w:themeColor="text1"/>
                <w:sz w:val="18"/>
                <w:szCs w:val="18"/>
                <w:lang w:val="en-US"/>
              </w:rPr>
            </w:pPr>
            <w:r w:rsidRPr="00D61418">
              <w:rPr>
                <w:color w:val="000000" w:themeColor="text1"/>
                <w:sz w:val="18"/>
                <w:szCs w:val="18"/>
              </w:rPr>
              <w:t>4</w:t>
            </w:r>
            <w:r>
              <w:rPr>
                <w:color w:val="000000" w:themeColor="text1"/>
                <w:sz w:val="18"/>
                <w:szCs w:val="18"/>
                <w:lang w:val="en-US"/>
              </w:rPr>
              <w:t>6</w:t>
            </w:r>
            <w:r w:rsidRPr="00D61418">
              <w:rPr>
                <w:color w:val="000000" w:themeColor="text1"/>
                <w:sz w:val="18"/>
                <w:szCs w:val="18"/>
              </w:rPr>
              <w:t> </w:t>
            </w:r>
            <w:r>
              <w:rPr>
                <w:color w:val="000000" w:themeColor="text1"/>
                <w:sz w:val="18"/>
                <w:szCs w:val="18"/>
                <w:lang w:val="en-US"/>
              </w:rPr>
              <w:t>783</w:t>
            </w:r>
            <w:r w:rsidRPr="00D61418">
              <w:rPr>
                <w:color w:val="000000" w:themeColor="text1"/>
                <w:sz w:val="18"/>
                <w:szCs w:val="18"/>
              </w:rPr>
              <w:t>,</w:t>
            </w:r>
            <w:r>
              <w:rPr>
                <w:color w:val="000000" w:themeColor="text1"/>
                <w:sz w:val="18"/>
                <w:szCs w:val="18"/>
                <w:lang w:val="en-US"/>
              </w:rPr>
              <w:t>0</w:t>
            </w:r>
          </w:p>
        </w:tc>
        <w:tc>
          <w:tcPr>
            <w:tcW w:w="1440" w:type="dxa"/>
            <w:tcBorders>
              <w:top w:val="nil"/>
              <w:left w:val="nil"/>
              <w:bottom w:val="nil"/>
              <w:right w:val="single" w:sz="4" w:space="0" w:color="800000"/>
            </w:tcBorders>
            <w:shd w:val="clear" w:color="000000" w:fill="FFFFCC"/>
            <w:noWrap/>
            <w:vAlign w:val="bottom"/>
          </w:tcPr>
          <w:p w14:paraId="7A5B3414" w14:textId="13F339A6" w:rsidR="00EF664F" w:rsidRPr="00D61418" w:rsidRDefault="00EF664F" w:rsidP="00EF664F">
            <w:pPr>
              <w:jc w:val="right"/>
              <w:rPr>
                <w:color w:val="000000" w:themeColor="text1"/>
                <w:sz w:val="18"/>
                <w:szCs w:val="18"/>
              </w:rPr>
            </w:pPr>
            <w:r>
              <w:rPr>
                <w:sz w:val="18"/>
                <w:szCs w:val="18"/>
              </w:rPr>
              <w:t>46 783,0</w:t>
            </w:r>
          </w:p>
        </w:tc>
        <w:tc>
          <w:tcPr>
            <w:tcW w:w="1350" w:type="dxa"/>
            <w:tcBorders>
              <w:top w:val="nil"/>
              <w:left w:val="single" w:sz="4" w:space="0" w:color="800000"/>
              <w:bottom w:val="nil"/>
              <w:right w:val="single" w:sz="4" w:space="0" w:color="800000"/>
            </w:tcBorders>
            <w:shd w:val="clear" w:color="000000" w:fill="FFFFCC"/>
            <w:noWrap/>
            <w:vAlign w:val="bottom"/>
          </w:tcPr>
          <w:p w14:paraId="17E9E92A" w14:textId="47926D1B" w:rsidR="00EF664F" w:rsidRPr="00D61418" w:rsidRDefault="00EF664F" w:rsidP="00EF664F">
            <w:pPr>
              <w:jc w:val="right"/>
              <w:rPr>
                <w:color w:val="000000" w:themeColor="text1"/>
                <w:sz w:val="18"/>
                <w:szCs w:val="18"/>
              </w:rPr>
            </w:pPr>
            <w:r>
              <w:rPr>
                <w:sz w:val="20"/>
                <w:szCs w:val="20"/>
              </w:rPr>
              <w:t>101,4%</w:t>
            </w:r>
          </w:p>
        </w:tc>
      </w:tr>
      <w:tr w:rsidR="00EF664F" w:rsidRPr="00D61418" w14:paraId="736BF873" w14:textId="77777777" w:rsidTr="00D337DB">
        <w:trPr>
          <w:trHeight w:val="80"/>
        </w:trPr>
        <w:tc>
          <w:tcPr>
            <w:tcW w:w="3415" w:type="dxa"/>
            <w:tcBorders>
              <w:top w:val="nil"/>
              <w:left w:val="double" w:sz="6" w:space="0" w:color="800000"/>
              <w:bottom w:val="nil"/>
              <w:right w:val="single" w:sz="8" w:space="0" w:color="800000"/>
            </w:tcBorders>
            <w:shd w:val="clear" w:color="auto" w:fill="FFFFCC"/>
            <w:noWrap/>
            <w:vAlign w:val="bottom"/>
          </w:tcPr>
          <w:p w14:paraId="14DA0DA8" w14:textId="77777777" w:rsidR="00EF664F" w:rsidRPr="00D61418" w:rsidRDefault="00EF664F" w:rsidP="00EF664F">
            <w:pPr>
              <w:rPr>
                <w:color w:val="000000" w:themeColor="text1"/>
                <w:sz w:val="20"/>
                <w:szCs w:val="20"/>
              </w:rPr>
            </w:pPr>
            <w:r w:rsidRPr="00D61418">
              <w:rPr>
                <w:color w:val="000000" w:themeColor="text1"/>
                <w:sz w:val="20"/>
                <w:szCs w:val="20"/>
              </w:rPr>
              <w:t xml:space="preserve">        Преки данъци</w:t>
            </w:r>
          </w:p>
        </w:tc>
        <w:tc>
          <w:tcPr>
            <w:tcW w:w="839" w:type="dxa"/>
            <w:tcBorders>
              <w:top w:val="nil"/>
              <w:left w:val="nil"/>
              <w:bottom w:val="nil"/>
              <w:right w:val="single" w:sz="4" w:space="0" w:color="800000"/>
            </w:tcBorders>
            <w:shd w:val="clear" w:color="000000" w:fill="FFFFCC"/>
            <w:noWrap/>
            <w:vAlign w:val="bottom"/>
          </w:tcPr>
          <w:p w14:paraId="0C4AA640" w14:textId="77777777" w:rsidR="00EF664F" w:rsidRPr="00D61418" w:rsidRDefault="00EF664F" w:rsidP="00EF664F">
            <w:pPr>
              <w:jc w:val="right"/>
              <w:rPr>
                <w:color w:val="000000" w:themeColor="text1"/>
                <w:sz w:val="18"/>
                <w:szCs w:val="18"/>
              </w:rPr>
            </w:pPr>
            <w:r w:rsidRPr="00D61418">
              <w:rPr>
                <w:color w:val="000000" w:themeColor="text1"/>
                <w:sz w:val="18"/>
                <w:szCs w:val="18"/>
              </w:rPr>
              <w:t>8 258,4</w:t>
            </w:r>
          </w:p>
        </w:tc>
        <w:tc>
          <w:tcPr>
            <w:tcW w:w="1205" w:type="dxa"/>
            <w:tcBorders>
              <w:top w:val="nil"/>
              <w:left w:val="double" w:sz="6" w:space="0" w:color="800000"/>
              <w:bottom w:val="nil"/>
              <w:right w:val="single" w:sz="8" w:space="0" w:color="800000"/>
            </w:tcBorders>
            <w:shd w:val="clear" w:color="000000" w:fill="FFFFCC"/>
            <w:noWrap/>
            <w:vAlign w:val="bottom"/>
          </w:tcPr>
          <w:p w14:paraId="26D88BEA" w14:textId="77777777" w:rsidR="00EF664F" w:rsidRPr="0069296B" w:rsidRDefault="00EF664F" w:rsidP="00EF664F">
            <w:pPr>
              <w:jc w:val="right"/>
              <w:rPr>
                <w:color w:val="000000" w:themeColor="text1"/>
                <w:sz w:val="18"/>
                <w:szCs w:val="18"/>
                <w:lang w:val="en-US"/>
              </w:rPr>
            </w:pPr>
            <w:r>
              <w:rPr>
                <w:color w:val="000000" w:themeColor="text1"/>
                <w:sz w:val="18"/>
                <w:szCs w:val="18"/>
                <w:lang w:val="en-US"/>
              </w:rPr>
              <w:t>9</w:t>
            </w:r>
            <w:r w:rsidRPr="00D61418">
              <w:rPr>
                <w:color w:val="000000" w:themeColor="text1"/>
                <w:sz w:val="18"/>
                <w:szCs w:val="18"/>
              </w:rPr>
              <w:t> </w:t>
            </w:r>
            <w:r>
              <w:rPr>
                <w:color w:val="000000" w:themeColor="text1"/>
                <w:sz w:val="18"/>
                <w:szCs w:val="18"/>
                <w:lang w:val="en-US"/>
              </w:rPr>
              <w:t>051</w:t>
            </w:r>
            <w:r w:rsidRPr="00D61418">
              <w:rPr>
                <w:color w:val="000000" w:themeColor="text1"/>
                <w:sz w:val="18"/>
                <w:szCs w:val="18"/>
              </w:rPr>
              <w:t>,</w:t>
            </w:r>
            <w:r>
              <w:rPr>
                <w:color w:val="000000" w:themeColor="text1"/>
                <w:sz w:val="18"/>
                <w:szCs w:val="18"/>
                <w:lang w:val="en-US"/>
              </w:rPr>
              <w:t>7</w:t>
            </w:r>
          </w:p>
        </w:tc>
        <w:tc>
          <w:tcPr>
            <w:tcW w:w="1018" w:type="dxa"/>
            <w:tcBorders>
              <w:top w:val="nil"/>
              <w:left w:val="nil"/>
              <w:bottom w:val="nil"/>
              <w:right w:val="single" w:sz="4" w:space="0" w:color="800000"/>
            </w:tcBorders>
            <w:shd w:val="clear" w:color="000000" w:fill="FFFFCC"/>
            <w:noWrap/>
            <w:vAlign w:val="bottom"/>
          </w:tcPr>
          <w:p w14:paraId="5C7C5F5B" w14:textId="77777777" w:rsidR="00EF664F" w:rsidRPr="005F431F" w:rsidRDefault="00EF664F" w:rsidP="00EF664F">
            <w:pPr>
              <w:jc w:val="right"/>
              <w:rPr>
                <w:color w:val="000000" w:themeColor="text1"/>
                <w:sz w:val="18"/>
                <w:szCs w:val="18"/>
                <w:lang w:val="en-US"/>
              </w:rPr>
            </w:pPr>
            <w:r w:rsidRPr="005F431F">
              <w:rPr>
                <w:color w:val="000000" w:themeColor="text1"/>
                <w:sz w:val="18"/>
                <w:szCs w:val="18"/>
                <w:lang w:val="ru-RU"/>
              </w:rPr>
              <w:t>9</w:t>
            </w:r>
            <w:r>
              <w:rPr>
                <w:color w:val="000000" w:themeColor="text1"/>
                <w:sz w:val="18"/>
                <w:szCs w:val="18"/>
              </w:rPr>
              <w:t> </w:t>
            </w:r>
            <w:r w:rsidRPr="005F431F">
              <w:rPr>
                <w:color w:val="000000" w:themeColor="text1"/>
                <w:sz w:val="18"/>
                <w:szCs w:val="18"/>
                <w:lang w:val="ru-RU"/>
              </w:rPr>
              <w:t>923</w:t>
            </w:r>
            <w:r w:rsidRPr="00D61418">
              <w:rPr>
                <w:color w:val="000000" w:themeColor="text1"/>
                <w:sz w:val="18"/>
                <w:szCs w:val="18"/>
              </w:rPr>
              <w:t>,</w:t>
            </w:r>
            <w:r>
              <w:rPr>
                <w:color w:val="000000" w:themeColor="text1"/>
                <w:sz w:val="18"/>
                <w:szCs w:val="18"/>
                <w:lang w:val="en-US"/>
              </w:rPr>
              <w:t>8</w:t>
            </w:r>
          </w:p>
        </w:tc>
        <w:tc>
          <w:tcPr>
            <w:tcW w:w="1440" w:type="dxa"/>
            <w:tcBorders>
              <w:top w:val="nil"/>
              <w:left w:val="nil"/>
              <w:bottom w:val="nil"/>
              <w:right w:val="single" w:sz="4" w:space="0" w:color="800000"/>
            </w:tcBorders>
            <w:shd w:val="clear" w:color="000000" w:fill="FFFFCC"/>
            <w:noWrap/>
            <w:vAlign w:val="bottom"/>
          </w:tcPr>
          <w:p w14:paraId="2A630D9C" w14:textId="4ED80502" w:rsidR="00EF664F" w:rsidRPr="00D61418" w:rsidRDefault="00EF664F" w:rsidP="00EF664F">
            <w:pPr>
              <w:jc w:val="right"/>
              <w:rPr>
                <w:color w:val="000000" w:themeColor="text1"/>
                <w:sz w:val="18"/>
                <w:szCs w:val="18"/>
              </w:rPr>
            </w:pPr>
            <w:r>
              <w:rPr>
                <w:sz w:val="18"/>
                <w:szCs w:val="18"/>
              </w:rPr>
              <w:t>9 923,8</w:t>
            </w:r>
          </w:p>
        </w:tc>
        <w:tc>
          <w:tcPr>
            <w:tcW w:w="1350" w:type="dxa"/>
            <w:tcBorders>
              <w:top w:val="nil"/>
              <w:left w:val="single" w:sz="4" w:space="0" w:color="800000"/>
              <w:bottom w:val="nil"/>
              <w:right w:val="single" w:sz="4" w:space="0" w:color="800000"/>
            </w:tcBorders>
            <w:shd w:val="clear" w:color="000000" w:fill="FFFFCC"/>
            <w:noWrap/>
            <w:vAlign w:val="bottom"/>
          </w:tcPr>
          <w:p w14:paraId="350DF490" w14:textId="0F89D112" w:rsidR="00EF664F" w:rsidRPr="00D61418" w:rsidRDefault="00EF664F" w:rsidP="00EF664F">
            <w:pPr>
              <w:jc w:val="right"/>
              <w:rPr>
                <w:color w:val="000000" w:themeColor="text1"/>
                <w:sz w:val="18"/>
                <w:szCs w:val="18"/>
              </w:rPr>
            </w:pPr>
            <w:r>
              <w:rPr>
                <w:sz w:val="20"/>
                <w:szCs w:val="20"/>
              </w:rPr>
              <w:t>109,6%</w:t>
            </w:r>
          </w:p>
        </w:tc>
      </w:tr>
      <w:tr w:rsidR="00EF664F" w:rsidRPr="00D61418" w14:paraId="344D45E3" w14:textId="77777777" w:rsidTr="00D337DB">
        <w:trPr>
          <w:trHeight w:val="80"/>
        </w:trPr>
        <w:tc>
          <w:tcPr>
            <w:tcW w:w="3415" w:type="dxa"/>
            <w:tcBorders>
              <w:top w:val="nil"/>
              <w:left w:val="double" w:sz="6" w:space="0" w:color="800000"/>
              <w:bottom w:val="nil"/>
              <w:right w:val="single" w:sz="8" w:space="0" w:color="800000"/>
            </w:tcBorders>
            <w:shd w:val="clear" w:color="auto" w:fill="FFFFCC"/>
            <w:noWrap/>
            <w:vAlign w:val="bottom"/>
          </w:tcPr>
          <w:p w14:paraId="10274034" w14:textId="77777777" w:rsidR="00EF664F" w:rsidRPr="00D61418" w:rsidRDefault="00EF664F" w:rsidP="00EF664F">
            <w:pPr>
              <w:rPr>
                <w:color w:val="000000" w:themeColor="text1"/>
                <w:sz w:val="20"/>
                <w:szCs w:val="20"/>
              </w:rPr>
            </w:pPr>
            <w:r w:rsidRPr="00D61418">
              <w:rPr>
                <w:color w:val="000000" w:themeColor="text1"/>
                <w:sz w:val="20"/>
                <w:szCs w:val="20"/>
              </w:rPr>
              <w:t xml:space="preserve">        Косвени данъци</w:t>
            </w:r>
          </w:p>
        </w:tc>
        <w:tc>
          <w:tcPr>
            <w:tcW w:w="839" w:type="dxa"/>
            <w:tcBorders>
              <w:top w:val="nil"/>
              <w:left w:val="nil"/>
              <w:bottom w:val="nil"/>
              <w:right w:val="single" w:sz="4" w:space="0" w:color="800000"/>
            </w:tcBorders>
            <w:shd w:val="clear" w:color="000000" w:fill="FFFFCC"/>
            <w:noWrap/>
            <w:vAlign w:val="bottom"/>
          </w:tcPr>
          <w:p w14:paraId="4CD6B812" w14:textId="77777777" w:rsidR="00EF664F" w:rsidRPr="00D61418" w:rsidRDefault="00EF664F" w:rsidP="00EF664F">
            <w:pPr>
              <w:jc w:val="right"/>
              <w:rPr>
                <w:color w:val="000000" w:themeColor="text1"/>
                <w:sz w:val="18"/>
                <w:szCs w:val="18"/>
              </w:rPr>
            </w:pPr>
            <w:r w:rsidRPr="00D61418">
              <w:rPr>
                <w:color w:val="000000" w:themeColor="text1"/>
                <w:sz w:val="18"/>
                <w:szCs w:val="18"/>
              </w:rPr>
              <w:t>18 976,3</w:t>
            </w:r>
          </w:p>
        </w:tc>
        <w:tc>
          <w:tcPr>
            <w:tcW w:w="1205" w:type="dxa"/>
            <w:tcBorders>
              <w:top w:val="nil"/>
              <w:left w:val="double" w:sz="6" w:space="0" w:color="800000"/>
              <w:bottom w:val="nil"/>
              <w:right w:val="single" w:sz="8" w:space="0" w:color="800000"/>
            </w:tcBorders>
            <w:shd w:val="clear" w:color="000000" w:fill="FFFFCC"/>
            <w:noWrap/>
            <w:vAlign w:val="bottom"/>
          </w:tcPr>
          <w:p w14:paraId="646078AF" w14:textId="77777777" w:rsidR="00EF664F" w:rsidRPr="005F431F" w:rsidRDefault="00EF664F" w:rsidP="00EF664F">
            <w:pPr>
              <w:jc w:val="right"/>
              <w:rPr>
                <w:color w:val="000000" w:themeColor="text1"/>
                <w:sz w:val="18"/>
                <w:szCs w:val="18"/>
                <w:lang w:val="ru-RU"/>
              </w:rPr>
            </w:pPr>
            <w:r w:rsidRPr="005F431F">
              <w:rPr>
                <w:color w:val="000000" w:themeColor="text1"/>
                <w:sz w:val="18"/>
                <w:szCs w:val="18"/>
                <w:lang w:val="ru-RU"/>
              </w:rPr>
              <w:t>22</w:t>
            </w:r>
            <w:r w:rsidRPr="00D61418">
              <w:rPr>
                <w:color w:val="000000" w:themeColor="text1"/>
                <w:sz w:val="18"/>
                <w:szCs w:val="18"/>
              </w:rPr>
              <w:t> </w:t>
            </w:r>
            <w:r w:rsidRPr="005F431F">
              <w:rPr>
                <w:color w:val="000000" w:themeColor="text1"/>
                <w:sz w:val="18"/>
                <w:szCs w:val="18"/>
                <w:lang w:val="ru-RU"/>
              </w:rPr>
              <w:t>275</w:t>
            </w:r>
            <w:r w:rsidRPr="00D61418">
              <w:rPr>
                <w:color w:val="000000" w:themeColor="text1"/>
                <w:sz w:val="18"/>
                <w:szCs w:val="18"/>
              </w:rPr>
              <w:t>,</w:t>
            </w:r>
            <w:r w:rsidRPr="005F431F">
              <w:rPr>
                <w:color w:val="000000" w:themeColor="text1"/>
                <w:sz w:val="18"/>
                <w:szCs w:val="18"/>
                <w:lang w:val="ru-RU"/>
              </w:rPr>
              <w:t>1</w:t>
            </w:r>
          </w:p>
        </w:tc>
        <w:tc>
          <w:tcPr>
            <w:tcW w:w="1018" w:type="dxa"/>
            <w:tcBorders>
              <w:top w:val="nil"/>
              <w:left w:val="nil"/>
              <w:bottom w:val="nil"/>
              <w:right w:val="single" w:sz="4" w:space="0" w:color="800000"/>
            </w:tcBorders>
            <w:shd w:val="clear" w:color="000000" w:fill="FFFFCC"/>
            <w:noWrap/>
            <w:vAlign w:val="bottom"/>
          </w:tcPr>
          <w:p w14:paraId="6402ABDC" w14:textId="77777777" w:rsidR="00EF664F" w:rsidRPr="005F431F" w:rsidRDefault="00EF664F" w:rsidP="00EF664F">
            <w:pPr>
              <w:jc w:val="right"/>
              <w:rPr>
                <w:color w:val="000000" w:themeColor="text1"/>
                <w:sz w:val="18"/>
                <w:szCs w:val="18"/>
                <w:lang w:val="en-US"/>
              </w:rPr>
            </w:pPr>
            <w:r>
              <w:rPr>
                <w:color w:val="000000" w:themeColor="text1"/>
                <w:sz w:val="18"/>
                <w:szCs w:val="18"/>
                <w:lang w:val="en-US"/>
              </w:rPr>
              <w:t>21</w:t>
            </w:r>
            <w:r w:rsidRPr="00D61418">
              <w:rPr>
                <w:color w:val="000000" w:themeColor="text1"/>
                <w:sz w:val="18"/>
                <w:szCs w:val="18"/>
              </w:rPr>
              <w:t> </w:t>
            </w:r>
            <w:r>
              <w:rPr>
                <w:color w:val="000000" w:themeColor="text1"/>
                <w:sz w:val="18"/>
                <w:szCs w:val="18"/>
                <w:lang w:val="en-US"/>
              </w:rPr>
              <w:t>541</w:t>
            </w:r>
            <w:r w:rsidRPr="00D61418">
              <w:rPr>
                <w:color w:val="000000" w:themeColor="text1"/>
                <w:sz w:val="18"/>
                <w:szCs w:val="18"/>
              </w:rPr>
              <w:t>,</w:t>
            </w:r>
            <w:r>
              <w:rPr>
                <w:color w:val="000000" w:themeColor="text1"/>
                <w:sz w:val="18"/>
                <w:szCs w:val="18"/>
                <w:lang w:val="en-US"/>
              </w:rPr>
              <w:t>5</w:t>
            </w:r>
          </w:p>
        </w:tc>
        <w:tc>
          <w:tcPr>
            <w:tcW w:w="1440" w:type="dxa"/>
            <w:tcBorders>
              <w:top w:val="nil"/>
              <w:left w:val="nil"/>
              <w:bottom w:val="nil"/>
              <w:right w:val="single" w:sz="4" w:space="0" w:color="800000"/>
            </w:tcBorders>
            <w:shd w:val="clear" w:color="000000" w:fill="FFFFCC"/>
            <w:noWrap/>
            <w:vAlign w:val="bottom"/>
          </w:tcPr>
          <w:p w14:paraId="55881267" w14:textId="006D0C44" w:rsidR="00EF664F" w:rsidRPr="00D61418" w:rsidRDefault="00EF664F" w:rsidP="00EF664F">
            <w:pPr>
              <w:jc w:val="right"/>
              <w:rPr>
                <w:color w:val="000000" w:themeColor="text1"/>
                <w:sz w:val="18"/>
                <w:szCs w:val="18"/>
              </w:rPr>
            </w:pPr>
            <w:r>
              <w:rPr>
                <w:sz w:val="18"/>
                <w:szCs w:val="18"/>
              </w:rPr>
              <w:t>21 541,5</w:t>
            </w:r>
          </w:p>
        </w:tc>
        <w:tc>
          <w:tcPr>
            <w:tcW w:w="1350" w:type="dxa"/>
            <w:tcBorders>
              <w:top w:val="nil"/>
              <w:left w:val="single" w:sz="4" w:space="0" w:color="800000"/>
              <w:bottom w:val="nil"/>
              <w:right w:val="single" w:sz="4" w:space="0" w:color="800000"/>
            </w:tcBorders>
            <w:shd w:val="clear" w:color="000000" w:fill="FFFFCC"/>
            <w:noWrap/>
            <w:vAlign w:val="bottom"/>
          </w:tcPr>
          <w:p w14:paraId="6036E071" w14:textId="194E9D82" w:rsidR="00EF664F" w:rsidRPr="00D61418" w:rsidRDefault="00EF664F" w:rsidP="00EF664F">
            <w:pPr>
              <w:ind w:left="196" w:hanging="90"/>
              <w:jc w:val="right"/>
              <w:rPr>
                <w:color w:val="000000" w:themeColor="text1"/>
                <w:sz w:val="18"/>
                <w:szCs w:val="18"/>
              </w:rPr>
            </w:pPr>
            <w:r>
              <w:rPr>
                <w:sz w:val="20"/>
                <w:szCs w:val="20"/>
              </w:rPr>
              <w:t>96,7%</w:t>
            </w:r>
          </w:p>
        </w:tc>
      </w:tr>
      <w:tr w:rsidR="00EF664F" w:rsidRPr="00D61418" w14:paraId="14C53FA7" w14:textId="77777777" w:rsidTr="00D337DB">
        <w:trPr>
          <w:trHeight w:val="134"/>
        </w:trPr>
        <w:tc>
          <w:tcPr>
            <w:tcW w:w="3415" w:type="dxa"/>
            <w:tcBorders>
              <w:top w:val="nil"/>
              <w:left w:val="double" w:sz="6" w:space="0" w:color="800000"/>
              <w:bottom w:val="nil"/>
              <w:right w:val="single" w:sz="8" w:space="0" w:color="800000"/>
            </w:tcBorders>
            <w:shd w:val="clear" w:color="auto" w:fill="FFFFCC"/>
            <w:noWrap/>
            <w:vAlign w:val="bottom"/>
          </w:tcPr>
          <w:p w14:paraId="137EF274" w14:textId="77777777" w:rsidR="00EF664F" w:rsidRPr="00D61418" w:rsidRDefault="00EF664F" w:rsidP="00EF664F">
            <w:pPr>
              <w:ind w:left="356"/>
              <w:rPr>
                <w:color w:val="000000" w:themeColor="text1"/>
                <w:sz w:val="20"/>
                <w:szCs w:val="20"/>
              </w:rPr>
            </w:pPr>
            <w:r w:rsidRPr="00D61418">
              <w:rPr>
                <w:color w:val="000000" w:themeColor="text1"/>
                <w:sz w:val="20"/>
                <w:szCs w:val="20"/>
              </w:rPr>
              <w:t xml:space="preserve"> Приходи на социалното и </w:t>
            </w:r>
          </w:p>
          <w:p w14:paraId="08280F94" w14:textId="77777777" w:rsidR="00EF664F" w:rsidRPr="00D61418" w:rsidRDefault="00EF664F" w:rsidP="00EF664F">
            <w:pPr>
              <w:ind w:left="356"/>
              <w:rPr>
                <w:color w:val="000000" w:themeColor="text1"/>
                <w:sz w:val="20"/>
                <w:szCs w:val="20"/>
              </w:rPr>
            </w:pPr>
            <w:r w:rsidRPr="00D61418">
              <w:rPr>
                <w:color w:val="000000" w:themeColor="text1"/>
                <w:sz w:val="20"/>
                <w:szCs w:val="20"/>
              </w:rPr>
              <w:t xml:space="preserve"> здравното осигуряване               </w:t>
            </w:r>
          </w:p>
        </w:tc>
        <w:tc>
          <w:tcPr>
            <w:tcW w:w="839" w:type="dxa"/>
            <w:tcBorders>
              <w:top w:val="nil"/>
              <w:left w:val="nil"/>
              <w:bottom w:val="nil"/>
              <w:right w:val="single" w:sz="4" w:space="0" w:color="800000"/>
            </w:tcBorders>
            <w:shd w:val="clear" w:color="000000" w:fill="FFFFCC"/>
            <w:noWrap/>
            <w:vAlign w:val="bottom"/>
          </w:tcPr>
          <w:p w14:paraId="03EA6687" w14:textId="77777777" w:rsidR="00EF664F" w:rsidRPr="00D61418" w:rsidRDefault="00EF664F" w:rsidP="00EF664F">
            <w:pPr>
              <w:jc w:val="right"/>
              <w:rPr>
                <w:color w:val="000000" w:themeColor="text1"/>
                <w:sz w:val="18"/>
                <w:szCs w:val="18"/>
              </w:rPr>
            </w:pPr>
            <w:r w:rsidRPr="00D61418">
              <w:rPr>
                <w:color w:val="000000" w:themeColor="text1"/>
                <w:sz w:val="18"/>
                <w:szCs w:val="18"/>
              </w:rPr>
              <w:t>12 230,1</w:t>
            </w:r>
          </w:p>
        </w:tc>
        <w:tc>
          <w:tcPr>
            <w:tcW w:w="1205" w:type="dxa"/>
            <w:tcBorders>
              <w:top w:val="nil"/>
              <w:left w:val="double" w:sz="6" w:space="0" w:color="800000"/>
              <w:bottom w:val="nil"/>
              <w:right w:val="single" w:sz="8" w:space="0" w:color="800000"/>
            </w:tcBorders>
            <w:shd w:val="clear" w:color="000000" w:fill="FFFFCC"/>
            <w:noWrap/>
            <w:vAlign w:val="bottom"/>
          </w:tcPr>
          <w:p w14:paraId="526C00A4" w14:textId="77777777" w:rsidR="00EF664F" w:rsidRPr="0069296B" w:rsidRDefault="00EF664F" w:rsidP="00EF664F">
            <w:pPr>
              <w:jc w:val="right"/>
              <w:rPr>
                <w:color w:val="000000" w:themeColor="text1"/>
                <w:sz w:val="18"/>
                <w:szCs w:val="18"/>
                <w:lang w:val="en-US"/>
              </w:rPr>
            </w:pPr>
            <w:r w:rsidRPr="00D61418">
              <w:rPr>
                <w:color w:val="000000" w:themeColor="text1"/>
                <w:sz w:val="18"/>
                <w:szCs w:val="18"/>
              </w:rPr>
              <w:t>1</w:t>
            </w:r>
            <w:r>
              <w:rPr>
                <w:color w:val="000000" w:themeColor="text1"/>
                <w:sz w:val="18"/>
                <w:szCs w:val="18"/>
                <w:lang w:val="en-US"/>
              </w:rPr>
              <w:t>3</w:t>
            </w:r>
            <w:r w:rsidRPr="00D61418">
              <w:rPr>
                <w:color w:val="000000" w:themeColor="text1"/>
                <w:sz w:val="18"/>
                <w:szCs w:val="18"/>
              </w:rPr>
              <w:t> </w:t>
            </w:r>
            <w:r>
              <w:rPr>
                <w:color w:val="000000" w:themeColor="text1"/>
                <w:sz w:val="18"/>
                <w:szCs w:val="18"/>
                <w:lang w:val="en-US"/>
              </w:rPr>
              <w:t>393</w:t>
            </w:r>
            <w:r w:rsidRPr="00D61418">
              <w:rPr>
                <w:color w:val="000000" w:themeColor="text1"/>
                <w:sz w:val="18"/>
                <w:szCs w:val="18"/>
              </w:rPr>
              <w:t>,</w:t>
            </w:r>
            <w:r>
              <w:rPr>
                <w:color w:val="000000" w:themeColor="text1"/>
                <w:sz w:val="18"/>
                <w:szCs w:val="18"/>
                <w:lang w:val="en-US"/>
              </w:rPr>
              <w:t>8</w:t>
            </w:r>
          </w:p>
        </w:tc>
        <w:tc>
          <w:tcPr>
            <w:tcW w:w="1018" w:type="dxa"/>
            <w:tcBorders>
              <w:top w:val="nil"/>
              <w:left w:val="nil"/>
              <w:bottom w:val="nil"/>
              <w:right w:val="single" w:sz="4" w:space="0" w:color="800000"/>
            </w:tcBorders>
            <w:shd w:val="clear" w:color="000000" w:fill="FFFFCC"/>
            <w:noWrap/>
            <w:vAlign w:val="bottom"/>
          </w:tcPr>
          <w:p w14:paraId="146164E1" w14:textId="77777777" w:rsidR="00EF664F" w:rsidRPr="005F431F" w:rsidRDefault="00EF664F" w:rsidP="00EF664F">
            <w:pPr>
              <w:jc w:val="right"/>
              <w:rPr>
                <w:color w:val="000000" w:themeColor="text1"/>
                <w:sz w:val="18"/>
                <w:szCs w:val="18"/>
                <w:lang w:val="en-US"/>
              </w:rPr>
            </w:pPr>
            <w:r w:rsidRPr="00D61418">
              <w:rPr>
                <w:color w:val="000000" w:themeColor="text1"/>
                <w:sz w:val="18"/>
                <w:szCs w:val="18"/>
              </w:rPr>
              <w:t>1</w:t>
            </w:r>
            <w:r>
              <w:rPr>
                <w:color w:val="000000" w:themeColor="text1"/>
                <w:sz w:val="18"/>
                <w:szCs w:val="18"/>
                <w:lang w:val="en-US"/>
              </w:rPr>
              <w:t>3</w:t>
            </w:r>
            <w:r w:rsidRPr="00D61418">
              <w:rPr>
                <w:color w:val="000000" w:themeColor="text1"/>
                <w:sz w:val="18"/>
                <w:szCs w:val="18"/>
              </w:rPr>
              <w:t> </w:t>
            </w:r>
            <w:r>
              <w:rPr>
                <w:color w:val="000000" w:themeColor="text1"/>
                <w:sz w:val="18"/>
                <w:szCs w:val="18"/>
                <w:lang w:val="en-US"/>
              </w:rPr>
              <w:t>737</w:t>
            </w:r>
            <w:r w:rsidRPr="00D61418">
              <w:rPr>
                <w:color w:val="000000" w:themeColor="text1"/>
                <w:sz w:val="18"/>
                <w:szCs w:val="18"/>
              </w:rPr>
              <w:t>,</w:t>
            </w:r>
            <w:r>
              <w:rPr>
                <w:color w:val="000000" w:themeColor="text1"/>
                <w:sz w:val="18"/>
                <w:szCs w:val="18"/>
                <w:lang w:val="en-US"/>
              </w:rPr>
              <w:t>7</w:t>
            </w:r>
          </w:p>
        </w:tc>
        <w:tc>
          <w:tcPr>
            <w:tcW w:w="1440" w:type="dxa"/>
            <w:tcBorders>
              <w:top w:val="nil"/>
              <w:left w:val="nil"/>
              <w:bottom w:val="nil"/>
              <w:right w:val="single" w:sz="4" w:space="0" w:color="800000"/>
            </w:tcBorders>
            <w:shd w:val="clear" w:color="000000" w:fill="FFFFCC"/>
            <w:noWrap/>
            <w:vAlign w:val="bottom"/>
          </w:tcPr>
          <w:p w14:paraId="7767C248" w14:textId="241E71BB" w:rsidR="00EF664F" w:rsidRPr="00D61418" w:rsidRDefault="00EF664F" w:rsidP="00EF664F">
            <w:pPr>
              <w:jc w:val="right"/>
              <w:rPr>
                <w:color w:val="000000" w:themeColor="text1"/>
                <w:sz w:val="18"/>
                <w:szCs w:val="18"/>
              </w:rPr>
            </w:pPr>
            <w:r>
              <w:rPr>
                <w:sz w:val="18"/>
                <w:szCs w:val="18"/>
              </w:rPr>
              <w:t>13 737,7</w:t>
            </w:r>
          </w:p>
        </w:tc>
        <w:tc>
          <w:tcPr>
            <w:tcW w:w="1350" w:type="dxa"/>
            <w:tcBorders>
              <w:top w:val="nil"/>
              <w:left w:val="single" w:sz="4" w:space="0" w:color="800000"/>
              <w:bottom w:val="nil"/>
              <w:right w:val="single" w:sz="4" w:space="0" w:color="800000"/>
            </w:tcBorders>
            <w:shd w:val="clear" w:color="000000" w:fill="FFFFCC"/>
            <w:noWrap/>
            <w:vAlign w:val="bottom"/>
          </w:tcPr>
          <w:p w14:paraId="62954D59" w14:textId="4AD868D6" w:rsidR="00EF664F" w:rsidRPr="00D61418" w:rsidRDefault="00EF664F" w:rsidP="00EF664F">
            <w:pPr>
              <w:jc w:val="right"/>
              <w:rPr>
                <w:color w:val="000000" w:themeColor="text1"/>
                <w:sz w:val="18"/>
                <w:szCs w:val="18"/>
              </w:rPr>
            </w:pPr>
            <w:r>
              <w:rPr>
                <w:sz w:val="20"/>
                <w:szCs w:val="20"/>
              </w:rPr>
              <w:t>102,6%</w:t>
            </w:r>
          </w:p>
        </w:tc>
      </w:tr>
      <w:tr w:rsidR="00EF664F" w:rsidRPr="00D61418" w14:paraId="43419AC0" w14:textId="77777777" w:rsidTr="00D337DB">
        <w:trPr>
          <w:trHeight w:val="91"/>
        </w:trPr>
        <w:tc>
          <w:tcPr>
            <w:tcW w:w="3415" w:type="dxa"/>
            <w:tcBorders>
              <w:top w:val="nil"/>
              <w:left w:val="double" w:sz="6" w:space="0" w:color="800000"/>
              <w:bottom w:val="nil"/>
              <w:right w:val="single" w:sz="8" w:space="0" w:color="800000"/>
            </w:tcBorders>
            <w:shd w:val="clear" w:color="auto" w:fill="FFFFCC"/>
            <w:noWrap/>
            <w:vAlign w:val="bottom"/>
          </w:tcPr>
          <w:p w14:paraId="6E27A7DB" w14:textId="77777777" w:rsidR="00EF664F" w:rsidRPr="00D61418" w:rsidRDefault="00EF664F" w:rsidP="00EF664F">
            <w:pPr>
              <w:rPr>
                <w:color w:val="000000" w:themeColor="text1"/>
                <w:sz w:val="20"/>
                <w:szCs w:val="20"/>
              </w:rPr>
            </w:pPr>
            <w:r w:rsidRPr="00D61418">
              <w:rPr>
                <w:color w:val="000000" w:themeColor="text1"/>
                <w:sz w:val="20"/>
                <w:szCs w:val="20"/>
              </w:rPr>
              <w:t xml:space="preserve">        Други данъци</w:t>
            </w:r>
          </w:p>
        </w:tc>
        <w:tc>
          <w:tcPr>
            <w:tcW w:w="839" w:type="dxa"/>
            <w:tcBorders>
              <w:top w:val="nil"/>
              <w:left w:val="nil"/>
              <w:bottom w:val="nil"/>
              <w:right w:val="single" w:sz="4" w:space="0" w:color="800000"/>
            </w:tcBorders>
            <w:shd w:val="clear" w:color="000000" w:fill="FFFFCC"/>
            <w:noWrap/>
            <w:vAlign w:val="bottom"/>
          </w:tcPr>
          <w:p w14:paraId="025F73A0" w14:textId="77777777" w:rsidR="00EF664F" w:rsidRPr="00D61418" w:rsidRDefault="00EF664F" w:rsidP="00EF664F">
            <w:pPr>
              <w:jc w:val="right"/>
              <w:rPr>
                <w:color w:val="000000" w:themeColor="text1"/>
                <w:sz w:val="18"/>
                <w:szCs w:val="18"/>
              </w:rPr>
            </w:pPr>
            <w:r w:rsidRPr="00D61418">
              <w:rPr>
                <w:color w:val="000000" w:themeColor="text1"/>
                <w:sz w:val="18"/>
                <w:szCs w:val="18"/>
              </w:rPr>
              <w:t>1 411,5</w:t>
            </w:r>
          </w:p>
        </w:tc>
        <w:tc>
          <w:tcPr>
            <w:tcW w:w="1205" w:type="dxa"/>
            <w:tcBorders>
              <w:top w:val="nil"/>
              <w:left w:val="double" w:sz="6" w:space="0" w:color="800000"/>
              <w:bottom w:val="nil"/>
              <w:right w:val="single" w:sz="8" w:space="0" w:color="800000"/>
            </w:tcBorders>
            <w:shd w:val="clear" w:color="000000" w:fill="FFFFCC"/>
            <w:noWrap/>
            <w:vAlign w:val="bottom"/>
          </w:tcPr>
          <w:p w14:paraId="22E3665E" w14:textId="77777777" w:rsidR="00EF664F" w:rsidRPr="0069296B" w:rsidRDefault="00EF664F" w:rsidP="00EF664F">
            <w:pPr>
              <w:jc w:val="right"/>
              <w:rPr>
                <w:color w:val="000000" w:themeColor="text1"/>
                <w:sz w:val="18"/>
                <w:szCs w:val="18"/>
                <w:lang w:val="en-US"/>
              </w:rPr>
            </w:pPr>
            <w:r w:rsidRPr="00D61418">
              <w:rPr>
                <w:color w:val="000000" w:themeColor="text1"/>
                <w:sz w:val="18"/>
                <w:szCs w:val="18"/>
              </w:rPr>
              <w:t>1 </w:t>
            </w:r>
            <w:r>
              <w:rPr>
                <w:color w:val="000000" w:themeColor="text1"/>
                <w:sz w:val="18"/>
                <w:szCs w:val="18"/>
                <w:lang w:val="en-US"/>
              </w:rPr>
              <w:t>402</w:t>
            </w:r>
            <w:r w:rsidRPr="00D61418">
              <w:rPr>
                <w:color w:val="000000" w:themeColor="text1"/>
                <w:sz w:val="18"/>
                <w:szCs w:val="18"/>
              </w:rPr>
              <w:t>,</w:t>
            </w:r>
            <w:r>
              <w:rPr>
                <w:color w:val="000000" w:themeColor="text1"/>
                <w:sz w:val="18"/>
                <w:szCs w:val="18"/>
                <w:lang w:val="en-US"/>
              </w:rPr>
              <w:t>0</w:t>
            </w:r>
          </w:p>
        </w:tc>
        <w:tc>
          <w:tcPr>
            <w:tcW w:w="1018" w:type="dxa"/>
            <w:tcBorders>
              <w:top w:val="nil"/>
              <w:left w:val="nil"/>
              <w:bottom w:val="nil"/>
              <w:right w:val="single" w:sz="4" w:space="0" w:color="800000"/>
            </w:tcBorders>
            <w:shd w:val="clear" w:color="000000" w:fill="FFFFCC"/>
            <w:noWrap/>
            <w:vAlign w:val="bottom"/>
          </w:tcPr>
          <w:p w14:paraId="08DAE232" w14:textId="77777777" w:rsidR="00EF664F" w:rsidRPr="005F431F" w:rsidRDefault="00EF664F" w:rsidP="00EF664F">
            <w:pPr>
              <w:jc w:val="right"/>
              <w:rPr>
                <w:color w:val="000000" w:themeColor="text1"/>
                <w:sz w:val="18"/>
                <w:szCs w:val="18"/>
                <w:lang w:val="en-US"/>
              </w:rPr>
            </w:pPr>
            <w:r w:rsidRPr="00D61418">
              <w:rPr>
                <w:color w:val="000000" w:themeColor="text1"/>
                <w:sz w:val="18"/>
                <w:szCs w:val="18"/>
              </w:rPr>
              <w:t>1 </w:t>
            </w:r>
            <w:r>
              <w:rPr>
                <w:color w:val="000000" w:themeColor="text1"/>
                <w:sz w:val="18"/>
                <w:szCs w:val="18"/>
                <w:lang w:val="en-US"/>
              </w:rPr>
              <w:t>580</w:t>
            </w:r>
            <w:r w:rsidRPr="00D61418">
              <w:rPr>
                <w:color w:val="000000" w:themeColor="text1"/>
                <w:sz w:val="18"/>
                <w:szCs w:val="18"/>
              </w:rPr>
              <w:t>,</w:t>
            </w:r>
            <w:r>
              <w:rPr>
                <w:color w:val="000000" w:themeColor="text1"/>
                <w:sz w:val="18"/>
                <w:szCs w:val="18"/>
                <w:lang w:val="en-US"/>
              </w:rPr>
              <w:t>0</w:t>
            </w:r>
          </w:p>
        </w:tc>
        <w:tc>
          <w:tcPr>
            <w:tcW w:w="1440" w:type="dxa"/>
            <w:tcBorders>
              <w:top w:val="nil"/>
              <w:left w:val="nil"/>
              <w:bottom w:val="nil"/>
              <w:right w:val="single" w:sz="4" w:space="0" w:color="800000"/>
            </w:tcBorders>
            <w:shd w:val="clear" w:color="000000" w:fill="FFFFCC"/>
            <w:noWrap/>
            <w:vAlign w:val="bottom"/>
          </w:tcPr>
          <w:p w14:paraId="50244B90" w14:textId="2B1E5FE2" w:rsidR="00EF664F" w:rsidRPr="00D61418" w:rsidRDefault="00EF664F" w:rsidP="00EF664F">
            <w:pPr>
              <w:jc w:val="right"/>
              <w:rPr>
                <w:color w:val="000000" w:themeColor="text1"/>
                <w:sz w:val="18"/>
                <w:szCs w:val="18"/>
              </w:rPr>
            </w:pPr>
            <w:r>
              <w:rPr>
                <w:sz w:val="18"/>
                <w:szCs w:val="18"/>
              </w:rPr>
              <w:t>1 580,0</w:t>
            </w:r>
          </w:p>
        </w:tc>
        <w:tc>
          <w:tcPr>
            <w:tcW w:w="1350" w:type="dxa"/>
            <w:tcBorders>
              <w:top w:val="nil"/>
              <w:left w:val="single" w:sz="4" w:space="0" w:color="800000"/>
              <w:bottom w:val="nil"/>
              <w:right w:val="single" w:sz="4" w:space="0" w:color="800000"/>
            </w:tcBorders>
            <w:shd w:val="clear" w:color="000000" w:fill="FFFFCC"/>
            <w:noWrap/>
            <w:vAlign w:val="bottom"/>
          </w:tcPr>
          <w:p w14:paraId="1B73C462" w14:textId="445EBFF1" w:rsidR="00EF664F" w:rsidRPr="00D61418" w:rsidRDefault="00EF664F" w:rsidP="00EF664F">
            <w:pPr>
              <w:jc w:val="right"/>
              <w:rPr>
                <w:color w:val="000000" w:themeColor="text1"/>
                <w:sz w:val="18"/>
                <w:szCs w:val="18"/>
              </w:rPr>
            </w:pPr>
            <w:r>
              <w:rPr>
                <w:sz w:val="20"/>
                <w:szCs w:val="20"/>
              </w:rPr>
              <w:t>112,7%</w:t>
            </w:r>
          </w:p>
        </w:tc>
      </w:tr>
      <w:tr w:rsidR="00EF664F" w:rsidRPr="00D61418" w14:paraId="37F3B73A" w14:textId="77777777" w:rsidTr="00D337DB">
        <w:trPr>
          <w:trHeight w:val="80"/>
        </w:trPr>
        <w:tc>
          <w:tcPr>
            <w:tcW w:w="3415" w:type="dxa"/>
            <w:tcBorders>
              <w:top w:val="nil"/>
              <w:left w:val="double" w:sz="6" w:space="0" w:color="800000"/>
              <w:bottom w:val="nil"/>
              <w:right w:val="single" w:sz="8" w:space="0" w:color="800000"/>
            </w:tcBorders>
            <w:shd w:val="clear" w:color="auto" w:fill="FFFFCC"/>
            <w:noWrap/>
            <w:vAlign w:val="bottom"/>
          </w:tcPr>
          <w:p w14:paraId="46DA859A" w14:textId="77777777" w:rsidR="00EF664F" w:rsidRPr="00D61418" w:rsidRDefault="00EF664F" w:rsidP="00EF664F">
            <w:pPr>
              <w:rPr>
                <w:color w:val="000000" w:themeColor="text1"/>
                <w:sz w:val="20"/>
                <w:szCs w:val="20"/>
              </w:rPr>
            </w:pPr>
            <w:r w:rsidRPr="00D61418">
              <w:rPr>
                <w:color w:val="000000" w:themeColor="text1"/>
                <w:sz w:val="20"/>
                <w:szCs w:val="20"/>
              </w:rPr>
              <w:t xml:space="preserve">   -Неданъчни приходи</w:t>
            </w:r>
          </w:p>
        </w:tc>
        <w:tc>
          <w:tcPr>
            <w:tcW w:w="839" w:type="dxa"/>
            <w:tcBorders>
              <w:top w:val="nil"/>
              <w:left w:val="nil"/>
              <w:bottom w:val="nil"/>
              <w:right w:val="single" w:sz="4" w:space="0" w:color="800000"/>
            </w:tcBorders>
            <w:shd w:val="clear" w:color="000000" w:fill="FFFFCC"/>
            <w:noWrap/>
            <w:vAlign w:val="bottom"/>
          </w:tcPr>
          <w:p w14:paraId="48443438" w14:textId="77777777" w:rsidR="00EF664F" w:rsidRPr="00D61418" w:rsidRDefault="00EF664F" w:rsidP="00EF664F">
            <w:pPr>
              <w:jc w:val="right"/>
              <w:rPr>
                <w:color w:val="000000" w:themeColor="text1"/>
                <w:sz w:val="18"/>
                <w:szCs w:val="18"/>
                <w:lang w:val="en-US"/>
              </w:rPr>
            </w:pPr>
            <w:r w:rsidRPr="00D61418">
              <w:rPr>
                <w:color w:val="000000" w:themeColor="text1"/>
                <w:sz w:val="18"/>
                <w:szCs w:val="18"/>
              </w:rPr>
              <w:t>8 11</w:t>
            </w:r>
            <w:r w:rsidRPr="00D61418">
              <w:rPr>
                <w:color w:val="000000" w:themeColor="text1"/>
                <w:sz w:val="18"/>
                <w:szCs w:val="18"/>
                <w:lang w:val="en-US"/>
              </w:rPr>
              <w:t>8</w:t>
            </w:r>
            <w:r w:rsidRPr="00D61418">
              <w:rPr>
                <w:color w:val="000000" w:themeColor="text1"/>
                <w:sz w:val="18"/>
                <w:szCs w:val="18"/>
              </w:rPr>
              <w:t>,</w:t>
            </w:r>
            <w:r w:rsidRPr="00D61418">
              <w:rPr>
                <w:color w:val="000000" w:themeColor="text1"/>
                <w:sz w:val="18"/>
                <w:szCs w:val="18"/>
                <w:lang w:val="en-US"/>
              </w:rPr>
              <w:t>0</w:t>
            </w:r>
          </w:p>
        </w:tc>
        <w:tc>
          <w:tcPr>
            <w:tcW w:w="1205" w:type="dxa"/>
            <w:tcBorders>
              <w:top w:val="nil"/>
              <w:left w:val="double" w:sz="6" w:space="0" w:color="800000"/>
              <w:bottom w:val="nil"/>
              <w:right w:val="single" w:sz="8" w:space="0" w:color="800000"/>
            </w:tcBorders>
            <w:shd w:val="clear" w:color="000000" w:fill="FFFFCC"/>
            <w:noWrap/>
            <w:vAlign w:val="bottom"/>
          </w:tcPr>
          <w:p w14:paraId="7B9428EC" w14:textId="77777777" w:rsidR="00EF664F" w:rsidRPr="0069296B" w:rsidRDefault="00EF664F" w:rsidP="00EF664F">
            <w:pPr>
              <w:jc w:val="right"/>
              <w:rPr>
                <w:color w:val="000000" w:themeColor="text1"/>
                <w:sz w:val="18"/>
                <w:szCs w:val="18"/>
                <w:lang w:val="en-US"/>
              </w:rPr>
            </w:pPr>
            <w:r>
              <w:rPr>
                <w:color w:val="000000" w:themeColor="text1"/>
                <w:sz w:val="18"/>
                <w:szCs w:val="18"/>
                <w:lang w:val="en-US"/>
              </w:rPr>
              <w:t>7</w:t>
            </w:r>
            <w:r w:rsidRPr="00D61418">
              <w:rPr>
                <w:color w:val="000000" w:themeColor="text1"/>
                <w:sz w:val="18"/>
                <w:szCs w:val="18"/>
              </w:rPr>
              <w:t> </w:t>
            </w:r>
            <w:r>
              <w:rPr>
                <w:color w:val="000000" w:themeColor="text1"/>
                <w:sz w:val="18"/>
                <w:szCs w:val="18"/>
                <w:lang w:val="en-US"/>
              </w:rPr>
              <w:t>343</w:t>
            </w:r>
            <w:r w:rsidRPr="00D61418">
              <w:rPr>
                <w:color w:val="000000" w:themeColor="text1"/>
                <w:sz w:val="18"/>
                <w:szCs w:val="18"/>
              </w:rPr>
              <w:t>,</w:t>
            </w:r>
            <w:r>
              <w:rPr>
                <w:color w:val="000000" w:themeColor="text1"/>
                <w:sz w:val="18"/>
                <w:szCs w:val="18"/>
                <w:lang w:val="en-US"/>
              </w:rPr>
              <w:t>3</w:t>
            </w:r>
          </w:p>
        </w:tc>
        <w:tc>
          <w:tcPr>
            <w:tcW w:w="1018" w:type="dxa"/>
            <w:tcBorders>
              <w:top w:val="nil"/>
              <w:left w:val="nil"/>
              <w:bottom w:val="nil"/>
              <w:right w:val="single" w:sz="4" w:space="0" w:color="800000"/>
            </w:tcBorders>
            <w:shd w:val="clear" w:color="000000" w:fill="FFFFCC"/>
            <w:noWrap/>
            <w:vAlign w:val="bottom"/>
          </w:tcPr>
          <w:p w14:paraId="7DF2EB1A" w14:textId="1DC02B6C" w:rsidR="00EF664F" w:rsidRPr="005F431F" w:rsidRDefault="00EF664F" w:rsidP="00014EDC">
            <w:pPr>
              <w:jc w:val="right"/>
              <w:rPr>
                <w:color w:val="000000" w:themeColor="text1"/>
                <w:sz w:val="18"/>
                <w:szCs w:val="18"/>
                <w:lang w:val="en-US"/>
              </w:rPr>
            </w:pPr>
            <w:r>
              <w:rPr>
                <w:color w:val="000000" w:themeColor="text1"/>
                <w:sz w:val="18"/>
                <w:szCs w:val="18"/>
                <w:lang w:val="en-US"/>
              </w:rPr>
              <w:t>12</w:t>
            </w:r>
            <w:r w:rsidRPr="00D61418">
              <w:rPr>
                <w:color w:val="000000" w:themeColor="text1"/>
                <w:sz w:val="18"/>
                <w:szCs w:val="18"/>
              </w:rPr>
              <w:t> </w:t>
            </w:r>
            <w:r>
              <w:rPr>
                <w:color w:val="000000" w:themeColor="text1"/>
                <w:sz w:val="18"/>
                <w:szCs w:val="18"/>
                <w:lang w:val="en-US"/>
              </w:rPr>
              <w:t>000</w:t>
            </w:r>
            <w:r w:rsidRPr="00D61418">
              <w:rPr>
                <w:color w:val="000000" w:themeColor="text1"/>
                <w:sz w:val="18"/>
                <w:szCs w:val="18"/>
              </w:rPr>
              <w:t>,</w:t>
            </w:r>
            <w:r w:rsidR="00014EDC">
              <w:rPr>
                <w:color w:val="000000" w:themeColor="text1"/>
                <w:sz w:val="18"/>
                <w:szCs w:val="18"/>
                <w:lang w:val="en-US"/>
              </w:rPr>
              <w:t>3</w:t>
            </w:r>
          </w:p>
        </w:tc>
        <w:tc>
          <w:tcPr>
            <w:tcW w:w="1440" w:type="dxa"/>
            <w:tcBorders>
              <w:top w:val="nil"/>
              <w:left w:val="nil"/>
              <w:bottom w:val="nil"/>
              <w:right w:val="single" w:sz="4" w:space="0" w:color="800000"/>
            </w:tcBorders>
            <w:shd w:val="clear" w:color="000000" w:fill="FFFFCC"/>
            <w:noWrap/>
            <w:vAlign w:val="bottom"/>
          </w:tcPr>
          <w:p w14:paraId="6B3250EF" w14:textId="407529F0" w:rsidR="00EF664F" w:rsidRPr="00D61418" w:rsidRDefault="00EF664F" w:rsidP="00EF664F">
            <w:pPr>
              <w:jc w:val="right"/>
              <w:rPr>
                <w:color w:val="000000" w:themeColor="text1"/>
                <w:sz w:val="18"/>
                <w:szCs w:val="18"/>
              </w:rPr>
            </w:pPr>
            <w:r>
              <w:rPr>
                <w:sz w:val="18"/>
                <w:szCs w:val="18"/>
              </w:rPr>
              <w:t>8 819,</w:t>
            </w:r>
            <w:r w:rsidR="00014EDC">
              <w:rPr>
                <w:sz w:val="18"/>
                <w:szCs w:val="18"/>
              </w:rPr>
              <w:t>3</w:t>
            </w:r>
          </w:p>
        </w:tc>
        <w:tc>
          <w:tcPr>
            <w:tcW w:w="1350" w:type="dxa"/>
            <w:tcBorders>
              <w:top w:val="nil"/>
              <w:left w:val="single" w:sz="4" w:space="0" w:color="800000"/>
              <w:bottom w:val="nil"/>
              <w:right w:val="single" w:sz="4" w:space="0" w:color="800000"/>
            </w:tcBorders>
            <w:shd w:val="clear" w:color="000000" w:fill="FFFFCC"/>
            <w:noWrap/>
            <w:vAlign w:val="bottom"/>
          </w:tcPr>
          <w:p w14:paraId="0457D0D9" w14:textId="6255873E" w:rsidR="00EF664F" w:rsidRPr="00D61418" w:rsidRDefault="00EF664F" w:rsidP="00EF664F">
            <w:pPr>
              <w:jc w:val="right"/>
              <w:rPr>
                <w:color w:val="000000" w:themeColor="text1"/>
                <w:sz w:val="18"/>
                <w:szCs w:val="18"/>
              </w:rPr>
            </w:pPr>
            <w:r>
              <w:rPr>
                <w:sz w:val="20"/>
                <w:szCs w:val="20"/>
              </w:rPr>
              <w:t>120,1%</w:t>
            </w:r>
          </w:p>
        </w:tc>
      </w:tr>
      <w:tr w:rsidR="00EF664F" w:rsidRPr="00D61418" w14:paraId="2049FA7F" w14:textId="77777777" w:rsidTr="00D337DB">
        <w:trPr>
          <w:trHeight w:val="80"/>
        </w:trPr>
        <w:tc>
          <w:tcPr>
            <w:tcW w:w="3415" w:type="dxa"/>
            <w:tcBorders>
              <w:top w:val="nil"/>
              <w:left w:val="double" w:sz="6" w:space="0" w:color="800000"/>
              <w:bottom w:val="nil"/>
              <w:right w:val="single" w:sz="8" w:space="0" w:color="800000"/>
            </w:tcBorders>
            <w:shd w:val="clear" w:color="auto" w:fill="FFFFCC"/>
            <w:noWrap/>
            <w:vAlign w:val="bottom"/>
          </w:tcPr>
          <w:p w14:paraId="1BC8EDDC" w14:textId="77777777" w:rsidR="00EF664F" w:rsidRPr="00D61418" w:rsidRDefault="00EF664F" w:rsidP="00EF664F">
            <w:pPr>
              <w:rPr>
                <w:color w:val="000000" w:themeColor="text1"/>
                <w:sz w:val="20"/>
                <w:szCs w:val="20"/>
              </w:rPr>
            </w:pPr>
            <w:r w:rsidRPr="00D61418">
              <w:rPr>
                <w:color w:val="000000" w:themeColor="text1"/>
                <w:sz w:val="20"/>
                <w:szCs w:val="20"/>
              </w:rPr>
              <w:t xml:space="preserve">   -Помощи и дарения</w:t>
            </w:r>
          </w:p>
        </w:tc>
        <w:tc>
          <w:tcPr>
            <w:tcW w:w="839" w:type="dxa"/>
            <w:tcBorders>
              <w:top w:val="nil"/>
              <w:left w:val="nil"/>
              <w:bottom w:val="nil"/>
              <w:right w:val="single" w:sz="4" w:space="0" w:color="800000"/>
            </w:tcBorders>
            <w:shd w:val="clear" w:color="000000" w:fill="FFFFCC"/>
            <w:noWrap/>
            <w:vAlign w:val="bottom"/>
          </w:tcPr>
          <w:p w14:paraId="0659D6D5" w14:textId="77777777" w:rsidR="00EF664F" w:rsidRPr="00D61418" w:rsidRDefault="00EF664F" w:rsidP="00EF664F">
            <w:pPr>
              <w:jc w:val="right"/>
              <w:rPr>
                <w:color w:val="000000" w:themeColor="text1"/>
                <w:sz w:val="18"/>
                <w:szCs w:val="18"/>
                <w:lang w:val="en-US"/>
              </w:rPr>
            </w:pPr>
            <w:r w:rsidRPr="00D61418">
              <w:rPr>
                <w:color w:val="000000" w:themeColor="text1"/>
                <w:sz w:val="18"/>
                <w:szCs w:val="18"/>
              </w:rPr>
              <w:t>3 464,6</w:t>
            </w:r>
          </w:p>
        </w:tc>
        <w:tc>
          <w:tcPr>
            <w:tcW w:w="1205" w:type="dxa"/>
            <w:tcBorders>
              <w:top w:val="nil"/>
              <w:left w:val="double" w:sz="6" w:space="0" w:color="800000"/>
              <w:bottom w:val="nil"/>
              <w:right w:val="single" w:sz="8" w:space="0" w:color="800000"/>
            </w:tcBorders>
            <w:shd w:val="clear" w:color="000000" w:fill="FFFFCC"/>
            <w:noWrap/>
            <w:vAlign w:val="bottom"/>
          </w:tcPr>
          <w:p w14:paraId="3F936EEA" w14:textId="77777777" w:rsidR="00EF664F" w:rsidRPr="00D61418" w:rsidRDefault="00EF664F" w:rsidP="00EF664F">
            <w:pPr>
              <w:jc w:val="right"/>
              <w:rPr>
                <w:color w:val="000000" w:themeColor="text1"/>
                <w:sz w:val="18"/>
                <w:szCs w:val="18"/>
              </w:rPr>
            </w:pPr>
            <w:r>
              <w:rPr>
                <w:color w:val="000000" w:themeColor="text1"/>
                <w:sz w:val="18"/>
                <w:szCs w:val="18"/>
                <w:lang w:val="en-US"/>
              </w:rPr>
              <w:t>6</w:t>
            </w:r>
            <w:r w:rsidRPr="00D61418">
              <w:rPr>
                <w:color w:val="000000" w:themeColor="text1"/>
                <w:sz w:val="18"/>
                <w:szCs w:val="18"/>
              </w:rPr>
              <w:t> </w:t>
            </w:r>
            <w:r>
              <w:rPr>
                <w:color w:val="000000" w:themeColor="text1"/>
                <w:sz w:val="18"/>
                <w:szCs w:val="18"/>
                <w:lang w:val="en-US"/>
              </w:rPr>
              <w:t>192</w:t>
            </w:r>
            <w:r w:rsidRPr="00D61418">
              <w:rPr>
                <w:color w:val="000000" w:themeColor="text1"/>
                <w:sz w:val="18"/>
                <w:szCs w:val="18"/>
              </w:rPr>
              <w:t>,8</w:t>
            </w:r>
          </w:p>
        </w:tc>
        <w:tc>
          <w:tcPr>
            <w:tcW w:w="1018" w:type="dxa"/>
            <w:tcBorders>
              <w:top w:val="nil"/>
              <w:left w:val="nil"/>
              <w:bottom w:val="nil"/>
              <w:right w:val="single" w:sz="4" w:space="0" w:color="800000"/>
            </w:tcBorders>
            <w:shd w:val="clear" w:color="000000" w:fill="FFFFCC"/>
            <w:noWrap/>
            <w:vAlign w:val="bottom"/>
          </w:tcPr>
          <w:p w14:paraId="1612D011" w14:textId="77777777" w:rsidR="00EF664F" w:rsidRPr="005F431F" w:rsidRDefault="00EF664F" w:rsidP="00EF664F">
            <w:pPr>
              <w:jc w:val="right"/>
              <w:rPr>
                <w:color w:val="000000" w:themeColor="text1"/>
                <w:sz w:val="18"/>
                <w:szCs w:val="18"/>
                <w:lang w:val="en-US"/>
              </w:rPr>
            </w:pPr>
            <w:r>
              <w:rPr>
                <w:color w:val="000000" w:themeColor="text1"/>
                <w:sz w:val="18"/>
                <w:szCs w:val="18"/>
                <w:lang w:val="en-US"/>
              </w:rPr>
              <w:t>6</w:t>
            </w:r>
            <w:r w:rsidRPr="00D61418">
              <w:rPr>
                <w:color w:val="000000" w:themeColor="text1"/>
                <w:sz w:val="18"/>
                <w:szCs w:val="18"/>
              </w:rPr>
              <w:t> </w:t>
            </w:r>
            <w:r>
              <w:rPr>
                <w:color w:val="000000" w:themeColor="text1"/>
                <w:sz w:val="18"/>
                <w:szCs w:val="18"/>
                <w:lang w:val="en-US"/>
              </w:rPr>
              <w:t>005</w:t>
            </w:r>
            <w:r w:rsidRPr="00D61418">
              <w:rPr>
                <w:color w:val="000000" w:themeColor="text1"/>
                <w:sz w:val="18"/>
                <w:szCs w:val="18"/>
              </w:rPr>
              <w:t>,</w:t>
            </w:r>
            <w:r>
              <w:rPr>
                <w:color w:val="000000" w:themeColor="text1"/>
                <w:sz w:val="18"/>
                <w:szCs w:val="18"/>
                <w:lang w:val="en-US"/>
              </w:rPr>
              <w:t>4</w:t>
            </w:r>
          </w:p>
        </w:tc>
        <w:tc>
          <w:tcPr>
            <w:tcW w:w="1440" w:type="dxa"/>
            <w:tcBorders>
              <w:top w:val="nil"/>
              <w:left w:val="nil"/>
              <w:bottom w:val="nil"/>
              <w:right w:val="single" w:sz="4" w:space="0" w:color="800000"/>
            </w:tcBorders>
            <w:shd w:val="clear" w:color="000000" w:fill="FFFFCC"/>
            <w:noWrap/>
            <w:vAlign w:val="bottom"/>
          </w:tcPr>
          <w:p w14:paraId="6AC4D378" w14:textId="26A83401" w:rsidR="00EF664F" w:rsidRPr="00D61418" w:rsidRDefault="00EF664F" w:rsidP="00EF664F">
            <w:pPr>
              <w:jc w:val="right"/>
              <w:rPr>
                <w:color w:val="000000" w:themeColor="text1"/>
                <w:sz w:val="18"/>
                <w:szCs w:val="18"/>
              </w:rPr>
            </w:pPr>
            <w:r>
              <w:rPr>
                <w:sz w:val="18"/>
                <w:szCs w:val="18"/>
              </w:rPr>
              <w:t>6 005,4</w:t>
            </w:r>
          </w:p>
        </w:tc>
        <w:tc>
          <w:tcPr>
            <w:tcW w:w="1350" w:type="dxa"/>
            <w:tcBorders>
              <w:top w:val="nil"/>
              <w:left w:val="single" w:sz="4" w:space="0" w:color="800000"/>
              <w:bottom w:val="nil"/>
              <w:right w:val="single" w:sz="4" w:space="0" w:color="800000"/>
            </w:tcBorders>
            <w:shd w:val="clear" w:color="000000" w:fill="FFFFCC"/>
            <w:noWrap/>
            <w:vAlign w:val="bottom"/>
          </w:tcPr>
          <w:p w14:paraId="1BF1A4BF" w14:textId="4E55AB33" w:rsidR="00EF664F" w:rsidRPr="00D61418" w:rsidRDefault="00EF664F" w:rsidP="00EF664F">
            <w:pPr>
              <w:jc w:val="right"/>
              <w:rPr>
                <w:color w:val="000000" w:themeColor="text1"/>
                <w:sz w:val="18"/>
                <w:szCs w:val="18"/>
              </w:rPr>
            </w:pPr>
            <w:r>
              <w:rPr>
                <w:sz w:val="20"/>
                <w:szCs w:val="20"/>
              </w:rPr>
              <w:t>97,0%</w:t>
            </w:r>
          </w:p>
        </w:tc>
      </w:tr>
      <w:tr w:rsidR="00EF664F" w:rsidRPr="00D61418" w14:paraId="73C96163" w14:textId="77777777" w:rsidTr="00D337DB">
        <w:trPr>
          <w:trHeight w:val="304"/>
        </w:trPr>
        <w:tc>
          <w:tcPr>
            <w:tcW w:w="3415" w:type="dxa"/>
            <w:tcBorders>
              <w:top w:val="nil"/>
              <w:left w:val="double" w:sz="6" w:space="0" w:color="800000"/>
              <w:bottom w:val="nil"/>
              <w:right w:val="single" w:sz="8" w:space="0" w:color="800000"/>
            </w:tcBorders>
            <w:shd w:val="clear" w:color="auto" w:fill="FFFFCC"/>
            <w:noWrap/>
            <w:vAlign w:val="bottom"/>
          </w:tcPr>
          <w:p w14:paraId="511B9C13" w14:textId="77777777" w:rsidR="00EF664F" w:rsidRPr="00D61418" w:rsidRDefault="00EF664F" w:rsidP="00EF664F">
            <w:pPr>
              <w:rPr>
                <w:b/>
                <w:bCs/>
                <w:color w:val="000000" w:themeColor="text1"/>
                <w:sz w:val="20"/>
                <w:szCs w:val="20"/>
              </w:rPr>
            </w:pPr>
            <w:r w:rsidRPr="00D61418">
              <w:rPr>
                <w:b/>
                <w:bCs/>
                <w:color w:val="000000" w:themeColor="text1"/>
                <w:sz w:val="20"/>
                <w:szCs w:val="20"/>
              </w:rPr>
              <w:t xml:space="preserve">Разходи и вноска в бюджета на ЕС                   </w:t>
            </w:r>
          </w:p>
        </w:tc>
        <w:tc>
          <w:tcPr>
            <w:tcW w:w="839" w:type="dxa"/>
            <w:tcBorders>
              <w:top w:val="nil"/>
              <w:left w:val="nil"/>
              <w:bottom w:val="nil"/>
              <w:right w:val="single" w:sz="4" w:space="0" w:color="800000"/>
            </w:tcBorders>
            <w:shd w:val="clear" w:color="000000" w:fill="FFFFCC"/>
            <w:noWrap/>
            <w:vAlign w:val="bottom"/>
          </w:tcPr>
          <w:p w14:paraId="2B3F58C0" w14:textId="77777777" w:rsidR="00EF664F" w:rsidRPr="00D61418" w:rsidRDefault="00EF664F" w:rsidP="00EF664F">
            <w:pPr>
              <w:jc w:val="right"/>
              <w:rPr>
                <w:b/>
                <w:bCs/>
                <w:color w:val="000000" w:themeColor="text1"/>
                <w:sz w:val="18"/>
                <w:szCs w:val="18"/>
                <w:lang w:val="en-US"/>
              </w:rPr>
            </w:pPr>
            <w:r w:rsidRPr="00D61418">
              <w:rPr>
                <w:b/>
                <w:bCs/>
                <w:color w:val="000000" w:themeColor="text1"/>
                <w:sz w:val="18"/>
                <w:szCs w:val="18"/>
              </w:rPr>
              <w:t xml:space="preserve">56 253,4 </w:t>
            </w:r>
          </w:p>
        </w:tc>
        <w:tc>
          <w:tcPr>
            <w:tcW w:w="1205" w:type="dxa"/>
            <w:tcBorders>
              <w:top w:val="nil"/>
              <w:left w:val="double" w:sz="6" w:space="0" w:color="800000"/>
              <w:bottom w:val="nil"/>
              <w:right w:val="single" w:sz="8" w:space="0" w:color="800000"/>
            </w:tcBorders>
            <w:shd w:val="clear" w:color="000000" w:fill="FFFFCC"/>
            <w:noWrap/>
            <w:vAlign w:val="bottom"/>
          </w:tcPr>
          <w:p w14:paraId="383C7B0B" w14:textId="77777777" w:rsidR="00EF664F" w:rsidRPr="0069296B" w:rsidRDefault="00EF664F" w:rsidP="00EF664F">
            <w:pPr>
              <w:jc w:val="right"/>
              <w:rPr>
                <w:b/>
                <w:bCs/>
                <w:color w:val="000000" w:themeColor="text1"/>
                <w:sz w:val="18"/>
                <w:szCs w:val="18"/>
                <w:lang w:val="en-US"/>
              </w:rPr>
            </w:pPr>
            <w:r>
              <w:rPr>
                <w:b/>
                <w:bCs/>
                <w:color w:val="000000" w:themeColor="text1"/>
                <w:sz w:val="18"/>
                <w:szCs w:val="18"/>
                <w:lang w:val="en-US"/>
              </w:rPr>
              <w:t>6</w:t>
            </w:r>
            <w:r w:rsidRPr="00D61418">
              <w:rPr>
                <w:b/>
                <w:bCs/>
                <w:color w:val="000000" w:themeColor="text1"/>
                <w:sz w:val="18"/>
                <w:szCs w:val="18"/>
              </w:rPr>
              <w:t>5 </w:t>
            </w:r>
            <w:r>
              <w:rPr>
                <w:b/>
                <w:bCs/>
                <w:color w:val="000000" w:themeColor="text1"/>
                <w:sz w:val="18"/>
                <w:szCs w:val="18"/>
                <w:lang w:val="en-US"/>
              </w:rPr>
              <w:t>887</w:t>
            </w:r>
            <w:r w:rsidRPr="00D61418">
              <w:rPr>
                <w:b/>
                <w:bCs/>
                <w:color w:val="000000" w:themeColor="text1"/>
                <w:sz w:val="18"/>
                <w:szCs w:val="18"/>
              </w:rPr>
              <w:t>,</w:t>
            </w:r>
            <w:r>
              <w:rPr>
                <w:b/>
                <w:bCs/>
                <w:color w:val="000000" w:themeColor="text1"/>
                <w:sz w:val="18"/>
                <w:szCs w:val="18"/>
                <w:lang w:val="en-US"/>
              </w:rPr>
              <w:t>1</w:t>
            </w:r>
          </w:p>
        </w:tc>
        <w:tc>
          <w:tcPr>
            <w:tcW w:w="1018" w:type="dxa"/>
            <w:tcBorders>
              <w:top w:val="nil"/>
              <w:left w:val="nil"/>
              <w:bottom w:val="nil"/>
              <w:right w:val="single" w:sz="4" w:space="0" w:color="800000"/>
            </w:tcBorders>
            <w:shd w:val="clear" w:color="000000" w:fill="FFFFCC"/>
            <w:noWrap/>
            <w:vAlign w:val="bottom"/>
          </w:tcPr>
          <w:p w14:paraId="03491ECE" w14:textId="54C455E7" w:rsidR="00EF664F" w:rsidRPr="00D61418" w:rsidRDefault="00EF664F" w:rsidP="00014EDC">
            <w:pPr>
              <w:jc w:val="right"/>
              <w:rPr>
                <w:b/>
                <w:bCs/>
                <w:color w:val="000000" w:themeColor="text1"/>
                <w:sz w:val="18"/>
                <w:szCs w:val="18"/>
              </w:rPr>
            </w:pPr>
            <w:r>
              <w:rPr>
                <w:b/>
                <w:bCs/>
                <w:color w:val="000000" w:themeColor="text1"/>
                <w:sz w:val="18"/>
                <w:szCs w:val="18"/>
                <w:lang w:val="en-US"/>
              </w:rPr>
              <w:t>6</w:t>
            </w:r>
            <w:r w:rsidRPr="00D61418">
              <w:rPr>
                <w:b/>
                <w:bCs/>
                <w:color w:val="000000" w:themeColor="text1"/>
                <w:sz w:val="18"/>
                <w:szCs w:val="18"/>
              </w:rPr>
              <w:t xml:space="preserve">6 </w:t>
            </w:r>
            <w:r>
              <w:rPr>
                <w:b/>
                <w:bCs/>
                <w:color w:val="000000" w:themeColor="text1"/>
                <w:sz w:val="18"/>
                <w:szCs w:val="18"/>
                <w:lang w:val="en-US"/>
              </w:rPr>
              <w:t>112</w:t>
            </w:r>
            <w:r w:rsidRPr="00D61418">
              <w:rPr>
                <w:b/>
                <w:bCs/>
                <w:color w:val="000000" w:themeColor="text1"/>
                <w:sz w:val="18"/>
                <w:szCs w:val="18"/>
              </w:rPr>
              <w:t>,</w:t>
            </w:r>
            <w:r w:rsidR="00014EDC">
              <w:rPr>
                <w:b/>
                <w:bCs/>
                <w:color w:val="000000" w:themeColor="text1"/>
                <w:sz w:val="18"/>
                <w:szCs w:val="18"/>
                <w:lang w:val="en-US"/>
              </w:rPr>
              <w:t>3</w:t>
            </w:r>
            <w:r w:rsidRPr="00D61418">
              <w:rPr>
                <w:b/>
                <w:bCs/>
                <w:color w:val="000000" w:themeColor="text1"/>
                <w:sz w:val="18"/>
                <w:szCs w:val="18"/>
              </w:rPr>
              <w:t xml:space="preserve"> </w:t>
            </w:r>
          </w:p>
        </w:tc>
        <w:tc>
          <w:tcPr>
            <w:tcW w:w="1440" w:type="dxa"/>
            <w:tcBorders>
              <w:top w:val="nil"/>
              <w:left w:val="nil"/>
              <w:bottom w:val="nil"/>
              <w:right w:val="single" w:sz="4" w:space="0" w:color="800000"/>
            </w:tcBorders>
            <w:shd w:val="clear" w:color="000000" w:fill="FFFFCC"/>
            <w:noWrap/>
            <w:vAlign w:val="bottom"/>
          </w:tcPr>
          <w:p w14:paraId="272F7517" w14:textId="419C96E0" w:rsidR="00EF664F" w:rsidRPr="00D61418" w:rsidRDefault="00EF664F" w:rsidP="00014EDC">
            <w:pPr>
              <w:jc w:val="right"/>
              <w:rPr>
                <w:b/>
                <w:bCs/>
                <w:color w:val="000000" w:themeColor="text1"/>
                <w:sz w:val="18"/>
                <w:szCs w:val="18"/>
              </w:rPr>
            </w:pPr>
            <w:r>
              <w:rPr>
                <w:b/>
                <w:bCs/>
                <w:sz w:val="18"/>
                <w:szCs w:val="18"/>
              </w:rPr>
              <w:t>62 931,</w:t>
            </w:r>
            <w:r w:rsidR="00014EDC">
              <w:rPr>
                <w:b/>
                <w:bCs/>
                <w:sz w:val="18"/>
                <w:szCs w:val="18"/>
                <w:lang w:val="en-US"/>
              </w:rPr>
              <w:t>3</w:t>
            </w:r>
          </w:p>
        </w:tc>
        <w:tc>
          <w:tcPr>
            <w:tcW w:w="1350" w:type="dxa"/>
            <w:tcBorders>
              <w:top w:val="nil"/>
              <w:left w:val="single" w:sz="4" w:space="0" w:color="800000"/>
              <w:bottom w:val="nil"/>
              <w:right w:val="single" w:sz="4" w:space="0" w:color="800000"/>
            </w:tcBorders>
            <w:shd w:val="clear" w:color="000000" w:fill="FFFFCC"/>
            <w:noWrap/>
            <w:vAlign w:val="bottom"/>
          </w:tcPr>
          <w:p w14:paraId="62ABCC4C" w14:textId="54D96D41" w:rsidR="00EF664F" w:rsidRPr="00D61418" w:rsidRDefault="00EF664F" w:rsidP="00EF664F">
            <w:pPr>
              <w:jc w:val="right"/>
              <w:rPr>
                <w:b/>
                <w:bCs/>
                <w:color w:val="000000" w:themeColor="text1"/>
                <w:sz w:val="18"/>
                <w:szCs w:val="18"/>
              </w:rPr>
            </w:pPr>
            <w:r>
              <w:rPr>
                <w:b/>
                <w:bCs/>
                <w:sz w:val="20"/>
                <w:szCs w:val="20"/>
              </w:rPr>
              <w:t>95,5%</w:t>
            </w:r>
          </w:p>
        </w:tc>
      </w:tr>
      <w:tr w:rsidR="00EF664F" w:rsidRPr="00D61418" w14:paraId="350C9AB0" w14:textId="77777777" w:rsidTr="00D337DB">
        <w:trPr>
          <w:trHeight w:val="188"/>
        </w:trPr>
        <w:tc>
          <w:tcPr>
            <w:tcW w:w="3415" w:type="dxa"/>
            <w:tcBorders>
              <w:top w:val="nil"/>
              <w:left w:val="double" w:sz="6" w:space="0" w:color="800000"/>
              <w:bottom w:val="nil"/>
              <w:right w:val="single" w:sz="8" w:space="0" w:color="800000"/>
            </w:tcBorders>
            <w:shd w:val="clear" w:color="auto" w:fill="FFFFCC"/>
            <w:noWrap/>
            <w:vAlign w:val="bottom"/>
          </w:tcPr>
          <w:p w14:paraId="0FAA14BE" w14:textId="77777777" w:rsidR="00EF664F" w:rsidRPr="00D61418" w:rsidRDefault="00EF664F" w:rsidP="00EF664F">
            <w:pPr>
              <w:rPr>
                <w:color w:val="000000" w:themeColor="text1"/>
                <w:sz w:val="20"/>
                <w:szCs w:val="20"/>
              </w:rPr>
            </w:pPr>
            <w:r w:rsidRPr="00D61418">
              <w:rPr>
                <w:color w:val="000000" w:themeColor="text1"/>
                <w:sz w:val="20"/>
                <w:szCs w:val="20"/>
              </w:rPr>
              <w:t xml:space="preserve">   -Нелихвени разходи</w:t>
            </w:r>
          </w:p>
        </w:tc>
        <w:tc>
          <w:tcPr>
            <w:tcW w:w="839" w:type="dxa"/>
            <w:tcBorders>
              <w:top w:val="nil"/>
              <w:left w:val="nil"/>
              <w:bottom w:val="nil"/>
              <w:right w:val="single" w:sz="4" w:space="0" w:color="800000"/>
            </w:tcBorders>
            <w:shd w:val="clear" w:color="000000" w:fill="FFFFCC"/>
            <w:noWrap/>
            <w:vAlign w:val="bottom"/>
          </w:tcPr>
          <w:p w14:paraId="0AEA8795" w14:textId="77777777" w:rsidR="00EF664F" w:rsidRPr="00D61418" w:rsidRDefault="00EF664F" w:rsidP="00EF664F">
            <w:pPr>
              <w:jc w:val="right"/>
              <w:rPr>
                <w:color w:val="000000" w:themeColor="text1"/>
                <w:sz w:val="18"/>
                <w:szCs w:val="18"/>
                <w:lang w:val="en-US"/>
              </w:rPr>
            </w:pPr>
            <w:r w:rsidRPr="00D61418">
              <w:rPr>
                <w:color w:val="000000" w:themeColor="text1"/>
                <w:sz w:val="18"/>
                <w:szCs w:val="18"/>
              </w:rPr>
              <w:t>53 943,7</w:t>
            </w:r>
          </w:p>
        </w:tc>
        <w:tc>
          <w:tcPr>
            <w:tcW w:w="1205" w:type="dxa"/>
            <w:tcBorders>
              <w:top w:val="nil"/>
              <w:left w:val="double" w:sz="6" w:space="0" w:color="800000"/>
              <w:bottom w:val="nil"/>
              <w:right w:val="single" w:sz="8" w:space="0" w:color="800000"/>
            </w:tcBorders>
            <w:shd w:val="clear" w:color="000000" w:fill="FFFFCC"/>
            <w:noWrap/>
            <w:vAlign w:val="bottom"/>
          </w:tcPr>
          <w:p w14:paraId="62600856" w14:textId="77777777" w:rsidR="00EF664F" w:rsidRPr="0069296B" w:rsidRDefault="00EF664F" w:rsidP="00EF664F">
            <w:pPr>
              <w:jc w:val="right"/>
              <w:rPr>
                <w:color w:val="000000" w:themeColor="text1"/>
                <w:sz w:val="18"/>
                <w:szCs w:val="18"/>
                <w:lang w:val="en-US"/>
              </w:rPr>
            </w:pPr>
            <w:r>
              <w:rPr>
                <w:color w:val="000000" w:themeColor="text1"/>
                <w:sz w:val="18"/>
                <w:szCs w:val="18"/>
                <w:lang w:val="en-US"/>
              </w:rPr>
              <w:t>63</w:t>
            </w:r>
            <w:r w:rsidRPr="00D61418">
              <w:rPr>
                <w:color w:val="000000" w:themeColor="text1"/>
                <w:sz w:val="18"/>
                <w:szCs w:val="18"/>
              </w:rPr>
              <w:t> </w:t>
            </w:r>
            <w:r>
              <w:rPr>
                <w:color w:val="000000" w:themeColor="text1"/>
                <w:sz w:val="18"/>
                <w:szCs w:val="18"/>
                <w:lang w:val="en-US"/>
              </w:rPr>
              <w:t>382</w:t>
            </w:r>
            <w:r w:rsidRPr="00D61418">
              <w:rPr>
                <w:color w:val="000000" w:themeColor="text1"/>
                <w:sz w:val="18"/>
                <w:szCs w:val="18"/>
              </w:rPr>
              <w:t>,</w:t>
            </w:r>
            <w:r>
              <w:rPr>
                <w:color w:val="000000" w:themeColor="text1"/>
                <w:sz w:val="18"/>
                <w:szCs w:val="18"/>
                <w:lang w:val="en-US"/>
              </w:rPr>
              <w:t>9</w:t>
            </w:r>
          </w:p>
        </w:tc>
        <w:tc>
          <w:tcPr>
            <w:tcW w:w="1018" w:type="dxa"/>
            <w:tcBorders>
              <w:top w:val="nil"/>
              <w:left w:val="nil"/>
              <w:bottom w:val="nil"/>
              <w:right w:val="single" w:sz="4" w:space="0" w:color="800000"/>
            </w:tcBorders>
            <w:shd w:val="clear" w:color="000000" w:fill="FFFFCC"/>
            <w:noWrap/>
            <w:vAlign w:val="bottom"/>
          </w:tcPr>
          <w:p w14:paraId="192CC7B3" w14:textId="77777777" w:rsidR="00EF664F" w:rsidRPr="006F7B13" w:rsidRDefault="00EF664F" w:rsidP="00EF664F">
            <w:pPr>
              <w:jc w:val="right"/>
              <w:rPr>
                <w:color w:val="000000" w:themeColor="text1"/>
                <w:sz w:val="18"/>
                <w:szCs w:val="18"/>
                <w:lang w:val="en-US"/>
              </w:rPr>
            </w:pPr>
            <w:r>
              <w:rPr>
                <w:color w:val="000000" w:themeColor="text1"/>
                <w:sz w:val="18"/>
                <w:szCs w:val="18"/>
                <w:lang w:val="en-US"/>
              </w:rPr>
              <w:t>6</w:t>
            </w:r>
            <w:r w:rsidRPr="00D61418">
              <w:rPr>
                <w:color w:val="000000" w:themeColor="text1"/>
                <w:sz w:val="18"/>
                <w:szCs w:val="18"/>
              </w:rPr>
              <w:t>3 </w:t>
            </w:r>
            <w:r>
              <w:rPr>
                <w:color w:val="000000" w:themeColor="text1"/>
                <w:sz w:val="18"/>
                <w:szCs w:val="18"/>
                <w:lang w:val="en-US"/>
              </w:rPr>
              <w:t>755</w:t>
            </w:r>
            <w:r w:rsidRPr="00D61418">
              <w:rPr>
                <w:color w:val="000000" w:themeColor="text1"/>
                <w:sz w:val="18"/>
                <w:szCs w:val="18"/>
              </w:rPr>
              <w:t>,</w:t>
            </w:r>
            <w:r>
              <w:rPr>
                <w:color w:val="000000" w:themeColor="text1"/>
                <w:sz w:val="18"/>
                <w:szCs w:val="18"/>
                <w:lang w:val="en-US"/>
              </w:rPr>
              <w:t>5</w:t>
            </w:r>
          </w:p>
        </w:tc>
        <w:tc>
          <w:tcPr>
            <w:tcW w:w="1440" w:type="dxa"/>
            <w:tcBorders>
              <w:top w:val="nil"/>
              <w:left w:val="nil"/>
              <w:bottom w:val="nil"/>
              <w:right w:val="single" w:sz="4" w:space="0" w:color="800000"/>
            </w:tcBorders>
            <w:shd w:val="clear" w:color="000000" w:fill="FFFFCC"/>
            <w:noWrap/>
            <w:vAlign w:val="bottom"/>
          </w:tcPr>
          <w:p w14:paraId="65F5EC8D" w14:textId="6AA44707" w:rsidR="00EF664F" w:rsidRPr="00D61418" w:rsidRDefault="00EF664F" w:rsidP="00014EDC">
            <w:pPr>
              <w:jc w:val="right"/>
              <w:rPr>
                <w:color w:val="000000" w:themeColor="text1"/>
                <w:sz w:val="18"/>
                <w:szCs w:val="18"/>
              </w:rPr>
            </w:pPr>
            <w:r>
              <w:rPr>
                <w:sz w:val="18"/>
                <w:szCs w:val="18"/>
              </w:rPr>
              <w:t>60 574,</w:t>
            </w:r>
            <w:r w:rsidR="00014EDC">
              <w:rPr>
                <w:sz w:val="18"/>
                <w:szCs w:val="18"/>
                <w:lang w:val="en-US"/>
              </w:rPr>
              <w:t>5</w:t>
            </w:r>
          </w:p>
        </w:tc>
        <w:tc>
          <w:tcPr>
            <w:tcW w:w="1350" w:type="dxa"/>
            <w:tcBorders>
              <w:top w:val="nil"/>
              <w:left w:val="single" w:sz="4" w:space="0" w:color="800000"/>
              <w:bottom w:val="nil"/>
              <w:right w:val="single" w:sz="4" w:space="0" w:color="800000"/>
            </w:tcBorders>
            <w:shd w:val="clear" w:color="000000" w:fill="FFFFCC"/>
            <w:noWrap/>
            <w:vAlign w:val="bottom"/>
          </w:tcPr>
          <w:p w14:paraId="2680C4DA" w14:textId="467EE632" w:rsidR="00EF664F" w:rsidRPr="00D61418" w:rsidRDefault="00EF664F" w:rsidP="00EF664F">
            <w:pPr>
              <w:jc w:val="right"/>
              <w:rPr>
                <w:color w:val="000000" w:themeColor="text1"/>
                <w:sz w:val="18"/>
                <w:szCs w:val="18"/>
              </w:rPr>
            </w:pPr>
            <w:r>
              <w:rPr>
                <w:sz w:val="20"/>
                <w:szCs w:val="20"/>
              </w:rPr>
              <w:t>95,6%</w:t>
            </w:r>
          </w:p>
        </w:tc>
      </w:tr>
      <w:tr w:rsidR="00EF664F" w:rsidRPr="00D61418" w14:paraId="56C89049" w14:textId="77777777" w:rsidTr="00D337DB">
        <w:trPr>
          <w:trHeight w:val="144"/>
        </w:trPr>
        <w:tc>
          <w:tcPr>
            <w:tcW w:w="3415" w:type="dxa"/>
            <w:tcBorders>
              <w:top w:val="nil"/>
              <w:left w:val="double" w:sz="6" w:space="0" w:color="800000"/>
              <w:bottom w:val="nil"/>
              <w:right w:val="single" w:sz="8" w:space="0" w:color="800000"/>
            </w:tcBorders>
            <w:shd w:val="clear" w:color="auto" w:fill="FFFFCC"/>
            <w:noWrap/>
            <w:vAlign w:val="bottom"/>
          </w:tcPr>
          <w:p w14:paraId="3F973452" w14:textId="77777777" w:rsidR="00EF664F" w:rsidRPr="00D61418" w:rsidRDefault="00EF664F" w:rsidP="00EF664F">
            <w:pPr>
              <w:rPr>
                <w:color w:val="000000" w:themeColor="text1"/>
                <w:sz w:val="20"/>
                <w:szCs w:val="20"/>
              </w:rPr>
            </w:pPr>
            <w:r w:rsidRPr="00D61418">
              <w:rPr>
                <w:color w:val="000000" w:themeColor="text1"/>
                <w:sz w:val="20"/>
                <w:szCs w:val="20"/>
              </w:rPr>
              <w:t xml:space="preserve">       Текущи нелихвени</w:t>
            </w:r>
          </w:p>
        </w:tc>
        <w:tc>
          <w:tcPr>
            <w:tcW w:w="839" w:type="dxa"/>
            <w:tcBorders>
              <w:top w:val="nil"/>
              <w:left w:val="nil"/>
              <w:bottom w:val="nil"/>
              <w:right w:val="single" w:sz="4" w:space="0" w:color="800000"/>
            </w:tcBorders>
            <w:shd w:val="clear" w:color="000000" w:fill="FFFFCC"/>
            <w:noWrap/>
            <w:vAlign w:val="bottom"/>
          </w:tcPr>
          <w:p w14:paraId="26BEF439" w14:textId="77777777" w:rsidR="00EF664F" w:rsidRPr="00D61418" w:rsidRDefault="00EF664F" w:rsidP="00EF664F">
            <w:pPr>
              <w:jc w:val="right"/>
              <w:rPr>
                <w:color w:val="000000" w:themeColor="text1"/>
                <w:sz w:val="18"/>
                <w:szCs w:val="18"/>
                <w:lang w:val="en-US"/>
              </w:rPr>
            </w:pPr>
            <w:r w:rsidRPr="00D61418">
              <w:rPr>
                <w:color w:val="000000" w:themeColor="text1"/>
                <w:sz w:val="18"/>
                <w:szCs w:val="18"/>
              </w:rPr>
              <w:t>50 02</w:t>
            </w:r>
            <w:r w:rsidRPr="00D61418">
              <w:rPr>
                <w:color w:val="000000" w:themeColor="text1"/>
                <w:sz w:val="18"/>
                <w:szCs w:val="18"/>
                <w:lang w:val="en-US"/>
              </w:rPr>
              <w:t>5</w:t>
            </w:r>
            <w:r w:rsidRPr="00D61418">
              <w:rPr>
                <w:color w:val="000000" w:themeColor="text1"/>
                <w:sz w:val="18"/>
                <w:szCs w:val="18"/>
              </w:rPr>
              <w:t>,</w:t>
            </w:r>
            <w:r w:rsidRPr="00D61418">
              <w:rPr>
                <w:color w:val="000000" w:themeColor="text1"/>
                <w:sz w:val="18"/>
                <w:szCs w:val="18"/>
                <w:lang w:val="en-US"/>
              </w:rPr>
              <w:t>5</w:t>
            </w:r>
          </w:p>
        </w:tc>
        <w:tc>
          <w:tcPr>
            <w:tcW w:w="1205" w:type="dxa"/>
            <w:tcBorders>
              <w:top w:val="nil"/>
              <w:left w:val="double" w:sz="6" w:space="0" w:color="800000"/>
              <w:bottom w:val="nil"/>
              <w:right w:val="single" w:sz="8" w:space="0" w:color="800000"/>
            </w:tcBorders>
            <w:shd w:val="clear" w:color="000000" w:fill="FFFFCC"/>
            <w:noWrap/>
            <w:vAlign w:val="bottom"/>
          </w:tcPr>
          <w:p w14:paraId="06ABFEA9" w14:textId="77777777" w:rsidR="00EF664F" w:rsidRPr="0069296B" w:rsidRDefault="00EF664F" w:rsidP="00EF664F">
            <w:pPr>
              <w:jc w:val="right"/>
              <w:rPr>
                <w:color w:val="000000" w:themeColor="text1"/>
                <w:sz w:val="18"/>
                <w:szCs w:val="18"/>
                <w:lang w:val="en-US"/>
              </w:rPr>
            </w:pPr>
            <w:r>
              <w:rPr>
                <w:color w:val="000000" w:themeColor="text1"/>
                <w:sz w:val="18"/>
                <w:szCs w:val="18"/>
                <w:lang w:val="en-US"/>
              </w:rPr>
              <w:t>54</w:t>
            </w:r>
            <w:r w:rsidRPr="00D61418">
              <w:rPr>
                <w:color w:val="000000" w:themeColor="text1"/>
                <w:sz w:val="18"/>
                <w:szCs w:val="18"/>
              </w:rPr>
              <w:t> </w:t>
            </w:r>
            <w:r>
              <w:rPr>
                <w:color w:val="000000" w:themeColor="text1"/>
                <w:sz w:val="18"/>
                <w:szCs w:val="18"/>
                <w:lang w:val="en-US"/>
              </w:rPr>
              <w:t>915</w:t>
            </w:r>
            <w:r w:rsidRPr="00D61418">
              <w:rPr>
                <w:color w:val="000000" w:themeColor="text1"/>
                <w:sz w:val="18"/>
                <w:szCs w:val="18"/>
              </w:rPr>
              <w:t>,</w:t>
            </w:r>
            <w:r>
              <w:rPr>
                <w:color w:val="000000" w:themeColor="text1"/>
                <w:sz w:val="18"/>
                <w:szCs w:val="18"/>
                <w:lang w:val="en-US"/>
              </w:rPr>
              <w:t>6</w:t>
            </w:r>
          </w:p>
        </w:tc>
        <w:tc>
          <w:tcPr>
            <w:tcW w:w="1018" w:type="dxa"/>
            <w:tcBorders>
              <w:top w:val="nil"/>
              <w:left w:val="nil"/>
              <w:bottom w:val="nil"/>
              <w:right w:val="single" w:sz="4" w:space="0" w:color="800000"/>
            </w:tcBorders>
            <w:shd w:val="clear" w:color="000000" w:fill="FFFFCC"/>
            <w:noWrap/>
            <w:vAlign w:val="bottom"/>
          </w:tcPr>
          <w:p w14:paraId="0F55459B" w14:textId="77777777" w:rsidR="00EF664F" w:rsidRPr="006F7B13" w:rsidRDefault="00EF664F" w:rsidP="00EF664F">
            <w:pPr>
              <w:jc w:val="right"/>
              <w:rPr>
                <w:color w:val="000000" w:themeColor="text1"/>
                <w:sz w:val="18"/>
                <w:szCs w:val="18"/>
                <w:lang w:val="en-US"/>
              </w:rPr>
            </w:pPr>
            <w:r w:rsidRPr="00D61418">
              <w:rPr>
                <w:color w:val="000000" w:themeColor="text1"/>
                <w:sz w:val="18"/>
                <w:szCs w:val="18"/>
              </w:rPr>
              <w:t>5</w:t>
            </w:r>
            <w:r>
              <w:rPr>
                <w:color w:val="000000" w:themeColor="text1"/>
                <w:sz w:val="18"/>
                <w:szCs w:val="18"/>
                <w:lang w:val="en-US"/>
              </w:rPr>
              <w:t>8</w:t>
            </w:r>
            <w:r w:rsidRPr="00D61418">
              <w:rPr>
                <w:color w:val="000000" w:themeColor="text1"/>
                <w:sz w:val="18"/>
                <w:szCs w:val="18"/>
              </w:rPr>
              <w:t> 0</w:t>
            </w:r>
            <w:r>
              <w:rPr>
                <w:color w:val="000000" w:themeColor="text1"/>
                <w:sz w:val="18"/>
                <w:szCs w:val="18"/>
                <w:lang w:val="en-US"/>
              </w:rPr>
              <w:t>02</w:t>
            </w:r>
            <w:r w:rsidRPr="00D61418">
              <w:rPr>
                <w:color w:val="000000" w:themeColor="text1"/>
                <w:sz w:val="18"/>
                <w:szCs w:val="18"/>
              </w:rPr>
              <w:t>,</w:t>
            </w:r>
            <w:r>
              <w:rPr>
                <w:color w:val="000000" w:themeColor="text1"/>
                <w:sz w:val="18"/>
                <w:szCs w:val="18"/>
              </w:rPr>
              <w:t>2</w:t>
            </w:r>
          </w:p>
        </w:tc>
        <w:tc>
          <w:tcPr>
            <w:tcW w:w="1440" w:type="dxa"/>
            <w:tcBorders>
              <w:top w:val="nil"/>
              <w:left w:val="nil"/>
              <w:bottom w:val="nil"/>
              <w:right w:val="single" w:sz="4" w:space="0" w:color="800000"/>
            </w:tcBorders>
            <w:shd w:val="clear" w:color="000000" w:fill="FFFFCC"/>
            <w:noWrap/>
            <w:vAlign w:val="bottom"/>
          </w:tcPr>
          <w:p w14:paraId="555C053A" w14:textId="397617CC" w:rsidR="00EF664F" w:rsidRPr="00D61418" w:rsidRDefault="00EF664F" w:rsidP="00EF664F">
            <w:pPr>
              <w:jc w:val="right"/>
              <w:rPr>
                <w:color w:val="000000" w:themeColor="text1"/>
                <w:sz w:val="18"/>
                <w:szCs w:val="18"/>
              </w:rPr>
            </w:pPr>
            <w:r>
              <w:rPr>
                <w:sz w:val="18"/>
                <w:szCs w:val="18"/>
              </w:rPr>
              <w:t>54 820,5</w:t>
            </w:r>
          </w:p>
        </w:tc>
        <w:tc>
          <w:tcPr>
            <w:tcW w:w="1350" w:type="dxa"/>
            <w:tcBorders>
              <w:top w:val="nil"/>
              <w:left w:val="single" w:sz="4" w:space="0" w:color="800000"/>
              <w:bottom w:val="nil"/>
              <w:right w:val="single" w:sz="4" w:space="0" w:color="800000"/>
            </w:tcBorders>
            <w:shd w:val="clear" w:color="000000" w:fill="FFFFCC"/>
            <w:noWrap/>
            <w:vAlign w:val="bottom"/>
          </w:tcPr>
          <w:p w14:paraId="46416B92" w14:textId="1C2D8C4D" w:rsidR="00EF664F" w:rsidRPr="00D61418" w:rsidRDefault="00EF664F" w:rsidP="00EF664F">
            <w:pPr>
              <w:jc w:val="right"/>
              <w:rPr>
                <w:color w:val="000000" w:themeColor="text1"/>
                <w:sz w:val="18"/>
                <w:szCs w:val="18"/>
              </w:rPr>
            </w:pPr>
            <w:r>
              <w:rPr>
                <w:sz w:val="20"/>
                <w:szCs w:val="20"/>
              </w:rPr>
              <w:t>99,8%</w:t>
            </w:r>
          </w:p>
        </w:tc>
      </w:tr>
      <w:tr w:rsidR="00EF664F" w:rsidRPr="00D61418" w14:paraId="3FD12F99" w14:textId="77777777" w:rsidTr="00D337DB">
        <w:trPr>
          <w:trHeight w:val="87"/>
        </w:trPr>
        <w:tc>
          <w:tcPr>
            <w:tcW w:w="3415" w:type="dxa"/>
            <w:tcBorders>
              <w:top w:val="nil"/>
              <w:left w:val="double" w:sz="6" w:space="0" w:color="800000"/>
              <w:bottom w:val="nil"/>
              <w:right w:val="single" w:sz="8" w:space="0" w:color="800000"/>
            </w:tcBorders>
            <w:shd w:val="clear" w:color="auto" w:fill="FFFFCC"/>
            <w:noWrap/>
            <w:vAlign w:val="bottom"/>
          </w:tcPr>
          <w:p w14:paraId="67542EF6" w14:textId="77777777" w:rsidR="00EF664F" w:rsidRPr="00D61418" w:rsidRDefault="00EF664F" w:rsidP="00EF664F">
            <w:pPr>
              <w:ind w:left="470" w:hanging="470"/>
              <w:rPr>
                <w:color w:val="000000" w:themeColor="text1"/>
                <w:sz w:val="20"/>
                <w:szCs w:val="20"/>
              </w:rPr>
            </w:pPr>
            <w:r w:rsidRPr="00D61418">
              <w:rPr>
                <w:color w:val="000000" w:themeColor="text1"/>
                <w:sz w:val="20"/>
                <w:szCs w:val="20"/>
              </w:rPr>
              <w:t xml:space="preserve">          в т.ч. социални и здравно- осигурителни плащания</w:t>
            </w:r>
          </w:p>
        </w:tc>
        <w:tc>
          <w:tcPr>
            <w:tcW w:w="839" w:type="dxa"/>
            <w:tcBorders>
              <w:top w:val="nil"/>
              <w:left w:val="nil"/>
              <w:bottom w:val="nil"/>
              <w:right w:val="single" w:sz="4" w:space="0" w:color="800000"/>
            </w:tcBorders>
            <w:shd w:val="clear" w:color="000000" w:fill="FFFFCC"/>
            <w:noWrap/>
            <w:vAlign w:val="bottom"/>
          </w:tcPr>
          <w:p w14:paraId="239A8988" w14:textId="77777777" w:rsidR="00EF664F" w:rsidRPr="00D61418" w:rsidRDefault="00EF664F" w:rsidP="00EF664F">
            <w:pPr>
              <w:jc w:val="right"/>
              <w:rPr>
                <w:color w:val="000000" w:themeColor="text1"/>
                <w:sz w:val="18"/>
                <w:szCs w:val="18"/>
              </w:rPr>
            </w:pPr>
            <w:r w:rsidRPr="00D61418">
              <w:rPr>
                <w:color w:val="000000" w:themeColor="text1"/>
                <w:sz w:val="18"/>
                <w:szCs w:val="18"/>
              </w:rPr>
              <w:t>23 267,4</w:t>
            </w:r>
          </w:p>
        </w:tc>
        <w:tc>
          <w:tcPr>
            <w:tcW w:w="1205" w:type="dxa"/>
            <w:tcBorders>
              <w:top w:val="nil"/>
              <w:left w:val="double" w:sz="6" w:space="0" w:color="800000"/>
              <w:bottom w:val="nil"/>
              <w:right w:val="single" w:sz="8" w:space="0" w:color="800000"/>
            </w:tcBorders>
            <w:shd w:val="clear" w:color="000000" w:fill="FFFFCC"/>
            <w:noWrap/>
            <w:vAlign w:val="bottom"/>
          </w:tcPr>
          <w:p w14:paraId="7A9AEB0A" w14:textId="77777777" w:rsidR="00EF664F" w:rsidRPr="0069296B" w:rsidRDefault="00EF664F" w:rsidP="00EF664F">
            <w:pPr>
              <w:jc w:val="right"/>
              <w:rPr>
                <w:color w:val="000000" w:themeColor="text1"/>
                <w:sz w:val="18"/>
                <w:szCs w:val="18"/>
                <w:lang w:val="en-US"/>
              </w:rPr>
            </w:pPr>
            <w:r w:rsidRPr="00D61418">
              <w:rPr>
                <w:color w:val="000000" w:themeColor="text1"/>
                <w:sz w:val="18"/>
                <w:szCs w:val="18"/>
              </w:rPr>
              <w:t>2</w:t>
            </w:r>
            <w:r>
              <w:rPr>
                <w:color w:val="000000" w:themeColor="text1"/>
                <w:sz w:val="18"/>
                <w:szCs w:val="18"/>
                <w:lang w:val="en-US"/>
              </w:rPr>
              <w:t>6</w:t>
            </w:r>
            <w:r w:rsidRPr="00D61418">
              <w:rPr>
                <w:color w:val="000000" w:themeColor="text1"/>
                <w:sz w:val="18"/>
                <w:szCs w:val="18"/>
              </w:rPr>
              <w:t> </w:t>
            </w:r>
            <w:r>
              <w:rPr>
                <w:color w:val="000000" w:themeColor="text1"/>
                <w:sz w:val="18"/>
                <w:szCs w:val="18"/>
                <w:lang w:val="en-US"/>
              </w:rPr>
              <w:t>104</w:t>
            </w:r>
            <w:r w:rsidRPr="00D61418">
              <w:rPr>
                <w:color w:val="000000" w:themeColor="text1"/>
                <w:sz w:val="18"/>
                <w:szCs w:val="18"/>
              </w:rPr>
              <w:t>,</w:t>
            </w:r>
            <w:r>
              <w:rPr>
                <w:color w:val="000000" w:themeColor="text1"/>
                <w:sz w:val="18"/>
                <w:szCs w:val="18"/>
                <w:lang w:val="en-US"/>
              </w:rPr>
              <w:t>6</w:t>
            </w:r>
          </w:p>
        </w:tc>
        <w:tc>
          <w:tcPr>
            <w:tcW w:w="1018" w:type="dxa"/>
            <w:tcBorders>
              <w:top w:val="nil"/>
              <w:left w:val="nil"/>
              <w:bottom w:val="nil"/>
              <w:right w:val="single" w:sz="4" w:space="0" w:color="800000"/>
            </w:tcBorders>
            <w:shd w:val="clear" w:color="000000" w:fill="FFFFCC"/>
            <w:noWrap/>
            <w:vAlign w:val="bottom"/>
          </w:tcPr>
          <w:p w14:paraId="2437C729" w14:textId="77777777" w:rsidR="00EF664F" w:rsidRPr="006F7B13" w:rsidRDefault="00EF664F" w:rsidP="00EF664F">
            <w:pPr>
              <w:jc w:val="right"/>
              <w:rPr>
                <w:color w:val="000000" w:themeColor="text1"/>
                <w:sz w:val="18"/>
                <w:szCs w:val="18"/>
                <w:lang w:val="en-US"/>
              </w:rPr>
            </w:pPr>
            <w:r w:rsidRPr="00D61418">
              <w:rPr>
                <w:color w:val="000000" w:themeColor="text1"/>
                <w:sz w:val="18"/>
                <w:szCs w:val="18"/>
              </w:rPr>
              <w:t>2</w:t>
            </w:r>
            <w:r>
              <w:rPr>
                <w:color w:val="000000" w:themeColor="text1"/>
                <w:sz w:val="18"/>
                <w:szCs w:val="18"/>
                <w:lang w:val="en-US"/>
              </w:rPr>
              <w:t>5</w:t>
            </w:r>
            <w:r w:rsidRPr="00D61418">
              <w:rPr>
                <w:color w:val="000000" w:themeColor="text1"/>
                <w:sz w:val="18"/>
                <w:szCs w:val="18"/>
              </w:rPr>
              <w:t> </w:t>
            </w:r>
            <w:r>
              <w:rPr>
                <w:color w:val="000000" w:themeColor="text1"/>
                <w:sz w:val="18"/>
                <w:szCs w:val="18"/>
                <w:lang w:val="en-US"/>
              </w:rPr>
              <w:t>651</w:t>
            </w:r>
            <w:r w:rsidRPr="00D61418">
              <w:rPr>
                <w:color w:val="000000" w:themeColor="text1"/>
                <w:sz w:val="18"/>
                <w:szCs w:val="18"/>
              </w:rPr>
              <w:t>,</w:t>
            </w:r>
            <w:r>
              <w:rPr>
                <w:color w:val="000000" w:themeColor="text1"/>
                <w:sz w:val="18"/>
                <w:szCs w:val="18"/>
                <w:lang w:val="en-US"/>
              </w:rPr>
              <w:t>8</w:t>
            </w:r>
          </w:p>
        </w:tc>
        <w:tc>
          <w:tcPr>
            <w:tcW w:w="1440" w:type="dxa"/>
            <w:tcBorders>
              <w:top w:val="nil"/>
              <w:left w:val="nil"/>
              <w:bottom w:val="nil"/>
              <w:right w:val="single" w:sz="4" w:space="0" w:color="800000"/>
            </w:tcBorders>
            <w:shd w:val="clear" w:color="000000" w:fill="FFFFCC"/>
            <w:noWrap/>
            <w:vAlign w:val="bottom"/>
          </w:tcPr>
          <w:p w14:paraId="0AE0325C" w14:textId="62DF5AB0" w:rsidR="00EF664F" w:rsidRPr="00D61418" w:rsidRDefault="00EF664F" w:rsidP="00EF664F">
            <w:pPr>
              <w:jc w:val="right"/>
              <w:rPr>
                <w:color w:val="000000" w:themeColor="text1"/>
                <w:sz w:val="18"/>
                <w:szCs w:val="18"/>
              </w:rPr>
            </w:pPr>
            <w:r>
              <w:rPr>
                <w:sz w:val="18"/>
                <w:szCs w:val="18"/>
              </w:rPr>
              <w:t>25 651,8</w:t>
            </w:r>
          </w:p>
        </w:tc>
        <w:tc>
          <w:tcPr>
            <w:tcW w:w="1350" w:type="dxa"/>
            <w:tcBorders>
              <w:top w:val="nil"/>
              <w:left w:val="single" w:sz="4" w:space="0" w:color="800000"/>
              <w:bottom w:val="nil"/>
              <w:right w:val="single" w:sz="4" w:space="0" w:color="800000"/>
            </w:tcBorders>
            <w:shd w:val="clear" w:color="000000" w:fill="FFFFCC"/>
            <w:noWrap/>
            <w:vAlign w:val="bottom"/>
          </w:tcPr>
          <w:p w14:paraId="55F8AB51" w14:textId="439CD9F8" w:rsidR="00EF664F" w:rsidRPr="00D61418" w:rsidRDefault="00EF664F" w:rsidP="00EF664F">
            <w:pPr>
              <w:jc w:val="right"/>
              <w:rPr>
                <w:color w:val="000000" w:themeColor="text1"/>
                <w:sz w:val="18"/>
                <w:szCs w:val="18"/>
              </w:rPr>
            </w:pPr>
            <w:r>
              <w:rPr>
                <w:sz w:val="20"/>
                <w:szCs w:val="20"/>
              </w:rPr>
              <w:t>98,3%</w:t>
            </w:r>
          </w:p>
        </w:tc>
      </w:tr>
      <w:tr w:rsidR="00EF664F" w:rsidRPr="00D61418" w14:paraId="499CC138" w14:textId="77777777" w:rsidTr="00D337DB">
        <w:trPr>
          <w:trHeight w:val="87"/>
        </w:trPr>
        <w:tc>
          <w:tcPr>
            <w:tcW w:w="3415" w:type="dxa"/>
            <w:tcBorders>
              <w:top w:val="nil"/>
              <w:left w:val="double" w:sz="6" w:space="0" w:color="800000"/>
              <w:bottom w:val="nil"/>
              <w:right w:val="single" w:sz="8" w:space="0" w:color="800000"/>
            </w:tcBorders>
            <w:shd w:val="clear" w:color="auto" w:fill="FFFFCC"/>
            <w:noWrap/>
            <w:vAlign w:val="bottom"/>
          </w:tcPr>
          <w:p w14:paraId="571BCD02" w14:textId="77777777" w:rsidR="00EF664F" w:rsidRPr="00D61418" w:rsidRDefault="00EF664F" w:rsidP="00EF664F">
            <w:pPr>
              <w:rPr>
                <w:color w:val="000000" w:themeColor="text1"/>
                <w:sz w:val="20"/>
                <w:szCs w:val="20"/>
              </w:rPr>
            </w:pPr>
            <w:r w:rsidRPr="00D61418">
              <w:rPr>
                <w:color w:val="000000" w:themeColor="text1"/>
                <w:sz w:val="20"/>
                <w:szCs w:val="20"/>
              </w:rPr>
              <w:t xml:space="preserve">       Капиталови разходи</w:t>
            </w:r>
          </w:p>
        </w:tc>
        <w:tc>
          <w:tcPr>
            <w:tcW w:w="839" w:type="dxa"/>
            <w:tcBorders>
              <w:top w:val="nil"/>
              <w:left w:val="nil"/>
              <w:bottom w:val="nil"/>
              <w:right w:val="single" w:sz="4" w:space="0" w:color="800000"/>
            </w:tcBorders>
            <w:shd w:val="clear" w:color="000000" w:fill="FFFFCC"/>
            <w:noWrap/>
            <w:vAlign w:val="bottom"/>
          </w:tcPr>
          <w:p w14:paraId="6094AA0E" w14:textId="77777777" w:rsidR="00EF664F" w:rsidRPr="00D61418" w:rsidRDefault="00EF664F" w:rsidP="00EF664F">
            <w:pPr>
              <w:jc w:val="right"/>
              <w:rPr>
                <w:color w:val="000000" w:themeColor="text1"/>
                <w:sz w:val="18"/>
                <w:szCs w:val="18"/>
              </w:rPr>
            </w:pPr>
            <w:r w:rsidRPr="00D61418">
              <w:rPr>
                <w:color w:val="000000" w:themeColor="text1"/>
                <w:sz w:val="18"/>
                <w:szCs w:val="18"/>
              </w:rPr>
              <w:t>3 87</w:t>
            </w:r>
            <w:r w:rsidRPr="00D61418">
              <w:rPr>
                <w:color w:val="000000" w:themeColor="text1"/>
                <w:sz w:val="18"/>
                <w:szCs w:val="18"/>
                <w:lang w:val="en-US"/>
              </w:rPr>
              <w:t>1</w:t>
            </w:r>
            <w:r w:rsidRPr="00D61418">
              <w:rPr>
                <w:color w:val="000000" w:themeColor="text1"/>
                <w:sz w:val="18"/>
                <w:szCs w:val="18"/>
              </w:rPr>
              <w:t>,</w:t>
            </w:r>
            <w:r w:rsidRPr="00D61418">
              <w:rPr>
                <w:color w:val="000000" w:themeColor="text1"/>
                <w:sz w:val="18"/>
                <w:szCs w:val="18"/>
                <w:lang w:val="en-US"/>
              </w:rPr>
              <w:t>5</w:t>
            </w:r>
          </w:p>
        </w:tc>
        <w:tc>
          <w:tcPr>
            <w:tcW w:w="1205" w:type="dxa"/>
            <w:tcBorders>
              <w:top w:val="nil"/>
              <w:left w:val="double" w:sz="6" w:space="0" w:color="800000"/>
              <w:bottom w:val="nil"/>
              <w:right w:val="single" w:sz="8" w:space="0" w:color="800000"/>
            </w:tcBorders>
            <w:shd w:val="clear" w:color="000000" w:fill="FFFFCC"/>
            <w:noWrap/>
            <w:vAlign w:val="bottom"/>
          </w:tcPr>
          <w:p w14:paraId="424CBD3E" w14:textId="77777777" w:rsidR="00EF664F" w:rsidRPr="0069296B" w:rsidRDefault="00EF664F" w:rsidP="00EF664F">
            <w:pPr>
              <w:jc w:val="right"/>
              <w:rPr>
                <w:color w:val="000000" w:themeColor="text1"/>
                <w:sz w:val="18"/>
                <w:szCs w:val="18"/>
                <w:lang w:val="en-US"/>
              </w:rPr>
            </w:pPr>
            <w:r>
              <w:rPr>
                <w:color w:val="000000" w:themeColor="text1"/>
                <w:sz w:val="18"/>
                <w:szCs w:val="18"/>
                <w:lang w:val="en-US"/>
              </w:rPr>
              <w:t>8</w:t>
            </w:r>
            <w:r w:rsidRPr="00D61418">
              <w:rPr>
                <w:color w:val="000000" w:themeColor="text1"/>
                <w:sz w:val="18"/>
                <w:szCs w:val="18"/>
              </w:rPr>
              <w:t> </w:t>
            </w:r>
            <w:r>
              <w:rPr>
                <w:color w:val="000000" w:themeColor="text1"/>
                <w:sz w:val="18"/>
                <w:szCs w:val="18"/>
                <w:lang w:val="en-US"/>
              </w:rPr>
              <w:t>448</w:t>
            </w:r>
            <w:r w:rsidRPr="00D61418">
              <w:rPr>
                <w:color w:val="000000" w:themeColor="text1"/>
                <w:sz w:val="18"/>
                <w:szCs w:val="18"/>
              </w:rPr>
              <w:t>,</w:t>
            </w:r>
            <w:r>
              <w:rPr>
                <w:color w:val="000000" w:themeColor="text1"/>
                <w:sz w:val="18"/>
                <w:szCs w:val="18"/>
                <w:lang w:val="en-US"/>
              </w:rPr>
              <w:t>1</w:t>
            </w:r>
          </w:p>
        </w:tc>
        <w:tc>
          <w:tcPr>
            <w:tcW w:w="1018" w:type="dxa"/>
            <w:tcBorders>
              <w:top w:val="nil"/>
              <w:left w:val="nil"/>
              <w:bottom w:val="nil"/>
              <w:right w:val="single" w:sz="4" w:space="0" w:color="800000"/>
            </w:tcBorders>
            <w:shd w:val="clear" w:color="000000" w:fill="FFFFCC"/>
            <w:noWrap/>
            <w:vAlign w:val="bottom"/>
          </w:tcPr>
          <w:p w14:paraId="1504CB6B" w14:textId="06844B2C" w:rsidR="00EF664F" w:rsidRPr="006F7B13" w:rsidRDefault="00EF664F" w:rsidP="00014EDC">
            <w:pPr>
              <w:jc w:val="right"/>
              <w:rPr>
                <w:color w:val="000000" w:themeColor="text1"/>
                <w:sz w:val="18"/>
                <w:szCs w:val="18"/>
                <w:lang w:val="en-US"/>
              </w:rPr>
            </w:pPr>
            <w:r>
              <w:rPr>
                <w:color w:val="000000" w:themeColor="text1"/>
                <w:sz w:val="18"/>
                <w:szCs w:val="18"/>
                <w:lang w:val="en-US"/>
              </w:rPr>
              <w:t>5</w:t>
            </w:r>
            <w:r w:rsidRPr="00D61418">
              <w:rPr>
                <w:color w:val="000000" w:themeColor="text1"/>
                <w:sz w:val="18"/>
                <w:szCs w:val="18"/>
              </w:rPr>
              <w:t> </w:t>
            </w:r>
            <w:r>
              <w:rPr>
                <w:color w:val="000000" w:themeColor="text1"/>
                <w:sz w:val="18"/>
                <w:szCs w:val="18"/>
                <w:lang w:val="en-US"/>
              </w:rPr>
              <w:t>706</w:t>
            </w:r>
            <w:r w:rsidRPr="00D61418">
              <w:rPr>
                <w:color w:val="000000" w:themeColor="text1"/>
                <w:sz w:val="18"/>
                <w:szCs w:val="18"/>
              </w:rPr>
              <w:t>,</w:t>
            </w:r>
            <w:r w:rsidR="00014EDC">
              <w:rPr>
                <w:color w:val="000000" w:themeColor="text1"/>
                <w:sz w:val="18"/>
                <w:szCs w:val="18"/>
                <w:lang w:val="en-US"/>
              </w:rPr>
              <w:t>6</w:t>
            </w:r>
          </w:p>
        </w:tc>
        <w:tc>
          <w:tcPr>
            <w:tcW w:w="1440" w:type="dxa"/>
            <w:tcBorders>
              <w:top w:val="nil"/>
              <w:left w:val="nil"/>
              <w:bottom w:val="nil"/>
              <w:right w:val="single" w:sz="4" w:space="0" w:color="800000"/>
            </w:tcBorders>
            <w:shd w:val="clear" w:color="000000" w:fill="FFFFCC"/>
            <w:noWrap/>
            <w:vAlign w:val="bottom"/>
          </w:tcPr>
          <w:p w14:paraId="73FC7DD1" w14:textId="0683A952" w:rsidR="00EF664F" w:rsidRPr="00D61418" w:rsidRDefault="00EF664F" w:rsidP="00014EDC">
            <w:pPr>
              <w:jc w:val="right"/>
              <w:rPr>
                <w:color w:val="000000" w:themeColor="text1"/>
                <w:sz w:val="18"/>
                <w:szCs w:val="18"/>
              </w:rPr>
            </w:pPr>
            <w:r>
              <w:rPr>
                <w:sz w:val="18"/>
                <w:szCs w:val="18"/>
              </w:rPr>
              <w:t>5 706,</w:t>
            </w:r>
            <w:r w:rsidR="00014EDC">
              <w:rPr>
                <w:sz w:val="18"/>
                <w:szCs w:val="18"/>
                <w:lang w:val="en-US"/>
              </w:rPr>
              <w:t>6</w:t>
            </w:r>
          </w:p>
        </w:tc>
        <w:tc>
          <w:tcPr>
            <w:tcW w:w="1350" w:type="dxa"/>
            <w:tcBorders>
              <w:top w:val="nil"/>
              <w:left w:val="single" w:sz="4" w:space="0" w:color="800000"/>
              <w:bottom w:val="nil"/>
              <w:right w:val="single" w:sz="4" w:space="0" w:color="800000"/>
            </w:tcBorders>
            <w:shd w:val="clear" w:color="000000" w:fill="FFFFCC"/>
            <w:noWrap/>
            <w:vAlign w:val="bottom"/>
          </w:tcPr>
          <w:p w14:paraId="3873B2BD" w14:textId="740BDEC6" w:rsidR="00EF664F" w:rsidRPr="00D61418" w:rsidRDefault="00EF664F" w:rsidP="00014EDC">
            <w:pPr>
              <w:jc w:val="right"/>
              <w:rPr>
                <w:color w:val="000000" w:themeColor="text1"/>
                <w:sz w:val="18"/>
                <w:szCs w:val="18"/>
              </w:rPr>
            </w:pPr>
            <w:r>
              <w:rPr>
                <w:sz w:val="20"/>
                <w:szCs w:val="20"/>
              </w:rPr>
              <w:t>67,</w:t>
            </w:r>
            <w:r w:rsidR="00014EDC">
              <w:rPr>
                <w:sz w:val="20"/>
                <w:szCs w:val="20"/>
                <w:lang w:val="en-US"/>
              </w:rPr>
              <w:t>5</w:t>
            </w:r>
            <w:r>
              <w:rPr>
                <w:sz w:val="20"/>
                <w:szCs w:val="20"/>
              </w:rPr>
              <w:t>%</w:t>
            </w:r>
          </w:p>
        </w:tc>
      </w:tr>
      <w:tr w:rsidR="00EF664F" w:rsidRPr="00D61418" w14:paraId="32E1D9A3" w14:textId="77777777" w:rsidTr="00D337DB">
        <w:trPr>
          <w:trHeight w:val="87"/>
        </w:trPr>
        <w:tc>
          <w:tcPr>
            <w:tcW w:w="3415" w:type="dxa"/>
            <w:tcBorders>
              <w:top w:val="nil"/>
              <w:left w:val="double" w:sz="6" w:space="0" w:color="800000"/>
              <w:bottom w:val="nil"/>
              <w:right w:val="single" w:sz="8" w:space="0" w:color="800000"/>
            </w:tcBorders>
            <w:shd w:val="clear" w:color="auto" w:fill="FFFFCC"/>
            <w:noWrap/>
            <w:vAlign w:val="bottom"/>
          </w:tcPr>
          <w:p w14:paraId="1DAD62E7" w14:textId="77777777" w:rsidR="00EF664F" w:rsidRPr="00D61418" w:rsidRDefault="00EF664F" w:rsidP="00EF664F">
            <w:pPr>
              <w:ind w:left="356" w:hanging="356"/>
              <w:rPr>
                <w:color w:val="000000" w:themeColor="text1"/>
                <w:sz w:val="20"/>
                <w:szCs w:val="20"/>
              </w:rPr>
            </w:pPr>
            <w:r w:rsidRPr="00D61418">
              <w:rPr>
                <w:color w:val="000000" w:themeColor="text1"/>
                <w:sz w:val="20"/>
                <w:szCs w:val="20"/>
              </w:rPr>
              <w:t xml:space="preserve">       Предоставени текущи и капит. трансфери за чужбина</w:t>
            </w:r>
          </w:p>
        </w:tc>
        <w:tc>
          <w:tcPr>
            <w:tcW w:w="839" w:type="dxa"/>
            <w:tcBorders>
              <w:top w:val="nil"/>
              <w:left w:val="nil"/>
              <w:bottom w:val="nil"/>
              <w:right w:val="single" w:sz="4" w:space="0" w:color="800000"/>
            </w:tcBorders>
            <w:shd w:val="clear" w:color="000000" w:fill="FFFFCC"/>
            <w:noWrap/>
            <w:vAlign w:val="bottom"/>
          </w:tcPr>
          <w:p w14:paraId="1FB7FE6E" w14:textId="77777777" w:rsidR="00EF664F" w:rsidRPr="00D61418" w:rsidRDefault="00EF664F" w:rsidP="00EF664F">
            <w:pPr>
              <w:jc w:val="right"/>
              <w:rPr>
                <w:color w:val="000000" w:themeColor="text1"/>
                <w:sz w:val="18"/>
                <w:szCs w:val="18"/>
              </w:rPr>
            </w:pPr>
            <w:r w:rsidRPr="00D61418">
              <w:rPr>
                <w:color w:val="000000" w:themeColor="text1"/>
                <w:sz w:val="18"/>
                <w:szCs w:val="18"/>
              </w:rPr>
              <w:t>46,</w:t>
            </w:r>
            <w:r w:rsidRPr="00D61418">
              <w:rPr>
                <w:color w:val="000000" w:themeColor="text1"/>
                <w:sz w:val="18"/>
                <w:szCs w:val="18"/>
                <w:lang w:val="en-US"/>
              </w:rPr>
              <w:t>8</w:t>
            </w:r>
          </w:p>
        </w:tc>
        <w:tc>
          <w:tcPr>
            <w:tcW w:w="1205" w:type="dxa"/>
            <w:tcBorders>
              <w:top w:val="nil"/>
              <w:left w:val="double" w:sz="6" w:space="0" w:color="800000"/>
              <w:bottom w:val="nil"/>
              <w:right w:val="single" w:sz="8" w:space="0" w:color="800000"/>
            </w:tcBorders>
            <w:shd w:val="clear" w:color="000000" w:fill="FFFFCC"/>
            <w:noWrap/>
            <w:vAlign w:val="bottom"/>
          </w:tcPr>
          <w:p w14:paraId="70A87283" w14:textId="77777777" w:rsidR="00EF664F" w:rsidRPr="0069296B" w:rsidRDefault="00EF664F" w:rsidP="00EF664F">
            <w:pPr>
              <w:jc w:val="right"/>
              <w:rPr>
                <w:color w:val="000000" w:themeColor="text1"/>
                <w:sz w:val="18"/>
                <w:szCs w:val="18"/>
                <w:lang w:val="en-US"/>
              </w:rPr>
            </w:pPr>
            <w:r w:rsidRPr="00D61418">
              <w:rPr>
                <w:color w:val="000000" w:themeColor="text1"/>
                <w:sz w:val="18"/>
                <w:szCs w:val="18"/>
              </w:rPr>
              <w:t>1</w:t>
            </w:r>
            <w:r>
              <w:rPr>
                <w:color w:val="000000" w:themeColor="text1"/>
                <w:sz w:val="18"/>
                <w:szCs w:val="18"/>
                <w:lang w:val="en-US"/>
              </w:rPr>
              <w:t>9</w:t>
            </w:r>
            <w:r w:rsidRPr="00D61418">
              <w:rPr>
                <w:color w:val="000000" w:themeColor="text1"/>
                <w:sz w:val="18"/>
                <w:szCs w:val="18"/>
              </w:rPr>
              <w:t>,</w:t>
            </w:r>
            <w:r>
              <w:rPr>
                <w:color w:val="000000" w:themeColor="text1"/>
                <w:sz w:val="18"/>
                <w:szCs w:val="18"/>
                <w:lang w:val="en-US"/>
              </w:rPr>
              <w:t>1</w:t>
            </w:r>
          </w:p>
        </w:tc>
        <w:tc>
          <w:tcPr>
            <w:tcW w:w="1018" w:type="dxa"/>
            <w:tcBorders>
              <w:top w:val="nil"/>
              <w:left w:val="nil"/>
              <w:bottom w:val="nil"/>
              <w:right w:val="single" w:sz="4" w:space="0" w:color="800000"/>
            </w:tcBorders>
            <w:shd w:val="clear" w:color="000000" w:fill="FFFFCC"/>
            <w:noWrap/>
            <w:vAlign w:val="bottom"/>
          </w:tcPr>
          <w:p w14:paraId="093E0068" w14:textId="77777777" w:rsidR="00EF664F" w:rsidRPr="006F7B13" w:rsidRDefault="00EF664F" w:rsidP="00EF664F">
            <w:pPr>
              <w:jc w:val="right"/>
              <w:rPr>
                <w:color w:val="000000" w:themeColor="text1"/>
                <w:sz w:val="18"/>
                <w:szCs w:val="18"/>
                <w:lang w:val="en-US"/>
              </w:rPr>
            </w:pPr>
            <w:r w:rsidRPr="00D61418">
              <w:rPr>
                <w:color w:val="000000" w:themeColor="text1"/>
                <w:sz w:val="18"/>
                <w:szCs w:val="18"/>
              </w:rPr>
              <w:t>4</w:t>
            </w:r>
            <w:r>
              <w:rPr>
                <w:color w:val="000000" w:themeColor="text1"/>
                <w:sz w:val="18"/>
                <w:szCs w:val="18"/>
                <w:lang w:val="en-US"/>
              </w:rPr>
              <w:t>7</w:t>
            </w:r>
            <w:r w:rsidRPr="00D61418">
              <w:rPr>
                <w:color w:val="000000" w:themeColor="text1"/>
                <w:sz w:val="18"/>
                <w:szCs w:val="18"/>
              </w:rPr>
              <w:t>,</w:t>
            </w:r>
            <w:r>
              <w:rPr>
                <w:color w:val="000000" w:themeColor="text1"/>
                <w:sz w:val="18"/>
                <w:szCs w:val="18"/>
                <w:lang w:val="en-US"/>
              </w:rPr>
              <w:t>3</w:t>
            </w:r>
          </w:p>
        </w:tc>
        <w:tc>
          <w:tcPr>
            <w:tcW w:w="1440" w:type="dxa"/>
            <w:tcBorders>
              <w:top w:val="nil"/>
              <w:left w:val="nil"/>
              <w:bottom w:val="nil"/>
              <w:right w:val="single" w:sz="4" w:space="0" w:color="800000"/>
            </w:tcBorders>
            <w:shd w:val="clear" w:color="000000" w:fill="FFFFCC"/>
            <w:noWrap/>
            <w:vAlign w:val="bottom"/>
          </w:tcPr>
          <w:p w14:paraId="2AA25027" w14:textId="19CB6B5E" w:rsidR="00EF664F" w:rsidRPr="00D61418" w:rsidRDefault="00EF664F" w:rsidP="00EF664F">
            <w:pPr>
              <w:jc w:val="right"/>
              <w:rPr>
                <w:color w:val="000000" w:themeColor="text1"/>
                <w:sz w:val="18"/>
                <w:szCs w:val="18"/>
              </w:rPr>
            </w:pPr>
            <w:r>
              <w:rPr>
                <w:sz w:val="18"/>
                <w:szCs w:val="18"/>
              </w:rPr>
              <w:t>47,3</w:t>
            </w:r>
          </w:p>
        </w:tc>
        <w:tc>
          <w:tcPr>
            <w:tcW w:w="1350" w:type="dxa"/>
            <w:tcBorders>
              <w:top w:val="nil"/>
              <w:left w:val="single" w:sz="4" w:space="0" w:color="800000"/>
              <w:bottom w:val="nil"/>
              <w:right w:val="single" w:sz="4" w:space="0" w:color="800000"/>
            </w:tcBorders>
            <w:shd w:val="clear" w:color="000000" w:fill="FFFFCC"/>
            <w:noWrap/>
            <w:vAlign w:val="bottom"/>
          </w:tcPr>
          <w:p w14:paraId="2FE9AEC0" w14:textId="3A54A60F" w:rsidR="00EF664F" w:rsidRPr="00D61418" w:rsidRDefault="00EF664F" w:rsidP="00EF664F">
            <w:pPr>
              <w:jc w:val="right"/>
              <w:rPr>
                <w:color w:val="000000" w:themeColor="text1"/>
                <w:sz w:val="18"/>
                <w:szCs w:val="18"/>
              </w:rPr>
            </w:pPr>
            <w:r>
              <w:rPr>
                <w:sz w:val="20"/>
                <w:szCs w:val="20"/>
              </w:rPr>
              <w:t>248,2%</w:t>
            </w:r>
          </w:p>
        </w:tc>
      </w:tr>
      <w:tr w:rsidR="00EF664F" w:rsidRPr="00D61418" w14:paraId="072EC5A5" w14:textId="77777777" w:rsidTr="00D337DB">
        <w:trPr>
          <w:trHeight w:val="80"/>
        </w:trPr>
        <w:tc>
          <w:tcPr>
            <w:tcW w:w="3415" w:type="dxa"/>
            <w:tcBorders>
              <w:top w:val="nil"/>
              <w:left w:val="double" w:sz="6" w:space="0" w:color="800000"/>
              <w:bottom w:val="nil"/>
              <w:right w:val="single" w:sz="8" w:space="0" w:color="800000"/>
            </w:tcBorders>
            <w:shd w:val="clear" w:color="auto" w:fill="FFFFCC"/>
            <w:noWrap/>
            <w:vAlign w:val="bottom"/>
          </w:tcPr>
          <w:p w14:paraId="1D670C8C" w14:textId="77777777" w:rsidR="00EF664F" w:rsidRPr="00D61418" w:rsidRDefault="00EF664F" w:rsidP="00EF664F">
            <w:pPr>
              <w:rPr>
                <w:color w:val="000000" w:themeColor="text1"/>
                <w:sz w:val="20"/>
                <w:szCs w:val="20"/>
              </w:rPr>
            </w:pPr>
            <w:r w:rsidRPr="00D61418">
              <w:rPr>
                <w:color w:val="000000" w:themeColor="text1"/>
                <w:sz w:val="20"/>
                <w:szCs w:val="20"/>
              </w:rPr>
              <w:t xml:space="preserve">   -Лихви</w:t>
            </w:r>
          </w:p>
        </w:tc>
        <w:tc>
          <w:tcPr>
            <w:tcW w:w="839" w:type="dxa"/>
            <w:tcBorders>
              <w:top w:val="nil"/>
              <w:left w:val="nil"/>
              <w:bottom w:val="nil"/>
              <w:right w:val="single" w:sz="4" w:space="0" w:color="800000"/>
            </w:tcBorders>
            <w:shd w:val="clear" w:color="000000" w:fill="FFFFCC"/>
            <w:noWrap/>
            <w:vAlign w:val="bottom"/>
          </w:tcPr>
          <w:p w14:paraId="15591188" w14:textId="77777777" w:rsidR="00EF664F" w:rsidRPr="00D61418" w:rsidRDefault="00EF664F" w:rsidP="00EF664F">
            <w:pPr>
              <w:jc w:val="right"/>
              <w:rPr>
                <w:color w:val="000000" w:themeColor="text1"/>
                <w:sz w:val="18"/>
                <w:szCs w:val="18"/>
              </w:rPr>
            </w:pPr>
            <w:r w:rsidRPr="00D61418">
              <w:rPr>
                <w:color w:val="000000" w:themeColor="text1"/>
                <w:sz w:val="18"/>
                <w:szCs w:val="18"/>
              </w:rPr>
              <w:t>628,6</w:t>
            </w:r>
          </w:p>
        </w:tc>
        <w:tc>
          <w:tcPr>
            <w:tcW w:w="1205" w:type="dxa"/>
            <w:tcBorders>
              <w:top w:val="nil"/>
              <w:left w:val="double" w:sz="6" w:space="0" w:color="800000"/>
              <w:bottom w:val="nil"/>
              <w:right w:val="single" w:sz="8" w:space="0" w:color="800000"/>
            </w:tcBorders>
            <w:shd w:val="clear" w:color="000000" w:fill="FFFFCC"/>
            <w:noWrap/>
            <w:vAlign w:val="bottom"/>
          </w:tcPr>
          <w:p w14:paraId="15024A80" w14:textId="77777777" w:rsidR="00EF664F" w:rsidRPr="0069296B" w:rsidRDefault="00EF664F" w:rsidP="00EF664F">
            <w:pPr>
              <w:jc w:val="right"/>
              <w:rPr>
                <w:color w:val="000000" w:themeColor="text1"/>
                <w:sz w:val="18"/>
                <w:szCs w:val="18"/>
                <w:lang w:val="en-US"/>
              </w:rPr>
            </w:pPr>
            <w:r w:rsidRPr="00D61418">
              <w:rPr>
                <w:color w:val="000000" w:themeColor="text1"/>
                <w:sz w:val="18"/>
                <w:szCs w:val="18"/>
              </w:rPr>
              <w:t>6</w:t>
            </w:r>
            <w:r>
              <w:rPr>
                <w:color w:val="000000" w:themeColor="text1"/>
                <w:sz w:val="18"/>
                <w:szCs w:val="18"/>
                <w:lang w:val="en-US"/>
              </w:rPr>
              <w:t>64</w:t>
            </w:r>
            <w:r w:rsidRPr="00D61418">
              <w:rPr>
                <w:color w:val="000000" w:themeColor="text1"/>
                <w:sz w:val="18"/>
                <w:szCs w:val="18"/>
              </w:rPr>
              <w:t>,</w:t>
            </w:r>
            <w:r>
              <w:rPr>
                <w:color w:val="000000" w:themeColor="text1"/>
                <w:sz w:val="18"/>
                <w:szCs w:val="18"/>
                <w:lang w:val="en-US"/>
              </w:rPr>
              <w:t>3</w:t>
            </w:r>
          </w:p>
        </w:tc>
        <w:tc>
          <w:tcPr>
            <w:tcW w:w="1018" w:type="dxa"/>
            <w:tcBorders>
              <w:top w:val="nil"/>
              <w:left w:val="nil"/>
              <w:bottom w:val="nil"/>
              <w:right w:val="single" w:sz="4" w:space="0" w:color="800000"/>
            </w:tcBorders>
            <w:shd w:val="clear" w:color="000000" w:fill="FFFFCC"/>
            <w:noWrap/>
            <w:vAlign w:val="bottom"/>
          </w:tcPr>
          <w:p w14:paraId="13F0DDE7" w14:textId="77777777" w:rsidR="00EF664F" w:rsidRPr="006F7B13" w:rsidRDefault="00EF664F" w:rsidP="00EF664F">
            <w:pPr>
              <w:jc w:val="right"/>
              <w:rPr>
                <w:color w:val="000000" w:themeColor="text1"/>
                <w:sz w:val="18"/>
                <w:szCs w:val="18"/>
                <w:lang w:val="en-US"/>
              </w:rPr>
            </w:pPr>
            <w:r w:rsidRPr="00D61418">
              <w:rPr>
                <w:color w:val="000000" w:themeColor="text1"/>
                <w:sz w:val="18"/>
                <w:szCs w:val="18"/>
              </w:rPr>
              <w:t>6</w:t>
            </w:r>
            <w:r>
              <w:rPr>
                <w:color w:val="000000" w:themeColor="text1"/>
                <w:sz w:val="18"/>
                <w:szCs w:val="18"/>
                <w:lang w:val="en-US"/>
              </w:rPr>
              <w:t>51</w:t>
            </w:r>
            <w:r w:rsidRPr="00D61418">
              <w:rPr>
                <w:color w:val="000000" w:themeColor="text1"/>
                <w:sz w:val="18"/>
                <w:szCs w:val="18"/>
              </w:rPr>
              <w:t>,</w:t>
            </w:r>
            <w:r>
              <w:rPr>
                <w:color w:val="000000" w:themeColor="text1"/>
                <w:sz w:val="18"/>
                <w:szCs w:val="18"/>
                <w:lang w:val="en-US"/>
              </w:rPr>
              <w:t>8</w:t>
            </w:r>
          </w:p>
        </w:tc>
        <w:tc>
          <w:tcPr>
            <w:tcW w:w="1440" w:type="dxa"/>
            <w:tcBorders>
              <w:top w:val="nil"/>
              <w:left w:val="nil"/>
              <w:bottom w:val="nil"/>
              <w:right w:val="single" w:sz="4" w:space="0" w:color="800000"/>
            </w:tcBorders>
            <w:shd w:val="clear" w:color="000000" w:fill="FFFFCC"/>
            <w:noWrap/>
            <w:vAlign w:val="bottom"/>
          </w:tcPr>
          <w:p w14:paraId="1A7DB2BF" w14:textId="3118778C" w:rsidR="00EF664F" w:rsidRPr="00D61418" w:rsidRDefault="00EF664F" w:rsidP="00EF664F">
            <w:pPr>
              <w:jc w:val="right"/>
              <w:rPr>
                <w:color w:val="000000" w:themeColor="text1"/>
                <w:sz w:val="18"/>
                <w:szCs w:val="18"/>
              </w:rPr>
            </w:pPr>
            <w:r>
              <w:rPr>
                <w:sz w:val="18"/>
                <w:szCs w:val="18"/>
              </w:rPr>
              <w:t>651,8</w:t>
            </w:r>
          </w:p>
        </w:tc>
        <w:tc>
          <w:tcPr>
            <w:tcW w:w="1350" w:type="dxa"/>
            <w:tcBorders>
              <w:top w:val="nil"/>
              <w:left w:val="single" w:sz="4" w:space="0" w:color="800000"/>
              <w:bottom w:val="nil"/>
              <w:right w:val="single" w:sz="4" w:space="0" w:color="800000"/>
            </w:tcBorders>
            <w:shd w:val="clear" w:color="000000" w:fill="FFFFCC"/>
            <w:noWrap/>
            <w:vAlign w:val="bottom"/>
          </w:tcPr>
          <w:p w14:paraId="633F1C55" w14:textId="4E9F7DF9" w:rsidR="00EF664F" w:rsidRPr="00D61418" w:rsidRDefault="00EF664F" w:rsidP="00EF664F">
            <w:pPr>
              <w:jc w:val="right"/>
              <w:rPr>
                <w:color w:val="000000" w:themeColor="text1"/>
                <w:sz w:val="18"/>
                <w:szCs w:val="18"/>
              </w:rPr>
            </w:pPr>
            <w:r>
              <w:rPr>
                <w:sz w:val="20"/>
                <w:szCs w:val="20"/>
              </w:rPr>
              <w:t>98,1%</w:t>
            </w:r>
          </w:p>
        </w:tc>
      </w:tr>
      <w:tr w:rsidR="00EF664F" w:rsidRPr="00D61418" w14:paraId="22404681" w14:textId="77777777" w:rsidTr="00D337DB">
        <w:trPr>
          <w:trHeight w:val="178"/>
        </w:trPr>
        <w:tc>
          <w:tcPr>
            <w:tcW w:w="3415" w:type="dxa"/>
            <w:tcBorders>
              <w:top w:val="nil"/>
              <w:left w:val="double" w:sz="6" w:space="0" w:color="800000"/>
              <w:bottom w:val="nil"/>
              <w:right w:val="single" w:sz="8" w:space="0" w:color="800000"/>
            </w:tcBorders>
            <w:shd w:val="clear" w:color="auto" w:fill="FFFFCC"/>
            <w:noWrap/>
            <w:vAlign w:val="bottom"/>
          </w:tcPr>
          <w:p w14:paraId="2860F979" w14:textId="77777777" w:rsidR="00EF664F" w:rsidRPr="00D61418" w:rsidRDefault="00EF664F" w:rsidP="00EF664F">
            <w:pPr>
              <w:rPr>
                <w:color w:val="000000" w:themeColor="text1"/>
                <w:sz w:val="20"/>
                <w:szCs w:val="20"/>
              </w:rPr>
            </w:pPr>
            <w:r w:rsidRPr="00D61418">
              <w:rPr>
                <w:color w:val="000000" w:themeColor="text1"/>
                <w:sz w:val="20"/>
                <w:szCs w:val="20"/>
              </w:rPr>
              <w:t xml:space="preserve">      Външни лихви</w:t>
            </w:r>
          </w:p>
        </w:tc>
        <w:tc>
          <w:tcPr>
            <w:tcW w:w="839" w:type="dxa"/>
            <w:tcBorders>
              <w:top w:val="nil"/>
              <w:left w:val="nil"/>
              <w:bottom w:val="nil"/>
              <w:right w:val="single" w:sz="4" w:space="0" w:color="800000"/>
            </w:tcBorders>
            <w:shd w:val="clear" w:color="000000" w:fill="FFFFCC"/>
            <w:noWrap/>
            <w:vAlign w:val="bottom"/>
          </w:tcPr>
          <w:p w14:paraId="2B4F6914" w14:textId="77777777" w:rsidR="00EF664F" w:rsidRPr="00D61418" w:rsidRDefault="00EF664F" w:rsidP="00EF664F">
            <w:pPr>
              <w:jc w:val="right"/>
              <w:rPr>
                <w:color w:val="000000" w:themeColor="text1"/>
                <w:sz w:val="18"/>
                <w:szCs w:val="18"/>
              </w:rPr>
            </w:pPr>
            <w:r w:rsidRPr="00D61418">
              <w:rPr>
                <w:color w:val="000000" w:themeColor="text1"/>
                <w:sz w:val="18"/>
                <w:szCs w:val="18"/>
              </w:rPr>
              <w:t>465,9</w:t>
            </w:r>
          </w:p>
        </w:tc>
        <w:tc>
          <w:tcPr>
            <w:tcW w:w="1205" w:type="dxa"/>
            <w:tcBorders>
              <w:top w:val="nil"/>
              <w:left w:val="double" w:sz="6" w:space="0" w:color="800000"/>
              <w:bottom w:val="nil"/>
              <w:right w:val="single" w:sz="8" w:space="0" w:color="800000"/>
            </w:tcBorders>
            <w:shd w:val="clear" w:color="000000" w:fill="FFFFCC"/>
            <w:noWrap/>
            <w:vAlign w:val="bottom"/>
          </w:tcPr>
          <w:p w14:paraId="207F011B" w14:textId="77777777" w:rsidR="00EF664F" w:rsidRPr="0069296B" w:rsidRDefault="00EF664F" w:rsidP="00EF664F">
            <w:pPr>
              <w:jc w:val="right"/>
              <w:rPr>
                <w:color w:val="000000" w:themeColor="text1"/>
                <w:sz w:val="18"/>
                <w:szCs w:val="18"/>
                <w:lang w:val="en-US"/>
              </w:rPr>
            </w:pPr>
            <w:r>
              <w:rPr>
                <w:color w:val="000000" w:themeColor="text1"/>
                <w:sz w:val="18"/>
                <w:szCs w:val="18"/>
                <w:lang w:val="en-US"/>
              </w:rPr>
              <w:t>503</w:t>
            </w:r>
            <w:r w:rsidRPr="00D61418">
              <w:rPr>
                <w:color w:val="000000" w:themeColor="text1"/>
                <w:sz w:val="18"/>
                <w:szCs w:val="18"/>
              </w:rPr>
              <w:t>,</w:t>
            </w:r>
            <w:r>
              <w:rPr>
                <w:color w:val="000000" w:themeColor="text1"/>
                <w:sz w:val="18"/>
                <w:szCs w:val="18"/>
                <w:lang w:val="en-US"/>
              </w:rPr>
              <w:t>9</w:t>
            </w:r>
          </w:p>
        </w:tc>
        <w:tc>
          <w:tcPr>
            <w:tcW w:w="1018" w:type="dxa"/>
            <w:tcBorders>
              <w:top w:val="nil"/>
              <w:left w:val="nil"/>
              <w:bottom w:val="nil"/>
              <w:right w:val="single" w:sz="4" w:space="0" w:color="800000"/>
            </w:tcBorders>
            <w:shd w:val="clear" w:color="000000" w:fill="FFFFCC"/>
            <w:noWrap/>
            <w:vAlign w:val="bottom"/>
          </w:tcPr>
          <w:p w14:paraId="435A1E4F" w14:textId="77777777" w:rsidR="00EF664F" w:rsidRPr="006F7B13" w:rsidRDefault="00EF664F" w:rsidP="00EF664F">
            <w:pPr>
              <w:jc w:val="right"/>
              <w:rPr>
                <w:color w:val="000000" w:themeColor="text1"/>
                <w:sz w:val="18"/>
                <w:szCs w:val="18"/>
                <w:lang w:val="en-US"/>
              </w:rPr>
            </w:pPr>
            <w:r>
              <w:rPr>
                <w:color w:val="000000" w:themeColor="text1"/>
                <w:sz w:val="18"/>
                <w:szCs w:val="18"/>
                <w:lang w:val="en-US"/>
              </w:rPr>
              <w:t>501</w:t>
            </w:r>
            <w:r w:rsidRPr="00D61418">
              <w:rPr>
                <w:color w:val="000000" w:themeColor="text1"/>
                <w:sz w:val="18"/>
                <w:szCs w:val="18"/>
              </w:rPr>
              <w:t>,</w:t>
            </w:r>
            <w:r>
              <w:rPr>
                <w:color w:val="000000" w:themeColor="text1"/>
                <w:sz w:val="18"/>
                <w:szCs w:val="18"/>
                <w:lang w:val="en-US"/>
              </w:rPr>
              <w:t>2</w:t>
            </w:r>
          </w:p>
        </w:tc>
        <w:tc>
          <w:tcPr>
            <w:tcW w:w="1440" w:type="dxa"/>
            <w:tcBorders>
              <w:top w:val="nil"/>
              <w:left w:val="nil"/>
              <w:bottom w:val="nil"/>
              <w:right w:val="single" w:sz="4" w:space="0" w:color="800000"/>
            </w:tcBorders>
            <w:shd w:val="clear" w:color="000000" w:fill="FFFFCC"/>
            <w:noWrap/>
            <w:vAlign w:val="bottom"/>
          </w:tcPr>
          <w:p w14:paraId="73498AB2" w14:textId="619270D8" w:rsidR="00EF664F" w:rsidRPr="00D61418" w:rsidRDefault="00EF664F" w:rsidP="00EF664F">
            <w:pPr>
              <w:jc w:val="right"/>
              <w:rPr>
                <w:color w:val="000000" w:themeColor="text1"/>
                <w:sz w:val="18"/>
                <w:szCs w:val="18"/>
              </w:rPr>
            </w:pPr>
            <w:r>
              <w:rPr>
                <w:sz w:val="18"/>
                <w:szCs w:val="18"/>
              </w:rPr>
              <w:t>501,2</w:t>
            </w:r>
          </w:p>
        </w:tc>
        <w:tc>
          <w:tcPr>
            <w:tcW w:w="1350" w:type="dxa"/>
            <w:tcBorders>
              <w:top w:val="nil"/>
              <w:left w:val="single" w:sz="4" w:space="0" w:color="800000"/>
              <w:bottom w:val="nil"/>
              <w:right w:val="single" w:sz="4" w:space="0" w:color="800000"/>
            </w:tcBorders>
            <w:shd w:val="clear" w:color="000000" w:fill="FFFFCC"/>
            <w:noWrap/>
            <w:vAlign w:val="bottom"/>
          </w:tcPr>
          <w:p w14:paraId="675AD23C" w14:textId="2D574D8A" w:rsidR="00EF664F" w:rsidRPr="00D61418" w:rsidRDefault="00EF664F" w:rsidP="00EF664F">
            <w:pPr>
              <w:jc w:val="right"/>
              <w:rPr>
                <w:color w:val="000000" w:themeColor="text1"/>
                <w:sz w:val="18"/>
                <w:szCs w:val="18"/>
              </w:rPr>
            </w:pPr>
            <w:r>
              <w:rPr>
                <w:sz w:val="20"/>
                <w:szCs w:val="20"/>
              </w:rPr>
              <w:t>99,5%</w:t>
            </w:r>
          </w:p>
        </w:tc>
      </w:tr>
      <w:tr w:rsidR="00EF664F" w:rsidRPr="00D61418" w14:paraId="223A52B0" w14:textId="77777777" w:rsidTr="00D337DB">
        <w:trPr>
          <w:trHeight w:val="120"/>
        </w:trPr>
        <w:tc>
          <w:tcPr>
            <w:tcW w:w="3415" w:type="dxa"/>
            <w:tcBorders>
              <w:top w:val="nil"/>
              <w:left w:val="double" w:sz="6" w:space="0" w:color="800000"/>
              <w:bottom w:val="nil"/>
              <w:right w:val="single" w:sz="8" w:space="0" w:color="800000"/>
            </w:tcBorders>
            <w:shd w:val="clear" w:color="auto" w:fill="FFFFCC"/>
            <w:noWrap/>
            <w:vAlign w:val="bottom"/>
          </w:tcPr>
          <w:p w14:paraId="16DD7C43" w14:textId="77777777" w:rsidR="00EF664F" w:rsidRPr="00D61418" w:rsidRDefault="00EF664F" w:rsidP="00EF664F">
            <w:pPr>
              <w:rPr>
                <w:color w:val="000000" w:themeColor="text1"/>
                <w:sz w:val="20"/>
                <w:szCs w:val="20"/>
              </w:rPr>
            </w:pPr>
            <w:r w:rsidRPr="00D61418">
              <w:rPr>
                <w:color w:val="000000" w:themeColor="text1"/>
                <w:sz w:val="20"/>
                <w:szCs w:val="20"/>
              </w:rPr>
              <w:t xml:space="preserve">      Вътрешни лихви</w:t>
            </w:r>
          </w:p>
        </w:tc>
        <w:tc>
          <w:tcPr>
            <w:tcW w:w="839" w:type="dxa"/>
            <w:tcBorders>
              <w:top w:val="nil"/>
              <w:left w:val="nil"/>
              <w:bottom w:val="nil"/>
              <w:right w:val="single" w:sz="4" w:space="0" w:color="800000"/>
            </w:tcBorders>
            <w:shd w:val="clear" w:color="000000" w:fill="FFFFCC"/>
            <w:noWrap/>
            <w:vAlign w:val="bottom"/>
          </w:tcPr>
          <w:p w14:paraId="49F4CF0F" w14:textId="77777777" w:rsidR="00EF664F" w:rsidRPr="00D61418" w:rsidRDefault="00EF664F" w:rsidP="00EF664F">
            <w:pPr>
              <w:jc w:val="right"/>
              <w:rPr>
                <w:color w:val="000000" w:themeColor="text1"/>
                <w:sz w:val="18"/>
                <w:szCs w:val="18"/>
              </w:rPr>
            </w:pPr>
            <w:r w:rsidRPr="00D61418">
              <w:rPr>
                <w:color w:val="000000" w:themeColor="text1"/>
                <w:sz w:val="18"/>
                <w:szCs w:val="18"/>
              </w:rPr>
              <w:t>162,7</w:t>
            </w:r>
          </w:p>
        </w:tc>
        <w:tc>
          <w:tcPr>
            <w:tcW w:w="1205" w:type="dxa"/>
            <w:tcBorders>
              <w:top w:val="nil"/>
              <w:left w:val="double" w:sz="6" w:space="0" w:color="800000"/>
              <w:bottom w:val="nil"/>
              <w:right w:val="single" w:sz="8" w:space="0" w:color="800000"/>
            </w:tcBorders>
            <w:shd w:val="clear" w:color="000000" w:fill="FFFFCC"/>
            <w:noWrap/>
            <w:vAlign w:val="bottom"/>
          </w:tcPr>
          <w:p w14:paraId="4FB85F8B" w14:textId="77777777" w:rsidR="00EF664F" w:rsidRPr="00D61418" w:rsidRDefault="00EF664F" w:rsidP="00EF664F">
            <w:pPr>
              <w:jc w:val="right"/>
              <w:rPr>
                <w:color w:val="000000" w:themeColor="text1"/>
                <w:sz w:val="18"/>
                <w:szCs w:val="18"/>
              </w:rPr>
            </w:pPr>
            <w:r w:rsidRPr="00D61418">
              <w:rPr>
                <w:color w:val="000000" w:themeColor="text1"/>
                <w:sz w:val="18"/>
                <w:szCs w:val="18"/>
              </w:rPr>
              <w:t>16</w:t>
            </w:r>
            <w:r>
              <w:rPr>
                <w:color w:val="000000" w:themeColor="text1"/>
                <w:sz w:val="18"/>
                <w:szCs w:val="18"/>
                <w:lang w:val="en-US"/>
              </w:rPr>
              <w:t>0</w:t>
            </w:r>
            <w:r w:rsidRPr="00D61418">
              <w:rPr>
                <w:color w:val="000000" w:themeColor="text1"/>
                <w:sz w:val="18"/>
                <w:szCs w:val="18"/>
              </w:rPr>
              <w:t>,5</w:t>
            </w:r>
          </w:p>
        </w:tc>
        <w:tc>
          <w:tcPr>
            <w:tcW w:w="1018" w:type="dxa"/>
            <w:tcBorders>
              <w:top w:val="nil"/>
              <w:left w:val="nil"/>
              <w:bottom w:val="nil"/>
              <w:right w:val="single" w:sz="4" w:space="0" w:color="800000"/>
            </w:tcBorders>
            <w:shd w:val="clear" w:color="000000" w:fill="FFFFCC"/>
            <w:noWrap/>
            <w:vAlign w:val="bottom"/>
          </w:tcPr>
          <w:p w14:paraId="6F364351" w14:textId="77777777" w:rsidR="00EF664F" w:rsidRPr="006F7B13" w:rsidRDefault="00EF664F" w:rsidP="00EF664F">
            <w:pPr>
              <w:jc w:val="right"/>
              <w:rPr>
                <w:color w:val="000000" w:themeColor="text1"/>
                <w:sz w:val="18"/>
                <w:szCs w:val="18"/>
                <w:lang w:val="en-US"/>
              </w:rPr>
            </w:pPr>
            <w:r w:rsidRPr="00D61418">
              <w:rPr>
                <w:color w:val="000000" w:themeColor="text1"/>
                <w:sz w:val="18"/>
                <w:szCs w:val="18"/>
              </w:rPr>
              <w:t>1</w:t>
            </w:r>
            <w:r>
              <w:rPr>
                <w:color w:val="000000" w:themeColor="text1"/>
                <w:sz w:val="18"/>
                <w:szCs w:val="18"/>
                <w:lang w:val="en-US"/>
              </w:rPr>
              <w:t>50</w:t>
            </w:r>
            <w:r w:rsidRPr="00D61418">
              <w:rPr>
                <w:color w:val="000000" w:themeColor="text1"/>
                <w:sz w:val="18"/>
                <w:szCs w:val="18"/>
              </w:rPr>
              <w:t>,</w:t>
            </w:r>
            <w:r>
              <w:rPr>
                <w:color w:val="000000" w:themeColor="text1"/>
                <w:sz w:val="18"/>
                <w:szCs w:val="18"/>
                <w:lang w:val="en-US"/>
              </w:rPr>
              <w:t>6</w:t>
            </w:r>
          </w:p>
        </w:tc>
        <w:tc>
          <w:tcPr>
            <w:tcW w:w="1440" w:type="dxa"/>
            <w:tcBorders>
              <w:top w:val="nil"/>
              <w:left w:val="nil"/>
              <w:bottom w:val="nil"/>
              <w:right w:val="single" w:sz="4" w:space="0" w:color="800000"/>
            </w:tcBorders>
            <w:shd w:val="clear" w:color="000000" w:fill="FFFFCC"/>
            <w:noWrap/>
            <w:vAlign w:val="bottom"/>
          </w:tcPr>
          <w:p w14:paraId="0FC162E1" w14:textId="7B31FCD7" w:rsidR="00EF664F" w:rsidRPr="00D61418" w:rsidRDefault="00EF664F" w:rsidP="00EF664F">
            <w:pPr>
              <w:jc w:val="right"/>
              <w:rPr>
                <w:color w:val="000000" w:themeColor="text1"/>
                <w:sz w:val="18"/>
                <w:szCs w:val="18"/>
              </w:rPr>
            </w:pPr>
            <w:r>
              <w:rPr>
                <w:sz w:val="18"/>
                <w:szCs w:val="18"/>
              </w:rPr>
              <w:t>150,6</w:t>
            </w:r>
          </w:p>
        </w:tc>
        <w:tc>
          <w:tcPr>
            <w:tcW w:w="1350" w:type="dxa"/>
            <w:tcBorders>
              <w:top w:val="nil"/>
              <w:left w:val="single" w:sz="4" w:space="0" w:color="800000"/>
              <w:bottom w:val="nil"/>
              <w:right w:val="single" w:sz="4" w:space="0" w:color="800000"/>
            </w:tcBorders>
            <w:shd w:val="clear" w:color="000000" w:fill="FFFFCC"/>
            <w:noWrap/>
            <w:vAlign w:val="bottom"/>
          </w:tcPr>
          <w:p w14:paraId="08FB0D4F" w14:textId="6F533333" w:rsidR="00EF664F" w:rsidRPr="00D61418" w:rsidRDefault="00EF664F" w:rsidP="00EF664F">
            <w:pPr>
              <w:jc w:val="right"/>
              <w:rPr>
                <w:color w:val="000000" w:themeColor="text1"/>
                <w:sz w:val="18"/>
                <w:szCs w:val="18"/>
              </w:rPr>
            </w:pPr>
            <w:r>
              <w:rPr>
                <w:sz w:val="20"/>
                <w:szCs w:val="20"/>
              </w:rPr>
              <w:t>93,9%</w:t>
            </w:r>
          </w:p>
        </w:tc>
      </w:tr>
      <w:tr w:rsidR="00EF664F" w:rsidRPr="00D61418" w14:paraId="209F662F" w14:textId="77777777" w:rsidTr="00D337DB">
        <w:trPr>
          <w:trHeight w:val="80"/>
        </w:trPr>
        <w:tc>
          <w:tcPr>
            <w:tcW w:w="3415" w:type="dxa"/>
            <w:tcBorders>
              <w:top w:val="nil"/>
              <w:left w:val="double" w:sz="6" w:space="0" w:color="800000"/>
              <w:bottom w:val="nil"/>
              <w:right w:val="single" w:sz="8" w:space="0" w:color="800000"/>
            </w:tcBorders>
            <w:shd w:val="clear" w:color="auto" w:fill="FFFFCC"/>
            <w:noWrap/>
            <w:vAlign w:val="bottom"/>
          </w:tcPr>
          <w:p w14:paraId="3282EC40" w14:textId="77777777" w:rsidR="00EF664F" w:rsidRPr="00D61418" w:rsidRDefault="00EF664F" w:rsidP="00EF664F">
            <w:pPr>
              <w:rPr>
                <w:color w:val="000000" w:themeColor="text1"/>
                <w:sz w:val="20"/>
                <w:szCs w:val="20"/>
              </w:rPr>
            </w:pPr>
            <w:r w:rsidRPr="00D61418">
              <w:rPr>
                <w:color w:val="000000" w:themeColor="text1"/>
                <w:sz w:val="20"/>
                <w:szCs w:val="20"/>
              </w:rPr>
              <w:t xml:space="preserve">   -Вноска в бюджета на ЕС</w:t>
            </w:r>
          </w:p>
        </w:tc>
        <w:tc>
          <w:tcPr>
            <w:tcW w:w="839" w:type="dxa"/>
            <w:tcBorders>
              <w:top w:val="nil"/>
              <w:left w:val="nil"/>
              <w:bottom w:val="nil"/>
              <w:right w:val="single" w:sz="4" w:space="0" w:color="800000"/>
            </w:tcBorders>
            <w:shd w:val="clear" w:color="000000" w:fill="FFFFCC"/>
            <w:noWrap/>
            <w:vAlign w:val="bottom"/>
          </w:tcPr>
          <w:p w14:paraId="63AE2392" w14:textId="77777777" w:rsidR="00EF664F" w:rsidRPr="00D61418" w:rsidRDefault="00EF664F" w:rsidP="00EF664F">
            <w:pPr>
              <w:jc w:val="right"/>
              <w:rPr>
                <w:color w:val="000000" w:themeColor="text1"/>
                <w:sz w:val="18"/>
                <w:szCs w:val="18"/>
              </w:rPr>
            </w:pPr>
            <w:r w:rsidRPr="00D61418">
              <w:rPr>
                <w:color w:val="000000" w:themeColor="text1"/>
                <w:sz w:val="18"/>
                <w:szCs w:val="18"/>
              </w:rPr>
              <w:t>1 681,0</w:t>
            </w:r>
          </w:p>
        </w:tc>
        <w:tc>
          <w:tcPr>
            <w:tcW w:w="1205" w:type="dxa"/>
            <w:tcBorders>
              <w:top w:val="nil"/>
              <w:left w:val="double" w:sz="6" w:space="0" w:color="800000"/>
              <w:bottom w:val="nil"/>
              <w:right w:val="single" w:sz="8" w:space="0" w:color="800000"/>
            </w:tcBorders>
            <w:shd w:val="clear" w:color="000000" w:fill="FFFFCC"/>
            <w:noWrap/>
            <w:vAlign w:val="bottom"/>
          </w:tcPr>
          <w:p w14:paraId="2A978D74" w14:textId="77777777" w:rsidR="00EF664F" w:rsidRPr="0069296B" w:rsidRDefault="00EF664F" w:rsidP="00EF664F">
            <w:pPr>
              <w:jc w:val="right"/>
              <w:rPr>
                <w:color w:val="000000" w:themeColor="text1"/>
                <w:sz w:val="18"/>
                <w:szCs w:val="18"/>
                <w:lang w:val="en-US"/>
              </w:rPr>
            </w:pPr>
            <w:r w:rsidRPr="00D61418">
              <w:rPr>
                <w:color w:val="000000" w:themeColor="text1"/>
                <w:sz w:val="18"/>
                <w:szCs w:val="18"/>
              </w:rPr>
              <w:t>1 </w:t>
            </w:r>
            <w:r>
              <w:rPr>
                <w:color w:val="000000" w:themeColor="text1"/>
                <w:sz w:val="18"/>
                <w:szCs w:val="18"/>
                <w:lang w:val="en-US"/>
              </w:rPr>
              <w:t>839</w:t>
            </w:r>
            <w:r w:rsidRPr="00D61418">
              <w:rPr>
                <w:color w:val="000000" w:themeColor="text1"/>
                <w:sz w:val="18"/>
                <w:szCs w:val="18"/>
              </w:rPr>
              <w:t>,</w:t>
            </w:r>
            <w:r>
              <w:rPr>
                <w:color w:val="000000" w:themeColor="text1"/>
                <w:sz w:val="18"/>
                <w:szCs w:val="18"/>
                <w:lang w:val="en-US"/>
              </w:rPr>
              <w:t>9</w:t>
            </w:r>
          </w:p>
        </w:tc>
        <w:tc>
          <w:tcPr>
            <w:tcW w:w="1018" w:type="dxa"/>
            <w:tcBorders>
              <w:top w:val="nil"/>
              <w:left w:val="nil"/>
              <w:bottom w:val="nil"/>
              <w:right w:val="single" w:sz="4" w:space="0" w:color="800000"/>
            </w:tcBorders>
            <w:shd w:val="clear" w:color="000000" w:fill="FFFFCC"/>
            <w:noWrap/>
            <w:vAlign w:val="bottom"/>
          </w:tcPr>
          <w:p w14:paraId="131A66D2" w14:textId="77777777" w:rsidR="00EF664F" w:rsidRPr="00D61418" w:rsidRDefault="00EF664F" w:rsidP="00EF664F">
            <w:pPr>
              <w:jc w:val="right"/>
              <w:rPr>
                <w:color w:val="000000" w:themeColor="text1"/>
                <w:sz w:val="18"/>
                <w:szCs w:val="18"/>
              </w:rPr>
            </w:pPr>
            <w:r w:rsidRPr="00D61418">
              <w:rPr>
                <w:color w:val="000000" w:themeColor="text1"/>
                <w:sz w:val="18"/>
                <w:szCs w:val="18"/>
              </w:rPr>
              <w:t>1 </w:t>
            </w:r>
            <w:r>
              <w:rPr>
                <w:color w:val="000000" w:themeColor="text1"/>
                <w:sz w:val="18"/>
                <w:szCs w:val="18"/>
                <w:lang w:val="en-US"/>
              </w:rPr>
              <w:t>705</w:t>
            </w:r>
            <w:r w:rsidRPr="00D61418">
              <w:rPr>
                <w:color w:val="000000" w:themeColor="text1"/>
                <w:sz w:val="18"/>
                <w:szCs w:val="18"/>
              </w:rPr>
              <w:t>,0</w:t>
            </w:r>
          </w:p>
        </w:tc>
        <w:tc>
          <w:tcPr>
            <w:tcW w:w="1440" w:type="dxa"/>
            <w:tcBorders>
              <w:top w:val="nil"/>
              <w:left w:val="nil"/>
              <w:bottom w:val="nil"/>
              <w:right w:val="single" w:sz="4" w:space="0" w:color="800000"/>
            </w:tcBorders>
            <w:shd w:val="clear" w:color="000000" w:fill="FFFFCC"/>
            <w:noWrap/>
            <w:vAlign w:val="bottom"/>
          </w:tcPr>
          <w:p w14:paraId="76E74B4C" w14:textId="54CACBC3" w:rsidR="00EF664F" w:rsidRPr="00D61418" w:rsidRDefault="00EF664F" w:rsidP="00EF664F">
            <w:pPr>
              <w:jc w:val="right"/>
              <w:rPr>
                <w:color w:val="000000" w:themeColor="text1"/>
                <w:sz w:val="18"/>
                <w:szCs w:val="18"/>
              </w:rPr>
            </w:pPr>
            <w:r>
              <w:rPr>
                <w:sz w:val="18"/>
                <w:szCs w:val="18"/>
              </w:rPr>
              <w:t>1 705,0</w:t>
            </w:r>
          </w:p>
        </w:tc>
        <w:tc>
          <w:tcPr>
            <w:tcW w:w="1350" w:type="dxa"/>
            <w:tcBorders>
              <w:top w:val="nil"/>
              <w:left w:val="single" w:sz="4" w:space="0" w:color="800000"/>
              <w:bottom w:val="nil"/>
              <w:right w:val="single" w:sz="4" w:space="0" w:color="800000"/>
            </w:tcBorders>
            <w:shd w:val="clear" w:color="000000" w:fill="FFFFCC"/>
            <w:noWrap/>
            <w:vAlign w:val="bottom"/>
          </w:tcPr>
          <w:p w14:paraId="2240879D" w14:textId="5F31EDC6" w:rsidR="00EF664F" w:rsidRPr="00D61418" w:rsidRDefault="00EF664F" w:rsidP="00EF664F">
            <w:pPr>
              <w:jc w:val="right"/>
              <w:rPr>
                <w:color w:val="000000" w:themeColor="text1"/>
                <w:sz w:val="18"/>
                <w:szCs w:val="18"/>
              </w:rPr>
            </w:pPr>
            <w:r>
              <w:rPr>
                <w:sz w:val="20"/>
                <w:szCs w:val="20"/>
              </w:rPr>
              <w:t>92,7%</w:t>
            </w:r>
          </w:p>
        </w:tc>
      </w:tr>
      <w:tr w:rsidR="00EF664F" w:rsidRPr="00D61418" w14:paraId="2EED3A84" w14:textId="77777777" w:rsidTr="00D337DB">
        <w:trPr>
          <w:trHeight w:val="157"/>
        </w:trPr>
        <w:tc>
          <w:tcPr>
            <w:tcW w:w="3415" w:type="dxa"/>
            <w:tcBorders>
              <w:top w:val="nil"/>
              <w:left w:val="double" w:sz="6" w:space="0" w:color="800000"/>
              <w:bottom w:val="double" w:sz="6" w:space="0" w:color="800000"/>
              <w:right w:val="single" w:sz="8" w:space="0" w:color="800000"/>
            </w:tcBorders>
            <w:shd w:val="clear" w:color="auto" w:fill="FFFFCC"/>
            <w:noWrap/>
            <w:vAlign w:val="bottom"/>
          </w:tcPr>
          <w:p w14:paraId="1E1FCBE1" w14:textId="77777777" w:rsidR="00EF664F" w:rsidRPr="00D61418" w:rsidRDefault="00EF664F" w:rsidP="00EF664F">
            <w:pPr>
              <w:rPr>
                <w:b/>
                <w:bCs/>
                <w:color w:val="000000" w:themeColor="text1"/>
                <w:sz w:val="20"/>
                <w:szCs w:val="20"/>
              </w:rPr>
            </w:pPr>
            <w:r w:rsidRPr="00D61418">
              <w:rPr>
                <w:b/>
                <w:bCs/>
                <w:color w:val="000000" w:themeColor="text1"/>
                <w:sz w:val="20"/>
                <w:szCs w:val="20"/>
              </w:rPr>
              <w:t>Дефицит/излишък</w:t>
            </w:r>
          </w:p>
        </w:tc>
        <w:tc>
          <w:tcPr>
            <w:tcW w:w="839" w:type="dxa"/>
            <w:tcBorders>
              <w:top w:val="nil"/>
              <w:left w:val="nil"/>
              <w:bottom w:val="double" w:sz="6" w:space="0" w:color="800000"/>
              <w:right w:val="single" w:sz="4" w:space="0" w:color="800000"/>
            </w:tcBorders>
            <w:shd w:val="clear" w:color="000000" w:fill="FFFFCC"/>
            <w:noWrap/>
            <w:vAlign w:val="bottom"/>
          </w:tcPr>
          <w:p w14:paraId="44DD300F" w14:textId="77777777" w:rsidR="00EF664F" w:rsidRPr="00D61418" w:rsidRDefault="00EF664F" w:rsidP="00EF664F">
            <w:pPr>
              <w:jc w:val="right"/>
              <w:rPr>
                <w:b/>
                <w:color w:val="000000" w:themeColor="text1"/>
                <w:sz w:val="18"/>
                <w:szCs w:val="18"/>
              </w:rPr>
            </w:pPr>
            <w:r w:rsidRPr="00D61418">
              <w:rPr>
                <w:b/>
                <w:bCs/>
                <w:color w:val="000000" w:themeColor="text1"/>
                <w:sz w:val="18"/>
                <w:szCs w:val="18"/>
              </w:rPr>
              <w:t>-3 794,</w:t>
            </w:r>
            <w:r w:rsidRPr="00D61418">
              <w:rPr>
                <w:b/>
                <w:bCs/>
                <w:color w:val="000000" w:themeColor="text1"/>
                <w:sz w:val="18"/>
                <w:szCs w:val="18"/>
                <w:lang w:val="en-US"/>
              </w:rPr>
              <w:t>4</w:t>
            </w:r>
          </w:p>
        </w:tc>
        <w:tc>
          <w:tcPr>
            <w:tcW w:w="1205" w:type="dxa"/>
            <w:tcBorders>
              <w:top w:val="nil"/>
              <w:left w:val="double" w:sz="6" w:space="0" w:color="800000"/>
              <w:bottom w:val="double" w:sz="6" w:space="0" w:color="800000"/>
              <w:right w:val="single" w:sz="8" w:space="0" w:color="800000"/>
            </w:tcBorders>
            <w:shd w:val="clear" w:color="000000" w:fill="FFFFCC"/>
            <w:noWrap/>
            <w:vAlign w:val="bottom"/>
          </w:tcPr>
          <w:p w14:paraId="74898790" w14:textId="77777777" w:rsidR="00EF664F" w:rsidRPr="0069296B" w:rsidRDefault="00EF664F" w:rsidP="00EF664F">
            <w:pPr>
              <w:jc w:val="right"/>
              <w:rPr>
                <w:b/>
                <w:bCs/>
                <w:color w:val="000000" w:themeColor="text1"/>
                <w:sz w:val="18"/>
                <w:szCs w:val="18"/>
                <w:lang w:val="en-US"/>
              </w:rPr>
            </w:pPr>
            <w:r w:rsidRPr="00D61418">
              <w:rPr>
                <w:b/>
                <w:bCs/>
                <w:color w:val="000000" w:themeColor="text1"/>
                <w:sz w:val="18"/>
                <w:szCs w:val="18"/>
              </w:rPr>
              <w:t>-</w:t>
            </w:r>
            <w:r>
              <w:rPr>
                <w:b/>
                <w:bCs/>
                <w:color w:val="000000" w:themeColor="text1"/>
                <w:sz w:val="18"/>
                <w:szCs w:val="18"/>
                <w:lang w:val="en-US"/>
              </w:rPr>
              <w:t>6</w:t>
            </w:r>
            <w:r w:rsidRPr="00D61418">
              <w:rPr>
                <w:b/>
                <w:bCs/>
                <w:color w:val="000000" w:themeColor="text1"/>
                <w:sz w:val="18"/>
                <w:szCs w:val="18"/>
              </w:rPr>
              <w:t> </w:t>
            </w:r>
            <w:r>
              <w:rPr>
                <w:b/>
                <w:bCs/>
                <w:color w:val="000000" w:themeColor="text1"/>
                <w:sz w:val="18"/>
                <w:szCs w:val="18"/>
                <w:lang w:val="en-US"/>
              </w:rPr>
              <w:t>228</w:t>
            </w:r>
            <w:r w:rsidRPr="00D61418">
              <w:rPr>
                <w:b/>
                <w:bCs/>
                <w:color w:val="000000" w:themeColor="text1"/>
                <w:sz w:val="18"/>
                <w:szCs w:val="18"/>
              </w:rPr>
              <w:t>,</w:t>
            </w:r>
            <w:r>
              <w:rPr>
                <w:b/>
                <w:bCs/>
                <w:color w:val="000000" w:themeColor="text1"/>
                <w:sz w:val="18"/>
                <w:szCs w:val="18"/>
                <w:lang w:val="en-US"/>
              </w:rPr>
              <w:t>4</w:t>
            </w:r>
          </w:p>
        </w:tc>
        <w:tc>
          <w:tcPr>
            <w:tcW w:w="1018" w:type="dxa"/>
            <w:tcBorders>
              <w:top w:val="nil"/>
              <w:left w:val="nil"/>
              <w:bottom w:val="double" w:sz="6" w:space="0" w:color="800000"/>
              <w:right w:val="single" w:sz="4" w:space="0" w:color="800000"/>
            </w:tcBorders>
            <w:shd w:val="clear" w:color="000000" w:fill="FFFFCC"/>
            <w:noWrap/>
            <w:vAlign w:val="bottom"/>
          </w:tcPr>
          <w:p w14:paraId="5B229087" w14:textId="3033B84C" w:rsidR="00EF664F" w:rsidRPr="00426F15" w:rsidRDefault="00EF664F" w:rsidP="00014EDC">
            <w:pPr>
              <w:jc w:val="right"/>
              <w:rPr>
                <w:b/>
                <w:bCs/>
                <w:color w:val="000000" w:themeColor="text1"/>
                <w:sz w:val="18"/>
                <w:szCs w:val="18"/>
              </w:rPr>
            </w:pPr>
            <w:r w:rsidRPr="00D61418">
              <w:rPr>
                <w:b/>
                <w:bCs/>
                <w:color w:val="000000" w:themeColor="text1"/>
                <w:sz w:val="18"/>
                <w:szCs w:val="18"/>
              </w:rPr>
              <w:t>-</w:t>
            </w:r>
            <w:r>
              <w:rPr>
                <w:b/>
                <w:bCs/>
                <w:color w:val="000000" w:themeColor="text1"/>
                <w:sz w:val="18"/>
                <w:szCs w:val="18"/>
                <w:lang w:val="en-US"/>
              </w:rPr>
              <w:t>1</w:t>
            </w:r>
            <w:r w:rsidRPr="00D61418">
              <w:rPr>
                <w:b/>
                <w:bCs/>
                <w:color w:val="000000" w:themeColor="text1"/>
                <w:sz w:val="18"/>
                <w:szCs w:val="18"/>
              </w:rPr>
              <w:t> </w:t>
            </w:r>
            <w:r>
              <w:rPr>
                <w:b/>
                <w:bCs/>
                <w:color w:val="000000" w:themeColor="text1"/>
                <w:sz w:val="18"/>
                <w:szCs w:val="18"/>
                <w:lang w:val="en-US"/>
              </w:rPr>
              <w:t>323</w:t>
            </w:r>
            <w:r w:rsidRPr="00D61418">
              <w:rPr>
                <w:b/>
                <w:bCs/>
                <w:color w:val="000000" w:themeColor="text1"/>
                <w:sz w:val="18"/>
                <w:szCs w:val="18"/>
              </w:rPr>
              <w:t>,</w:t>
            </w:r>
            <w:r w:rsidR="00014EDC">
              <w:rPr>
                <w:b/>
                <w:bCs/>
                <w:color w:val="000000" w:themeColor="text1"/>
                <w:sz w:val="18"/>
                <w:szCs w:val="18"/>
                <w:lang w:val="en-US"/>
              </w:rPr>
              <w:t>6</w:t>
            </w:r>
          </w:p>
        </w:tc>
        <w:tc>
          <w:tcPr>
            <w:tcW w:w="1440" w:type="dxa"/>
            <w:tcBorders>
              <w:top w:val="nil"/>
              <w:left w:val="nil"/>
              <w:bottom w:val="double" w:sz="6" w:space="0" w:color="800000"/>
              <w:right w:val="single" w:sz="4" w:space="0" w:color="800000"/>
            </w:tcBorders>
            <w:shd w:val="clear" w:color="000000" w:fill="FFFFCC"/>
            <w:noWrap/>
            <w:vAlign w:val="bottom"/>
          </w:tcPr>
          <w:p w14:paraId="580F7690" w14:textId="76E38103" w:rsidR="00EF664F" w:rsidRPr="00D61418" w:rsidRDefault="00EF664F" w:rsidP="00EF664F">
            <w:pPr>
              <w:jc w:val="right"/>
              <w:rPr>
                <w:b/>
                <w:bCs/>
                <w:color w:val="000000" w:themeColor="text1"/>
                <w:sz w:val="18"/>
                <w:szCs w:val="18"/>
              </w:rPr>
            </w:pPr>
            <w:r>
              <w:rPr>
                <w:b/>
                <w:bCs/>
                <w:sz w:val="18"/>
                <w:szCs w:val="18"/>
              </w:rPr>
              <w:t>-1 323,6</w:t>
            </w:r>
          </w:p>
        </w:tc>
        <w:tc>
          <w:tcPr>
            <w:tcW w:w="1350" w:type="dxa"/>
            <w:tcBorders>
              <w:top w:val="nil"/>
              <w:left w:val="single" w:sz="4" w:space="0" w:color="800000"/>
              <w:bottom w:val="double" w:sz="6" w:space="0" w:color="800000"/>
              <w:right w:val="double" w:sz="6" w:space="0" w:color="800000"/>
            </w:tcBorders>
            <w:shd w:val="clear" w:color="000000" w:fill="FFFFCC"/>
            <w:noWrap/>
            <w:vAlign w:val="bottom"/>
          </w:tcPr>
          <w:p w14:paraId="64446540" w14:textId="362221C4" w:rsidR="00EF664F" w:rsidRPr="00D61418" w:rsidRDefault="00EF664F" w:rsidP="00EF664F">
            <w:pPr>
              <w:jc w:val="right"/>
              <w:rPr>
                <w:b/>
                <w:bCs/>
                <w:color w:val="000000" w:themeColor="text1"/>
                <w:sz w:val="18"/>
                <w:szCs w:val="18"/>
              </w:rPr>
            </w:pPr>
            <w:r>
              <w:rPr>
                <w:b/>
                <w:bCs/>
                <w:sz w:val="20"/>
                <w:szCs w:val="20"/>
              </w:rPr>
              <w:t> </w:t>
            </w:r>
          </w:p>
        </w:tc>
      </w:tr>
    </w:tbl>
    <w:p w14:paraId="5DEAB3DE" w14:textId="77777777" w:rsidR="00612D58" w:rsidRPr="007B48E9" w:rsidRDefault="00612D58" w:rsidP="00612D58">
      <w:pPr>
        <w:tabs>
          <w:tab w:val="left" w:pos="720"/>
        </w:tabs>
        <w:ind w:firstLine="540"/>
        <w:jc w:val="both"/>
        <w:rPr>
          <w:color w:val="0070C0"/>
          <w:sz w:val="8"/>
          <w:szCs w:val="8"/>
        </w:rPr>
      </w:pPr>
    </w:p>
    <w:p w14:paraId="1003244B" w14:textId="2DA1B691" w:rsidR="00612D58" w:rsidRPr="00653BB0" w:rsidRDefault="00612D58" w:rsidP="00612D58">
      <w:pPr>
        <w:ind w:firstLine="720"/>
        <w:jc w:val="both"/>
        <w:rPr>
          <w:lang w:val="ru-RU"/>
        </w:rPr>
      </w:pPr>
      <w:r w:rsidRPr="00F92197">
        <w:rPr>
          <w:b/>
        </w:rPr>
        <w:t>Приходите, помощите и даренията по консолидираната фискална програма за 2022 г. са в размер на 64 788,</w:t>
      </w:r>
      <w:r w:rsidR="00014EDC" w:rsidRPr="00042EBB">
        <w:rPr>
          <w:b/>
          <w:lang w:val="ru-RU"/>
        </w:rPr>
        <w:t>7</w:t>
      </w:r>
      <w:r w:rsidRPr="00F92197">
        <w:rPr>
          <w:b/>
        </w:rPr>
        <w:t xml:space="preserve"> млн. лв.</w:t>
      </w:r>
      <w:r w:rsidRPr="00F92197">
        <w:t xml:space="preserve"> </w:t>
      </w:r>
      <w:r w:rsidRPr="00F92197">
        <w:rPr>
          <w:lang w:val="ru-RU"/>
        </w:rPr>
        <w:t>(</w:t>
      </w:r>
      <w:r w:rsidRPr="00F92197">
        <w:t>39,2 % от БВП при 37,7 % от БВП за 2021 г.</w:t>
      </w:r>
      <w:r w:rsidRPr="00F92197">
        <w:rPr>
          <w:lang w:val="ru-RU"/>
        </w:rPr>
        <w:t>)</w:t>
      </w:r>
      <w:r w:rsidRPr="00F92197">
        <w:t>,</w:t>
      </w:r>
      <w:r w:rsidRPr="00F92197">
        <w:rPr>
          <w:b/>
        </w:rPr>
        <w:t xml:space="preserve"> вкл. 3 181,0 млн. лв. приходи с еднократен извънреден характер</w:t>
      </w:r>
      <w:r w:rsidRPr="00F92197">
        <w:rPr>
          <w:vertAlign w:val="superscript"/>
        </w:rPr>
        <w:footnoteReference w:id="10"/>
      </w:r>
      <w:r w:rsidRPr="00F92197">
        <w:rPr>
          <w:b/>
        </w:rPr>
        <w:t xml:space="preserve">, </w:t>
      </w:r>
      <w:r w:rsidRPr="00F92197">
        <w:t xml:space="preserve">които не са включени в разчетите към ЗДБРБ за 2022 г. С оглед съпоставимост на данните спрямо годишните разчети към ЗДБРБ за 2022 г., влиянието на посочените еднократни приходи, респективно разходи, следва да бъде елиминирано. </w:t>
      </w:r>
      <w:r w:rsidRPr="00653BB0">
        <w:t>На съпоставима база с разчетите към ЗДБРБ за 2022</w:t>
      </w:r>
      <w:r w:rsidRPr="00653BB0">
        <w:rPr>
          <w:lang w:val="en-US"/>
        </w:rPr>
        <w:t> </w:t>
      </w:r>
      <w:r w:rsidRPr="00653BB0">
        <w:t xml:space="preserve">г. приходите, помощите и даренията по КФП за 2022 г. са в размер на </w:t>
      </w:r>
      <w:r w:rsidRPr="00653BB0">
        <w:rPr>
          <w:b/>
        </w:rPr>
        <w:t>61 </w:t>
      </w:r>
      <w:r w:rsidRPr="00653BB0">
        <w:rPr>
          <w:b/>
          <w:lang w:val="ru-RU"/>
        </w:rPr>
        <w:t>607</w:t>
      </w:r>
      <w:r w:rsidRPr="00653BB0">
        <w:rPr>
          <w:b/>
        </w:rPr>
        <w:t>,</w:t>
      </w:r>
      <w:r w:rsidR="00014EDC">
        <w:rPr>
          <w:b/>
          <w:lang w:val="ru-RU"/>
        </w:rPr>
        <w:t>7</w:t>
      </w:r>
      <w:r w:rsidRPr="00653BB0">
        <w:rPr>
          <w:b/>
        </w:rPr>
        <w:t xml:space="preserve"> млн. лв., което представлява превишение на разчетите към ЗДБРБ за 2022 г. с 3,3 на сто. </w:t>
      </w:r>
      <w:r w:rsidRPr="00653BB0">
        <w:t>Изпълнението на приходите по държавния бюджет е 10</w:t>
      </w:r>
      <w:r w:rsidRPr="00653BB0">
        <w:rPr>
          <w:lang w:val="ru-RU"/>
        </w:rPr>
        <w:t>2</w:t>
      </w:r>
      <w:r w:rsidRPr="00653BB0">
        <w:t>,</w:t>
      </w:r>
      <w:r w:rsidRPr="00653BB0">
        <w:rPr>
          <w:lang w:val="ru-RU"/>
        </w:rPr>
        <w:t>4</w:t>
      </w:r>
      <w:r w:rsidRPr="00653BB0">
        <w:t xml:space="preserve"> %, по бюджета на ДОО – 103,1 %, по бюджета на НЗОК – 101,3 %, по бюджетите на общините – 114,3 %, Разплащателна агенция към ДФ „Земеделие” (вкл. по бюджетите на бенефициентите) – </w:t>
      </w:r>
      <w:r w:rsidRPr="00653BB0">
        <w:rPr>
          <w:lang w:val="ru-RU"/>
        </w:rPr>
        <w:t>35</w:t>
      </w:r>
      <w:r w:rsidRPr="00653BB0">
        <w:t>,</w:t>
      </w:r>
      <w:r w:rsidRPr="00653BB0">
        <w:rPr>
          <w:lang w:val="ru-RU"/>
        </w:rPr>
        <w:t>8</w:t>
      </w:r>
      <w:r w:rsidRPr="00653BB0">
        <w:t xml:space="preserve"> %, Национален фонд (вкл. по бюджетите на бенефициентите по оперативните програми) – </w:t>
      </w:r>
      <w:r w:rsidRPr="00653BB0">
        <w:rPr>
          <w:lang w:val="ru-RU"/>
        </w:rPr>
        <w:t>103,3</w:t>
      </w:r>
      <w:r w:rsidRPr="00653BB0">
        <w:t xml:space="preserve"> %. </w:t>
      </w:r>
    </w:p>
    <w:p w14:paraId="63940026" w14:textId="1F01F973" w:rsidR="00612D58" w:rsidRPr="007B48E9" w:rsidRDefault="00612D58" w:rsidP="00612D58">
      <w:pPr>
        <w:ind w:firstLine="720"/>
        <w:jc w:val="both"/>
        <w:rPr>
          <w:color w:val="0070C0"/>
        </w:rPr>
      </w:pPr>
      <w:r w:rsidRPr="00614BA2">
        <w:rPr>
          <w:color w:val="000000" w:themeColor="text1"/>
        </w:rPr>
        <w:t xml:space="preserve">Общата сума на </w:t>
      </w:r>
      <w:r w:rsidRPr="00614BA2">
        <w:rPr>
          <w:b/>
          <w:i/>
          <w:color w:val="000000" w:themeColor="text1"/>
        </w:rPr>
        <w:t>данъчните постъпления</w:t>
      </w:r>
      <w:r w:rsidRPr="00614BA2">
        <w:rPr>
          <w:color w:val="000000" w:themeColor="text1"/>
        </w:rPr>
        <w:t xml:space="preserve"> (вкл. приходите от осигурителни вноски) за годината възлиза на 4</w:t>
      </w:r>
      <w:r w:rsidRPr="00614BA2">
        <w:rPr>
          <w:color w:val="000000" w:themeColor="text1"/>
          <w:lang w:val="ru-RU"/>
        </w:rPr>
        <w:t>6</w:t>
      </w:r>
      <w:r w:rsidRPr="00614BA2">
        <w:rPr>
          <w:color w:val="000000" w:themeColor="text1"/>
          <w:lang w:val="en-US"/>
        </w:rPr>
        <w:t> </w:t>
      </w:r>
      <w:r w:rsidRPr="00614BA2">
        <w:rPr>
          <w:color w:val="000000" w:themeColor="text1"/>
          <w:lang w:val="ru-RU"/>
        </w:rPr>
        <w:t>783,0</w:t>
      </w:r>
      <w:r w:rsidRPr="00614BA2">
        <w:rPr>
          <w:color w:val="000000" w:themeColor="text1"/>
        </w:rPr>
        <w:t xml:space="preserve"> млн. лв. (101,4 % спрямо годишните разчети). Относителният дял на данъчните приходи към общите постъпления по КФП е 72,2 %. Данъчните постъпления за 2022 г. представляват 28,3 % от БВП за годината, при 29,</w:t>
      </w:r>
      <w:r>
        <w:rPr>
          <w:color w:val="000000" w:themeColor="text1"/>
        </w:rPr>
        <w:t>4</w:t>
      </w:r>
      <w:r w:rsidRPr="00614BA2">
        <w:rPr>
          <w:color w:val="000000" w:themeColor="text1"/>
        </w:rPr>
        <w:t xml:space="preserve"> % от БВП за 2021 г. Съпоставени с предходната година, данъчните приходи нарастват номинално с </w:t>
      </w:r>
      <w:r w:rsidRPr="00614BA2">
        <w:rPr>
          <w:color w:val="000000" w:themeColor="text1"/>
          <w:lang w:val="ru-RU"/>
        </w:rPr>
        <w:t>5</w:t>
      </w:r>
      <w:r w:rsidRPr="00614BA2">
        <w:rPr>
          <w:color w:val="000000" w:themeColor="text1"/>
        </w:rPr>
        <w:t> 906,7 млн. лв. (14,5 %). В номинален размер приходите от преки данъци възлизат на 9 923,8 млн. лв., приходите от косвени данъци са в размер на 21 541,</w:t>
      </w:r>
      <w:r w:rsidR="00014EDC" w:rsidRPr="00042EBB">
        <w:rPr>
          <w:color w:val="000000" w:themeColor="text1"/>
          <w:lang w:val="ru-RU"/>
        </w:rPr>
        <w:t>5</w:t>
      </w:r>
      <w:r w:rsidRPr="00614BA2">
        <w:rPr>
          <w:color w:val="000000" w:themeColor="text1"/>
        </w:rPr>
        <w:t xml:space="preserve"> млн. лв., приходите от осигурителни вноски са в размер на 13 737,7 млн. лв., а постъпленията от други данъци (включват други данъци по ЗКПО, имуществени данъци и др.) са в размер на 1 580,0 млн. лева.</w:t>
      </w:r>
    </w:p>
    <w:p w14:paraId="3FD6A6C5" w14:textId="77777777" w:rsidR="00612D58" w:rsidRPr="00A40253" w:rsidRDefault="00612D58" w:rsidP="00612D58">
      <w:pPr>
        <w:spacing w:after="60"/>
        <w:ind w:firstLine="720"/>
        <w:jc w:val="both"/>
        <w:rPr>
          <w:color w:val="000000" w:themeColor="text1"/>
        </w:rPr>
      </w:pPr>
      <w:r w:rsidRPr="00614BA2">
        <w:rPr>
          <w:color w:val="000000" w:themeColor="text1"/>
        </w:rPr>
        <w:t xml:space="preserve">Приходите в частта на </w:t>
      </w:r>
      <w:r w:rsidRPr="00614BA2">
        <w:rPr>
          <w:i/>
          <w:color w:val="000000" w:themeColor="text1"/>
          <w:u w:val="single"/>
        </w:rPr>
        <w:t>преките данъци</w:t>
      </w:r>
      <w:r w:rsidRPr="00614BA2">
        <w:rPr>
          <w:color w:val="000000" w:themeColor="text1"/>
        </w:rPr>
        <w:t xml:space="preserve"> възлизат 9 923,8 млн. лв., което представлява 109,6 % спрямо планираните за годината. Постъпленията от преки данъци за 2022 г. представляват 6,0 % от БВП при 5,9 % от БВП за 2021 г. </w:t>
      </w:r>
      <w:r w:rsidRPr="002F609E">
        <w:rPr>
          <w:color w:val="000000" w:themeColor="text1"/>
        </w:rPr>
        <w:t xml:space="preserve">Приходите от </w:t>
      </w:r>
      <w:r w:rsidRPr="002F609E">
        <w:rPr>
          <w:i/>
          <w:color w:val="000000" w:themeColor="text1"/>
          <w:u w:val="single"/>
        </w:rPr>
        <w:t>косвени данъци</w:t>
      </w:r>
      <w:r w:rsidRPr="002F609E">
        <w:rPr>
          <w:color w:val="000000" w:themeColor="text1"/>
        </w:rPr>
        <w:t xml:space="preserve"> са в размер на 21 541,5 млн. лв., което представлява 96,7 % от годишния разчет. Постъпленията от косвени данъци представляват 13,0 % от БВП, при 13,7 % за </w:t>
      </w:r>
      <w:r w:rsidRPr="00C54EE2">
        <w:rPr>
          <w:color w:val="000000" w:themeColor="text1"/>
        </w:rPr>
        <w:t xml:space="preserve">2021 г. Постъпленията от </w:t>
      </w:r>
      <w:r w:rsidRPr="00A40253">
        <w:rPr>
          <w:i/>
          <w:color w:val="000000" w:themeColor="text1"/>
          <w:u w:val="single"/>
        </w:rPr>
        <w:t>други данъци</w:t>
      </w:r>
      <w:r w:rsidRPr="00A40253">
        <w:rPr>
          <w:color w:val="000000" w:themeColor="text1"/>
        </w:rPr>
        <w:t xml:space="preserve"> (включват други данъци по ЗКПО, имуществени данъци и др.) са в размер на 1 580,0 млн. лв., което представлява 112,7 % от годишните разчети за 2022 година. </w:t>
      </w:r>
    </w:p>
    <w:p w14:paraId="28C89BCD" w14:textId="77777777" w:rsidR="00612D58" w:rsidRPr="00A40253" w:rsidRDefault="00612D58" w:rsidP="00612D58">
      <w:pPr>
        <w:spacing w:after="60"/>
        <w:ind w:firstLine="720"/>
        <w:jc w:val="both"/>
        <w:rPr>
          <w:bCs/>
          <w:color w:val="000000" w:themeColor="text1"/>
        </w:rPr>
      </w:pPr>
      <w:r w:rsidRPr="00A40253">
        <w:rPr>
          <w:color w:val="000000" w:themeColor="text1"/>
        </w:rPr>
        <w:t xml:space="preserve">Приходите от </w:t>
      </w:r>
      <w:r w:rsidRPr="00A40253">
        <w:rPr>
          <w:i/>
          <w:color w:val="000000" w:themeColor="text1"/>
          <w:u w:val="single"/>
        </w:rPr>
        <w:t>социалноосигурителни и здравни вноски</w:t>
      </w:r>
      <w:r w:rsidRPr="00A40253">
        <w:rPr>
          <w:color w:val="000000" w:themeColor="text1"/>
        </w:rPr>
        <w:t xml:space="preserve"> за 2022 г. са в размер на 13</w:t>
      </w:r>
      <w:r w:rsidRPr="00A40253">
        <w:rPr>
          <w:color w:val="000000" w:themeColor="text1"/>
          <w:lang w:val="en-US"/>
        </w:rPr>
        <w:t> </w:t>
      </w:r>
      <w:r w:rsidRPr="00A40253">
        <w:rPr>
          <w:color w:val="000000" w:themeColor="text1"/>
        </w:rPr>
        <w:t xml:space="preserve">737,7 млн. лв., 102,6 % спрямо планираните за 2022 г. и с 1 507,6 млн. лв. (12,3 %) повече спрямо предходната година. Отнесени към БВП, приходите от социално и здравноосигурителни вноски за 2022 г. </w:t>
      </w:r>
      <w:r w:rsidRPr="00A40253">
        <w:rPr>
          <w:bCs/>
          <w:color w:val="000000" w:themeColor="text1"/>
        </w:rPr>
        <w:t>представляват 8,3 % при 8,8 % от БВП за 2021 г.</w:t>
      </w:r>
      <w:r w:rsidRPr="00A40253">
        <w:rPr>
          <w:color w:val="000000" w:themeColor="text1"/>
        </w:rPr>
        <w:t xml:space="preserve"> Постъпилите през 2022 година приходи от социалноосигурителни вноски са в размер на 9 934,2 млн. лв., което е 103,1 % изпълнение на заложените за 2022 г. разчети и с 1 093,4 млн. лв. (12,4 %) повече спрямо 2021 г.</w:t>
      </w:r>
      <w:r w:rsidRPr="00A40253">
        <w:rPr>
          <w:bCs/>
          <w:color w:val="000000" w:themeColor="text1"/>
        </w:rPr>
        <w:t xml:space="preserve"> Приходите от здравноосигурителни вноски, постъпили по бюджета на НЗОК, са в размер на 3 803,5 млн. лв., което е 101,2 % изпълнение на заложените в ЗБНЗОК за 2022 г. средства и с 414,2 млн. лв. (12,2 %) повече спрямо 2021 г. </w:t>
      </w:r>
    </w:p>
    <w:p w14:paraId="330DBED9" w14:textId="47956DD2" w:rsidR="00612D58" w:rsidRPr="007B48E9" w:rsidRDefault="00612D58" w:rsidP="00612D58">
      <w:pPr>
        <w:spacing w:after="60"/>
        <w:ind w:firstLine="720"/>
        <w:jc w:val="both"/>
        <w:rPr>
          <w:color w:val="0070C0"/>
        </w:rPr>
      </w:pPr>
      <w:r w:rsidRPr="005F31E1">
        <w:rPr>
          <w:b/>
          <w:i/>
          <w:color w:val="000000" w:themeColor="text1"/>
          <w:u w:val="single"/>
        </w:rPr>
        <w:t>Неданъчните приходи</w:t>
      </w:r>
      <w:r w:rsidRPr="005F31E1">
        <w:rPr>
          <w:b/>
          <w:color w:val="000000" w:themeColor="text1"/>
        </w:rPr>
        <w:t xml:space="preserve"> </w:t>
      </w:r>
      <w:r w:rsidRPr="005F31E1">
        <w:rPr>
          <w:color w:val="000000" w:themeColor="text1"/>
        </w:rPr>
        <w:t xml:space="preserve">са </w:t>
      </w:r>
      <w:r w:rsidRPr="005F31E1">
        <w:rPr>
          <w:b/>
          <w:i/>
          <w:color w:val="000000" w:themeColor="text1"/>
        </w:rPr>
        <w:t>12 000,</w:t>
      </w:r>
      <w:r w:rsidR="00014EDC" w:rsidRPr="00042EBB">
        <w:rPr>
          <w:b/>
          <w:i/>
          <w:color w:val="000000" w:themeColor="text1"/>
          <w:lang w:val="ru-RU"/>
        </w:rPr>
        <w:t>3</w:t>
      </w:r>
      <w:r w:rsidRPr="005F31E1">
        <w:rPr>
          <w:b/>
          <w:i/>
          <w:color w:val="000000" w:themeColor="text1"/>
        </w:rPr>
        <w:t xml:space="preserve"> млн</w:t>
      </w:r>
      <w:r w:rsidRPr="005F31E1">
        <w:rPr>
          <w:b/>
          <w:i/>
        </w:rPr>
        <w:t>. лв</w:t>
      </w:r>
      <w:r w:rsidRPr="005F31E1">
        <w:rPr>
          <w:i/>
        </w:rPr>
        <w:t>.</w:t>
      </w:r>
      <w:r w:rsidRPr="00A175F4">
        <w:t xml:space="preserve"> </w:t>
      </w:r>
      <w:r w:rsidRPr="005529E5">
        <w:t>(вкл. 3 181,0 млн. лв. еднократни извънредни приходи)</w:t>
      </w:r>
      <w:r>
        <w:t xml:space="preserve">, </w:t>
      </w:r>
      <w:r w:rsidRPr="00A175F4">
        <w:t xml:space="preserve">което представлява </w:t>
      </w:r>
      <w:r>
        <w:t>163,4</w:t>
      </w:r>
      <w:r w:rsidRPr="00A175F4">
        <w:t> % изпълнение на годишните разчети.</w:t>
      </w:r>
      <w:r w:rsidRPr="005529E5">
        <w:t xml:space="preserve"> На </w:t>
      </w:r>
      <w:r w:rsidRPr="005F31E1">
        <w:rPr>
          <w:color w:val="000000" w:themeColor="text1"/>
        </w:rPr>
        <w:t>съпоставима база, при елиминиране на въздействието на еднократни извънредни приходи, неданъчните приходи по КФП за 2022 г. са в размер на 8 819,</w:t>
      </w:r>
      <w:r w:rsidR="00014EDC" w:rsidRPr="00042EBB">
        <w:rPr>
          <w:color w:val="000000" w:themeColor="text1"/>
          <w:lang w:val="ru-RU"/>
        </w:rPr>
        <w:t>3</w:t>
      </w:r>
      <w:r w:rsidRPr="005F31E1">
        <w:rPr>
          <w:color w:val="000000" w:themeColor="text1"/>
        </w:rPr>
        <w:t xml:space="preserve"> млн. лв., което представлява преизпълнение на годишния разчет с 20,1 на сто (1 476,</w:t>
      </w:r>
      <w:r w:rsidR="00014EDC" w:rsidRPr="00042EBB">
        <w:rPr>
          <w:color w:val="000000" w:themeColor="text1"/>
          <w:lang w:val="ru-RU"/>
        </w:rPr>
        <w:t>0</w:t>
      </w:r>
      <w:r w:rsidRPr="005F31E1">
        <w:rPr>
          <w:color w:val="000000" w:themeColor="text1"/>
        </w:rPr>
        <w:t xml:space="preserve"> млн. лв.). Относителният дял на неданъчните приходи към общите постъпления по КФП е 18,5 %. Неданъчните постъпления за 2022 г. представляват 7,3 % от БВП за годината, при 5,8 % от БВП за 2021 г. Това е с 3 882,</w:t>
      </w:r>
      <w:r w:rsidR="00014EDC" w:rsidRPr="00042EBB">
        <w:rPr>
          <w:color w:val="000000" w:themeColor="text1"/>
          <w:lang w:val="ru-RU"/>
        </w:rPr>
        <w:t>3</w:t>
      </w:r>
      <w:r w:rsidRPr="005F31E1">
        <w:rPr>
          <w:color w:val="000000" w:themeColor="text1"/>
        </w:rPr>
        <w:t xml:space="preserve"> млн. лв. (47,8 %) повече спрямо предходната година. </w:t>
      </w:r>
    </w:p>
    <w:p w14:paraId="315F473A" w14:textId="72C36F15" w:rsidR="00612D58" w:rsidRPr="00A40253" w:rsidRDefault="00612D58" w:rsidP="00612D58">
      <w:pPr>
        <w:spacing w:after="60"/>
        <w:ind w:firstLine="720"/>
        <w:jc w:val="both"/>
        <w:rPr>
          <w:color w:val="000000" w:themeColor="text1"/>
          <w:sz w:val="16"/>
        </w:rPr>
      </w:pPr>
      <w:r w:rsidRPr="00A40253">
        <w:rPr>
          <w:b/>
          <w:i/>
          <w:color w:val="000000" w:themeColor="text1"/>
          <w:u w:val="single"/>
        </w:rPr>
        <w:t xml:space="preserve">Помощите и даренията </w:t>
      </w:r>
      <w:r w:rsidRPr="00A40253">
        <w:rPr>
          <w:color w:val="000000" w:themeColor="text1"/>
        </w:rPr>
        <w:t xml:space="preserve">(основно помощи от фондовете на ЕС) за 2022 г. са в размер </w:t>
      </w:r>
      <w:r w:rsidRPr="00A40253">
        <w:rPr>
          <w:b/>
          <w:i/>
          <w:color w:val="000000" w:themeColor="text1"/>
        </w:rPr>
        <w:t>6 005,4 млн. лв.</w:t>
      </w:r>
      <w:r w:rsidRPr="00A40253">
        <w:rPr>
          <w:color w:val="000000" w:themeColor="text1"/>
        </w:rPr>
        <w:t>, което представлява 97,0</w:t>
      </w:r>
      <w:r w:rsidRPr="00A40253">
        <w:rPr>
          <w:color w:val="000000" w:themeColor="text1"/>
          <w:lang w:val="en-US"/>
        </w:rPr>
        <w:t> </w:t>
      </w:r>
      <w:r w:rsidRPr="00A40253">
        <w:rPr>
          <w:color w:val="000000" w:themeColor="text1"/>
        </w:rPr>
        <w:t xml:space="preserve">% от разчета за годината. Постъпилите помощи и дарения за 2022 г. представляват 3,6 % от БВП за годината, при 2,5 % от БВП за 2021 г. </w:t>
      </w:r>
    </w:p>
    <w:p w14:paraId="2F3C3EFC" w14:textId="77777777" w:rsidR="00612D58" w:rsidRDefault="00612D58" w:rsidP="00612D58">
      <w:pPr>
        <w:tabs>
          <w:tab w:val="left" w:pos="720"/>
        </w:tabs>
        <w:ind w:firstLine="540"/>
        <w:jc w:val="both"/>
        <w:rPr>
          <w:b/>
          <w:bCs/>
          <w:i/>
          <w:color w:val="000000" w:themeColor="text1"/>
          <w:sz w:val="8"/>
        </w:rPr>
      </w:pPr>
    </w:p>
    <w:p w14:paraId="27C09B24" w14:textId="77777777" w:rsidR="0092579B" w:rsidRDefault="0092579B" w:rsidP="00612D58">
      <w:pPr>
        <w:tabs>
          <w:tab w:val="left" w:pos="720"/>
        </w:tabs>
        <w:ind w:firstLine="540"/>
        <w:jc w:val="both"/>
        <w:rPr>
          <w:b/>
          <w:bCs/>
          <w:i/>
          <w:color w:val="000000" w:themeColor="text1"/>
          <w:sz w:val="8"/>
        </w:rPr>
      </w:pPr>
    </w:p>
    <w:p w14:paraId="230C6A67" w14:textId="77777777" w:rsidR="0092579B" w:rsidRDefault="0092579B" w:rsidP="00612D58">
      <w:pPr>
        <w:tabs>
          <w:tab w:val="left" w:pos="720"/>
        </w:tabs>
        <w:ind w:firstLine="540"/>
        <w:jc w:val="both"/>
        <w:rPr>
          <w:b/>
          <w:bCs/>
          <w:i/>
          <w:color w:val="000000" w:themeColor="text1"/>
          <w:sz w:val="8"/>
        </w:rPr>
      </w:pPr>
    </w:p>
    <w:p w14:paraId="2E5ABF58" w14:textId="77777777" w:rsidR="0092579B" w:rsidRDefault="0092579B" w:rsidP="00612D58">
      <w:pPr>
        <w:tabs>
          <w:tab w:val="left" w:pos="720"/>
        </w:tabs>
        <w:ind w:firstLine="540"/>
        <w:jc w:val="both"/>
        <w:rPr>
          <w:b/>
          <w:bCs/>
          <w:i/>
          <w:color w:val="000000" w:themeColor="text1"/>
          <w:sz w:val="8"/>
        </w:rPr>
      </w:pPr>
    </w:p>
    <w:p w14:paraId="6A6B6935" w14:textId="77777777" w:rsidR="0092579B" w:rsidRDefault="0092579B" w:rsidP="00612D58">
      <w:pPr>
        <w:tabs>
          <w:tab w:val="left" w:pos="720"/>
        </w:tabs>
        <w:ind w:firstLine="540"/>
        <w:jc w:val="both"/>
        <w:rPr>
          <w:b/>
          <w:bCs/>
          <w:i/>
          <w:color w:val="000000" w:themeColor="text1"/>
          <w:sz w:val="8"/>
        </w:rPr>
      </w:pPr>
    </w:p>
    <w:p w14:paraId="35B01914" w14:textId="77777777" w:rsidR="0092579B" w:rsidRDefault="0092579B" w:rsidP="00612D58">
      <w:pPr>
        <w:tabs>
          <w:tab w:val="left" w:pos="720"/>
        </w:tabs>
        <w:ind w:firstLine="540"/>
        <w:jc w:val="both"/>
        <w:rPr>
          <w:b/>
          <w:bCs/>
          <w:i/>
          <w:color w:val="000000" w:themeColor="text1"/>
          <w:sz w:val="8"/>
        </w:rPr>
      </w:pPr>
    </w:p>
    <w:p w14:paraId="3FBEF3A6" w14:textId="77777777" w:rsidR="0092579B" w:rsidRDefault="0092579B" w:rsidP="00612D58">
      <w:pPr>
        <w:tabs>
          <w:tab w:val="left" w:pos="720"/>
        </w:tabs>
        <w:ind w:firstLine="540"/>
        <w:jc w:val="both"/>
        <w:rPr>
          <w:b/>
          <w:bCs/>
          <w:i/>
          <w:color w:val="000000" w:themeColor="text1"/>
          <w:sz w:val="8"/>
        </w:rPr>
      </w:pPr>
    </w:p>
    <w:p w14:paraId="1B9609EA" w14:textId="77777777" w:rsidR="0092579B" w:rsidRDefault="0092579B" w:rsidP="00612D58">
      <w:pPr>
        <w:tabs>
          <w:tab w:val="left" w:pos="720"/>
        </w:tabs>
        <w:ind w:firstLine="540"/>
        <w:jc w:val="both"/>
        <w:rPr>
          <w:b/>
          <w:bCs/>
          <w:i/>
          <w:color w:val="000000" w:themeColor="text1"/>
          <w:sz w:val="8"/>
        </w:rPr>
      </w:pPr>
    </w:p>
    <w:p w14:paraId="66070AFB" w14:textId="77777777" w:rsidR="0092579B" w:rsidRDefault="0092579B" w:rsidP="00612D58">
      <w:pPr>
        <w:tabs>
          <w:tab w:val="left" w:pos="720"/>
        </w:tabs>
        <w:ind w:firstLine="540"/>
        <w:jc w:val="both"/>
        <w:rPr>
          <w:b/>
          <w:bCs/>
          <w:i/>
          <w:color w:val="000000" w:themeColor="text1"/>
          <w:sz w:val="8"/>
        </w:rPr>
      </w:pPr>
    </w:p>
    <w:p w14:paraId="373D2922" w14:textId="77777777" w:rsidR="0092579B" w:rsidRDefault="0092579B" w:rsidP="00612D58">
      <w:pPr>
        <w:tabs>
          <w:tab w:val="left" w:pos="720"/>
        </w:tabs>
        <w:ind w:firstLine="540"/>
        <w:jc w:val="both"/>
        <w:rPr>
          <w:b/>
          <w:bCs/>
          <w:i/>
          <w:color w:val="000000" w:themeColor="text1"/>
          <w:sz w:val="8"/>
        </w:rPr>
      </w:pPr>
    </w:p>
    <w:p w14:paraId="405FD10C" w14:textId="77777777" w:rsidR="0092579B" w:rsidRDefault="0092579B" w:rsidP="00612D58">
      <w:pPr>
        <w:tabs>
          <w:tab w:val="left" w:pos="720"/>
        </w:tabs>
        <w:ind w:firstLine="540"/>
        <w:jc w:val="both"/>
        <w:rPr>
          <w:b/>
          <w:bCs/>
          <w:i/>
          <w:color w:val="000000" w:themeColor="text1"/>
          <w:sz w:val="8"/>
        </w:rPr>
      </w:pPr>
    </w:p>
    <w:p w14:paraId="36E38F14" w14:textId="77777777" w:rsidR="0092579B" w:rsidRDefault="0092579B" w:rsidP="00612D58">
      <w:pPr>
        <w:tabs>
          <w:tab w:val="left" w:pos="720"/>
        </w:tabs>
        <w:ind w:firstLine="540"/>
        <w:jc w:val="both"/>
        <w:rPr>
          <w:b/>
          <w:bCs/>
          <w:i/>
          <w:color w:val="000000" w:themeColor="text1"/>
          <w:sz w:val="8"/>
        </w:rPr>
      </w:pPr>
    </w:p>
    <w:p w14:paraId="52F4C450" w14:textId="77777777" w:rsidR="0092579B" w:rsidRDefault="0092579B" w:rsidP="00612D58">
      <w:pPr>
        <w:tabs>
          <w:tab w:val="left" w:pos="720"/>
        </w:tabs>
        <w:ind w:firstLine="540"/>
        <w:jc w:val="both"/>
        <w:rPr>
          <w:b/>
          <w:bCs/>
          <w:i/>
          <w:color w:val="000000" w:themeColor="text1"/>
          <w:sz w:val="8"/>
        </w:rPr>
      </w:pPr>
    </w:p>
    <w:p w14:paraId="131C06EF" w14:textId="77777777" w:rsidR="0092579B" w:rsidRDefault="0092579B" w:rsidP="00612D58">
      <w:pPr>
        <w:tabs>
          <w:tab w:val="left" w:pos="720"/>
        </w:tabs>
        <w:ind w:firstLine="540"/>
        <w:jc w:val="both"/>
        <w:rPr>
          <w:b/>
          <w:bCs/>
          <w:i/>
          <w:color w:val="000000" w:themeColor="text1"/>
          <w:sz w:val="8"/>
        </w:rPr>
      </w:pPr>
    </w:p>
    <w:p w14:paraId="3542B872" w14:textId="77777777" w:rsidR="0092579B" w:rsidRDefault="0092579B" w:rsidP="00612D58">
      <w:pPr>
        <w:tabs>
          <w:tab w:val="left" w:pos="720"/>
        </w:tabs>
        <w:ind w:firstLine="540"/>
        <w:jc w:val="both"/>
        <w:rPr>
          <w:b/>
          <w:bCs/>
          <w:i/>
          <w:color w:val="000000" w:themeColor="text1"/>
          <w:sz w:val="8"/>
        </w:rPr>
      </w:pPr>
    </w:p>
    <w:p w14:paraId="5BAABB0A" w14:textId="77777777" w:rsidR="0092579B" w:rsidRDefault="0092579B" w:rsidP="00612D58">
      <w:pPr>
        <w:tabs>
          <w:tab w:val="left" w:pos="720"/>
        </w:tabs>
        <w:ind w:firstLine="540"/>
        <w:jc w:val="both"/>
        <w:rPr>
          <w:b/>
          <w:bCs/>
          <w:i/>
          <w:color w:val="000000" w:themeColor="text1"/>
          <w:sz w:val="8"/>
        </w:rPr>
      </w:pPr>
    </w:p>
    <w:p w14:paraId="3FD64F5E" w14:textId="77777777" w:rsidR="0092579B" w:rsidRDefault="0092579B" w:rsidP="00612D58">
      <w:pPr>
        <w:tabs>
          <w:tab w:val="left" w:pos="720"/>
        </w:tabs>
        <w:ind w:firstLine="540"/>
        <w:jc w:val="both"/>
        <w:rPr>
          <w:b/>
          <w:bCs/>
          <w:i/>
          <w:color w:val="000000" w:themeColor="text1"/>
          <w:sz w:val="8"/>
        </w:rPr>
      </w:pPr>
    </w:p>
    <w:p w14:paraId="1BAF8FBC" w14:textId="77777777" w:rsidR="0092579B" w:rsidRDefault="0092579B" w:rsidP="00612D58">
      <w:pPr>
        <w:tabs>
          <w:tab w:val="left" w:pos="720"/>
        </w:tabs>
        <w:ind w:firstLine="540"/>
        <w:jc w:val="both"/>
        <w:rPr>
          <w:b/>
          <w:bCs/>
          <w:i/>
          <w:color w:val="000000" w:themeColor="text1"/>
          <w:sz w:val="8"/>
        </w:rPr>
      </w:pPr>
    </w:p>
    <w:p w14:paraId="3929D6D2" w14:textId="77777777" w:rsidR="0092579B" w:rsidRDefault="0092579B" w:rsidP="00612D58">
      <w:pPr>
        <w:tabs>
          <w:tab w:val="left" w:pos="720"/>
        </w:tabs>
        <w:ind w:firstLine="540"/>
        <w:jc w:val="both"/>
        <w:rPr>
          <w:b/>
          <w:bCs/>
          <w:i/>
          <w:color w:val="000000" w:themeColor="text1"/>
          <w:sz w:val="8"/>
        </w:rPr>
      </w:pPr>
    </w:p>
    <w:p w14:paraId="1523009F" w14:textId="77777777" w:rsidR="0092579B" w:rsidRDefault="0092579B" w:rsidP="00612D58">
      <w:pPr>
        <w:tabs>
          <w:tab w:val="left" w:pos="720"/>
        </w:tabs>
        <w:ind w:firstLine="540"/>
        <w:jc w:val="both"/>
        <w:rPr>
          <w:b/>
          <w:bCs/>
          <w:i/>
          <w:color w:val="000000" w:themeColor="text1"/>
          <w:sz w:val="8"/>
        </w:rPr>
      </w:pPr>
    </w:p>
    <w:p w14:paraId="7ADB8E6D" w14:textId="77777777" w:rsidR="0092579B" w:rsidRDefault="0092579B" w:rsidP="00612D58">
      <w:pPr>
        <w:tabs>
          <w:tab w:val="left" w:pos="720"/>
        </w:tabs>
        <w:ind w:firstLine="540"/>
        <w:jc w:val="both"/>
        <w:rPr>
          <w:b/>
          <w:bCs/>
          <w:i/>
          <w:color w:val="000000" w:themeColor="text1"/>
          <w:sz w:val="8"/>
        </w:rPr>
      </w:pPr>
    </w:p>
    <w:p w14:paraId="53F3F46A" w14:textId="77777777" w:rsidR="0092579B" w:rsidRDefault="0092579B" w:rsidP="00612D58">
      <w:pPr>
        <w:tabs>
          <w:tab w:val="left" w:pos="720"/>
        </w:tabs>
        <w:ind w:firstLine="540"/>
        <w:jc w:val="both"/>
        <w:rPr>
          <w:b/>
          <w:bCs/>
          <w:i/>
          <w:color w:val="000000" w:themeColor="text1"/>
          <w:sz w:val="8"/>
        </w:rPr>
      </w:pPr>
    </w:p>
    <w:p w14:paraId="50F47A45" w14:textId="77777777" w:rsidR="0092579B" w:rsidRDefault="0092579B" w:rsidP="00612D58">
      <w:pPr>
        <w:tabs>
          <w:tab w:val="left" w:pos="720"/>
        </w:tabs>
        <w:ind w:firstLine="540"/>
        <w:jc w:val="both"/>
        <w:rPr>
          <w:b/>
          <w:bCs/>
          <w:i/>
          <w:color w:val="000000" w:themeColor="text1"/>
          <w:sz w:val="8"/>
        </w:rPr>
      </w:pPr>
    </w:p>
    <w:p w14:paraId="4E039B42" w14:textId="77777777" w:rsidR="0092579B" w:rsidRDefault="0092579B" w:rsidP="00612D58">
      <w:pPr>
        <w:tabs>
          <w:tab w:val="left" w:pos="720"/>
        </w:tabs>
        <w:ind w:firstLine="540"/>
        <w:jc w:val="both"/>
        <w:rPr>
          <w:b/>
          <w:bCs/>
          <w:i/>
          <w:color w:val="000000" w:themeColor="text1"/>
          <w:sz w:val="8"/>
        </w:rPr>
      </w:pPr>
    </w:p>
    <w:p w14:paraId="7B6805EB" w14:textId="77777777" w:rsidR="0092579B" w:rsidRDefault="0092579B" w:rsidP="00612D58">
      <w:pPr>
        <w:tabs>
          <w:tab w:val="left" w:pos="720"/>
        </w:tabs>
        <w:ind w:firstLine="540"/>
        <w:jc w:val="both"/>
        <w:rPr>
          <w:b/>
          <w:bCs/>
          <w:i/>
          <w:color w:val="000000" w:themeColor="text1"/>
          <w:sz w:val="8"/>
        </w:rPr>
      </w:pPr>
    </w:p>
    <w:p w14:paraId="60B80B7E" w14:textId="77777777" w:rsidR="0092579B" w:rsidRDefault="0092579B" w:rsidP="00612D58">
      <w:pPr>
        <w:tabs>
          <w:tab w:val="left" w:pos="720"/>
        </w:tabs>
        <w:ind w:firstLine="540"/>
        <w:jc w:val="both"/>
        <w:rPr>
          <w:b/>
          <w:bCs/>
          <w:i/>
          <w:color w:val="000000" w:themeColor="text1"/>
          <w:sz w:val="8"/>
        </w:rPr>
      </w:pPr>
    </w:p>
    <w:p w14:paraId="0F9DDC09" w14:textId="77777777" w:rsidR="0092579B" w:rsidRDefault="0092579B" w:rsidP="00612D58">
      <w:pPr>
        <w:tabs>
          <w:tab w:val="left" w:pos="720"/>
        </w:tabs>
        <w:ind w:firstLine="540"/>
        <w:jc w:val="both"/>
        <w:rPr>
          <w:b/>
          <w:bCs/>
          <w:i/>
          <w:color w:val="000000" w:themeColor="text1"/>
          <w:sz w:val="8"/>
        </w:rPr>
      </w:pPr>
    </w:p>
    <w:p w14:paraId="360EF107" w14:textId="77777777" w:rsidR="0092579B" w:rsidRDefault="0092579B" w:rsidP="00612D58">
      <w:pPr>
        <w:tabs>
          <w:tab w:val="left" w:pos="720"/>
        </w:tabs>
        <w:ind w:firstLine="540"/>
        <w:jc w:val="both"/>
        <w:rPr>
          <w:b/>
          <w:bCs/>
          <w:i/>
          <w:color w:val="000000" w:themeColor="text1"/>
          <w:sz w:val="8"/>
        </w:rPr>
      </w:pPr>
    </w:p>
    <w:p w14:paraId="76417660" w14:textId="77777777" w:rsidR="0092579B" w:rsidRDefault="0092579B" w:rsidP="00612D58">
      <w:pPr>
        <w:tabs>
          <w:tab w:val="left" w:pos="720"/>
        </w:tabs>
        <w:ind w:firstLine="540"/>
        <w:jc w:val="both"/>
        <w:rPr>
          <w:b/>
          <w:bCs/>
          <w:i/>
          <w:color w:val="000000" w:themeColor="text1"/>
          <w:sz w:val="8"/>
        </w:rPr>
      </w:pPr>
    </w:p>
    <w:p w14:paraId="4867431A" w14:textId="77777777" w:rsidR="0092579B" w:rsidRPr="00A40253" w:rsidRDefault="0092579B" w:rsidP="00612D58">
      <w:pPr>
        <w:tabs>
          <w:tab w:val="left" w:pos="720"/>
        </w:tabs>
        <w:ind w:firstLine="540"/>
        <w:jc w:val="both"/>
        <w:rPr>
          <w:b/>
          <w:bCs/>
          <w:i/>
          <w:color w:val="000000" w:themeColor="text1"/>
          <w:sz w:val="8"/>
        </w:rPr>
      </w:pPr>
    </w:p>
    <w:p w14:paraId="354904E4" w14:textId="77777777" w:rsidR="00612D58" w:rsidRPr="00A40253" w:rsidRDefault="00612D58" w:rsidP="00612D58">
      <w:pPr>
        <w:tabs>
          <w:tab w:val="left" w:pos="720"/>
        </w:tabs>
        <w:ind w:firstLine="540"/>
        <w:jc w:val="both"/>
        <w:rPr>
          <w:b/>
          <w:bCs/>
          <w:i/>
          <w:color w:val="000000" w:themeColor="text1"/>
        </w:rPr>
      </w:pPr>
      <w:r w:rsidRPr="00A40253">
        <w:rPr>
          <w:b/>
          <w:bCs/>
          <w:i/>
          <w:color w:val="000000" w:themeColor="text1"/>
        </w:rPr>
        <w:t>Приходи по КФП за 202</w:t>
      </w:r>
      <w:r>
        <w:rPr>
          <w:b/>
          <w:bCs/>
          <w:i/>
          <w:color w:val="000000" w:themeColor="text1"/>
        </w:rPr>
        <w:t>1</w:t>
      </w:r>
      <w:r w:rsidRPr="00A40253">
        <w:rPr>
          <w:b/>
          <w:bCs/>
          <w:i/>
          <w:color w:val="000000" w:themeColor="text1"/>
        </w:rPr>
        <w:t xml:space="preserve"> г. и 202</w:t>
      </w:r>
      <w:r>
        <w:rPr>
          <w:b/>
          <w:bCs/>
          <w:i/>
          <w:color w:val="000000" w:themeColor="text1"/>
        </w:rPr>
        <w:t>2</w:t>
      </w:r>
      <w:r w:rsidRPr="00A40253">
        <w:rPr>
          <w:b/>
          <w:bCs/>
          <w:i/>
          <w:color w:val="000000" w:themeColor="text1"/>
        </w:rPr>
        <w:t xml:space="preserve"> г., представени като процент от БВП</w:t>
      </w:r>
    </w:p>
    <w:p w14:paraId="28CF2A5E" w14:textId="76FDA856" w:rsidR="00B3337C" w:rsidRDefault="00B3337C" w:rsidP="00612D58">
      <w:pPr>
        <w:tabs>
          <w:tab w:val="left" w:pos="720"/>
        </w:tabs>
        <w:ind w:firstLine="540"/>
        <w:jc w:val="both"/>
        <w:rPr>
          <w:b/>
          <w:bCs/>
          <w:i/>
          <w:color w:val="000000" w:themeColor="text1"/>
          <w:sz w:val="12"/>
        </w:rPr>
      </w:pPr>
    </w:p>
    <w:p w14:paraId="7C2FED17" w14:textId="417CFE6A" w:rsidR="00B3337C" w:rsidRDefault="00B3337C" w:rsidP="00612D58">
      <w:pPr>
        <w:tabs>
          <w:tab w:val="left" w:pos="720"/>
        </w:tabs>
        <w:ind w:firstLine="540"/>
        <w:jc w:val="both"/>
        <w:rPr>
          <w:b/>
          <w:bCs/>
          <w:i/>
          <w:color w:val="000000" w:themeColor="text1"/>
          <w:sz w:val="12"/>
        </w:rPr>
      </w:pPr>
      <w:r>
        <w:rPr>
          <w:b/>
          <w:bCs/>
          <w:i/>
          <w:noProof/>
          <w:color w:val="000000" w:themeColor="text1"/>
          <w:sz w:val="12"/>
        </w:rPr>
        <w:drawing>
          <wp:inline distT="0" distB="0" distL="0" distR="0" wp14:anchorId="395E4D31" wp14:editId="60ABF49F">
            <wp:extent cx="5591175" cy="2430780"/>
            <wp:effectExtent l="0" t="0" r="952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96924" cy="2433279"/>
                    </a:xfrm>
                    <a:prstGeom prst="rect">
                      <a:avLst/>
                    </a:prstGeom>
                    <a:noFill/>
                  </pic:spPr>
                </pic:pic>
              </a:graphicData>
            </a:graphic>
          </wp:inline>
        </w:drawing>
      </w:r>
    </w:p>
    <w:p w14:paraId="57284EBB" w14:textId="77777777" w:rsidR="00B3337C" w:rsidRPr="00A40253" w:rsidRDefault="00B3337C" w:rsidP="00612D58">
      <w:pPr>
        <w:tabs>
          <w:tab w:val="left" w:pos="720"/>
        </w:tabs>
        <w:ind w:firstLine="540"/>
        <w:jc w:val="both"/>
        <w:rPr>
          <w:b/>
          <w:bCs/>
          <w:i/>
          <w:color w:val="000000" w:themeColor="text1"/>
          <w:sz w:val="12"/>
        </w:rPr>
      </w:pPr>
    </w:p>
    <w:p w14:paraId="6A70A057" w14:textId="77777777" w:rsidR="00612D58" w:rsidRPr="00476123" w:rsidRDefault="00612D58" w:rsidP="00612D58">
      <w:pPr>
        <w:ind w:left="360" w:firstLine="180"/>
        <w:jc w:val="both"/>
        <w:rPr>
          <w:color w:val="000000" w:themeColor="text1"/>
          <w:sz w:val="16"/>
          <w:szCs w:val="16"/>
        </w:rPr>
      </w:pPr>
      <w:bookmarkStart w:id="84" w:name="_MON_1529841387"/>
      <w:bookmarkStart w:id="85" w:name="_MON_1526740328"/>
      <w:bookmarkEnd w:id="84"/>
      <w:bookmarkEnd w:id="85"/>
      <w:r w:rsidRPr="00476123">
        <w:rPr>
          <w:color w:val="000000" w:themeColor="text1"/>
          <w:sz w:val="16"/>
          <w:szCs w:val="16"/>
        </w:rPr>
        <w:t>*В частта на преките данъци са включени и другите данъци</w:t>
      </w:r>
    </w:p>
    <w:p w14:paraId="7DC40CBB" w14:textId="77777777" w:rsidR="00612D58" w:rsidRPr="007B48E9" w:rsidRDefault="00612D58" w:rsidP="00612D58">
      <w:pPr>
        <w:tabs>
          <w:tab w:val="left" w:pos="1080"/>
        </w:tabs>
        <w:autoSpaceDE w:val="0"/>
        <w:autoSpaceDN w:val="0"/>
        <w:adjustRightInd w:val="0"/>
        <w:jc w:val="both"/>
        <w:rPr>
          <w:color w:val="0070C0"/>
          <w:sz w:val="8"/>
          <w:szCs w:val="8"/>
        </w:rPr>
      </w:pPr>
    </w:p>
    <w:p w14:paraId="65296E0C" w14:textId="26580293" w:rsidR="00612D58" w:rsidRPr="00461852" w:rsidRDefault="00612D58" w:rsidP="00612D58">
      <w:pPr>
        <w:spacing w:after="120"/>
        <w:ind w:firstLine="709"/>
        <w:jc w:val="both"/>
        <w:rPr>
          <w:b/>
          <w:i/>
          <w:noProof/>
        </w:rPr>
      </w:pPr>
      <w:r w:rsidRPr="00F64AE4">
        <w:rPr>
          <w:b/>
          <w:color w:val="000000" w:themeColor="text1"/>
        </w:rPr>
        <w:t>Общият размер на разходите по КФП</w:t>
      </w:r>
      <w:r w:rsidRPr="00F64AE4">
        <w:rPr>
          <w:color w:val="000000" w:themeColor="text1"/>
        </w:rPr>
        <w:t xml:space="preserve"> (вкл. вноската  на Република България в бюджета на ЕС) за годината </w:t>
      </w:r>
      <w:r w:rsidRPr="00F64AE4">
        <w:rPr>
          <w:b/>
          <w:color w:val="000000" w:themeColor="text1"/>
        </w:rPr>
        <w:t>възлиза на 6</w:t>
      </w:r>
      <w:r w:rsidRPr="00F64AE4">
        <w:rPr>
          <w:b/>
          <w:color w:val="000000" w:themeColor="text1"/>
          <w:lang w:val="ru-RU"/>
        </w:rPr>
        <w:t>6</w:t>
      </w:r>
      <w:r w:rsidRPr="00F64AE4">
        <w:rPr>
          <w:b/>
          <w:color w:val="000000" w:themeColor="text1"/>
          <w:lang w:val="en-US"/>
        </w:rPr>
        <w:t> </w:t>
      </w:r>
      <w:r w:rsidRPr="00F64AE4">
        <w:rPr>
          <w:b/>
          <w:color w:val="000000" w:themeColor="text1"/>
          <w:lang w:val="ru-RU"/>
        </w:rPr>
        <w:t>112</w:t>
      </w:r>
      <w:r w:rsidRPr="00F64AE4">
        <w:rPr>
          <w:b/>
          <w:color w:val="000000" w:themeColor="text1"/>
        </w:rPr>
        <w:t>,</w:t>
      </w:r>
      <w:r w:rsidR="00014EDC" w:rsidRPr="00042EBB">
        <w:rPr>
          <w:b/>
          <w:color w:val="000000" w:themeColor="text1"/>
          <w:lang w:val="ru-RU"/>
        </w:rPr>
        <w:t>3</w:t>
      </w:r>
      <w:r w:rsidRPr="00F64AE4">
        <w:rPr>
          <w:b/>
          <w:color w:val="000000" w:themeColor="text1"/>
        </w:rPr>
        <w:t xml:space="preserve"> млн. лв., вкл. 3 181,0 млн. лв. разходи с еднократен извънреден характер, които не са включени в </w:t>
      </w:r>
      <w:r w:rsidRPr="00542091">
        <w:rPr>
          <w:b/>
          <w:color w:val="000000" w:themeColor="text1"/>
        </w:rPr>
        <w:t>разчетите към ЗДБРБ за 2022 г.</w:t>
      </w:r>
      <w:r w:rsidRPr="00542091">
        <w:rPr>
          <w:color w:val="000000" w:themeColor="text1"/>
        </w:rPr>
        <w:t xml:space="preserve"> На съпоставима база с разчетите към ЗДБРБ за 2022 г. разходите по КФП са в размер на 62 931,</w:t>
      </w:r>
      <w:r w:rsidR="00014EDC" w:rsidRPr="00042EBB">
        <w:rPr>
          <w:color w:val="000000" w:themeColor="text1"/>
          <w:lang w:val="ru-RU"/>
        </w:rPr>
        <w:t>3</w:t>
      </w:r>
      <w:r w:rsidRPr="00542091">
        <w:rPr>
          <w:color w:val="000000" w:themeColor="text1"/>
        </w:rPr>
        <w:t xml:space="preserve"> млн. лв., което представлява 95,5 % от разчета към ЗДБРБ за 2022 г. </w:t>
      </w:r>
      <w:r w:rsidRPr="00542091">
        <w:rPr>
          <w:i/>
          <w:color w:val="000000" w:themeColor="text1"/>
        </w:rPr>
        <w:t xml:space="preserve">Лихвените плащания </w:t>
      </w:r>
      <w:r w:rsidRPr="00542091">
        <w:rPr>
          <w:color w:val="000000" w:themeColor="text1"/>
        </w:rPr>
        <w:t>възлизат на 6</w:t>
      </w:r>
      <w:r w:rsidRPr="00542091">
        <w:rPr>
          <w:color w:val="000000" w:themeColor="text1"/>
          <w:lang w:val="ru-RU"/>
        </w:rPr>
        <w:t>51</w:t>
      </w:r>
      <w:r w:rsidR="00B33516">
        <w:rPr>
          <w:color w:val="000000" w:themeColor="text1"/>
          <w:lang w:val="ru-RU"/>
        </w:rPr>
        <w:t>,</w:t>
      </w:r>
      <w:r w:rsidRPr="00542091">
        <w:rPr>
          <w:color w:val="000000" w:themeColor="text1"/>
          <w:lang w:val="ru-RU"/>
        </w:rPr>
        <w:t xml:space="preserve">8 </w:t>
      </w:r>
      <w:r w:rsidRPr="00542091">
        <w:rPr>
          <w:color w:val="000000" w:themeColor="text1"/>
        </w:rPr>
        <w:t>млн. лв. (9</w:t>
      </w:r>
      <w:r w:rsidRPr="00542091">
        <w:rPr>
          <w:color w:val="000000" w:themeColor="text1"/>
          <w:lang w:val="ru-RU"/>
        </w:rPr>
        <w:t>8</w:t>
      </w:r>
      <w:r w:rsidR="00B33516">
        <w:rPr>
          <w:color w:val="000000" w:themeColor="text1"/>
          <w:lang w:val="ru-RU"/>
        </w:rPr>
        <w:t>,</w:t>
      </w:r>
      <w:r w:rsidRPr="00542091">
        <w:rPr>
          <w:color w:val="000000" w:themeColor="text1"/>
          <w:lang w:val="ru-RU"/>
        </w:rPr>
        <w:t>1</w:t>
      </w:r>
      <w:r w:rsidRPr="00542091">
        <w:rPr>
          <w:color w:val="000000" w:themeColor="text1"/>
        </w:rPr>
        <w:t xml:space="preserve"> % от планираните за 202</w:t>
      </w:r>
      <w:r w:rsidRPr="00542091">
        <w:rPr>
          <w:color w:val="000000" w:themeColor="text1"/>
          <w:lang w:val="ru-RU"/>
        </w:rPr>
        <w:t>2</w:t>
      </w:r>
      <w:r w:rsidRPr="00542091">
        <w:rPr>
          <w:color w:val="000000" w:themeColor="text1"/>
        </w:rPr>
        <w:t> г.)</w:t>
      </w:r>
      <w:r w:rsidRPr="00542091">
        <w:rPr>
          <w:b/>
          <w:color w:val="000000" w:themeColor="text1"/>
        </w:rPr>
        <w:t xml:space="preserve">, </w:t>
      </w:r>
      <w:r w:rsidRPr="00542091">
        <w:rPr>
          <w:i/>
          <w:color w:val="000000" w:themeColor="text1"/>
        </w:rPr>
        <w:t>текущите нелихвени разходи</w:t>
      </w:r>
      <w:r w:rsidRPr="00542091">
        <w:rPr>
          <w:color w:val="000000" w:themeColor="text1"/>
        </w:rPr>
        <w:t xml:space="preserve"> (намалени с разходите с еднократен извънреден характер) са в размер на </w:t>
      </w:r>
      <w:r w:rsidRPr="00542091">
        <w:rPr>
          <w:i/>
          <w:color w:val="000000" w:themeColor="text1"/>
        </w:rPr>
        <w:t>54 8</w:t>
      </w:r>
      <w:r w:rsidRPr="00542091">
        <w:rPr>
          <w:i/>
          <w:color w:val="000000" w:themeColor="text1"/>
          <w:lang w:val="ru-RU"/>
        </w:rPr>
        <w:t>2</w:t>
      </w:r>
      <w:r w:rsidR="00014EDC" w:rsidRPr="00042EBB">
        <w:rPr>
          <w:i/>
          <w:color w:val="000000" w:themeColor="text1"/>
          <w:lang w:val="ru-RU"/>
        </w:rPr>
        <w:t>0</w:t>
      </w:r>
      <w:r w:rsidRPr="00542091">
        <w:rPr>
          <w:i/>
          <w:color w:val="000000" w:themeColor="text1"/>
        </w:rPr>
        <w:t>,</w:t>
      </w:r>
      <w:r w:rsidR="00014EDC" w:rsidRPr="00042EBB">
        <w:rPr>
          <w:i/>
          <w:color w:val="000000" w:themeColor="text1"/>
          <w:lang w:val="ru-RU"/>
        </w:rPr>
        <w:t>5</w:t>
      </w:r>
      <w:r w:rsidRPr="00542091">
        <w:rPr>
          <w:color w:val="000000" w:themeColor="text1"/>
        </w:rPr>
        <w:t xml:space="preserve"> </w:t>
      </w:r>
      <w:r w:rsidRPr="00542091">
        <w:rPr>
          <w:i/>
          <w:color w:val="000000" w:themeColor="text1"/>
        </w:rPr>
        <w:t>млн. лв</w:t>
      </w:r>
      <w:r w:rsidRPr="00542091">
        <w:rPr>
          <w:color w:val="000000" w:themeColor="text1"/>
        </w:rPr>
        <w:t xml:space="preserve">., </w:t>
      </w:r>
      <w:r w:rsidRPr="00542091">
        <w:rPr>
          <w:i/>
          <w:color w:val="000000" w:themeColor="text1"/>
        </w:rPr>
        <w:t>капиталовите разходи (вкл. нетния прираст на държа</w:t>
      </w:r>
      <w:r w:rsidRPr="004C485D">
        <w:rPr>
          <w:i/>
        </w:rPr>
        <w:t xml:space="preserve">вния резерв) </w:t>
      </w:r>
      <w:r w:rsidRPr="00E95D52">
        <w:t xml:space="preserve">възлизат на </w:t>
      </w:r>
      <w:r w:rsidRPr="004C485D">
        <w:rPr>
          <w:i/>
        </w:rPr>
        <w:t>5</w:t>
      </w:r>
      <w:r>
        <w:rPr>
          <w:i/>
        </w:rPr>
        <w:t> </w:t>
      </w:r>
      <w:r w:rsidRPr="004C485D">
        <w:rPr>
          <w:i/>
          <w:lang w:val="ru-RU"/>
        </w:rPr>
        <w:t>70</w:t>
      </w:r>
      <w:r w:rsidRPr="004C485D">
        <w:rPr>
          <w:i/>
        </w:rPr>
        <w:t>6,</w:t>
      </w:r>
      <w:r w:rsidR="00014EDC" w:rsidRPr="00042EBB">
        <w:rPr>
          <w:i/>
          <w:lang w:val="ru-RU"/>
        </w:rPr>
        <w:t>6</w:t>
      </w:r>
      <w:r w:rsidRPr="004C485D">
        <w:rPr>
          <w:i/>
        </w:rPr>
        <w:t xml:space="preserve"> млн. лв</w:t>
      </w:r>
      <w:r w:rsidRPr="00E95D52">
        <w:t>.</w:t>
      </w:r>
      <w:r>
        <w:t xml:space="preserve"> и</w:t>
      </w:r>
      <w:r w:rsidRPr="00E95D52">
        <w:t xml:space="preserve"> </w:t>
      </w:r>
      <w:r w:rsidRPr="00461852">
        <w:rPr>
          <w:i/>
        </w:rPr>
        <w:t>предоставените текущи и капиталови трансфери за чужбина</w:t>
      </w:r>
      <w:r w:rsidRPr="00461852">
        <w:t xml:space="preserve"> са в размер на </w:t>
      </w:r>
      <w:r w:rsidRPr="00461852">
        <w:rPr>
          <w:i/>
        </w:rPr>
        <w:t>47,</w:t>
      </w:r>
      <w:r w:rsidRPr="00461852">
        <w:rPr>
          <w:i/>
          <w:lang w:val="ru-RU"/>
        </w:rPr>
        <w:t>3</w:t>
      </w:r>
      <w:r w:rsidRPr="00461852">
        <w:rPr>
          <w:i/>
        </w:rPr>
        <w:t xml:space="preserve"> млн. лева</w:t>
      </w:r>
      <w:r w:rsidRPr="00461852">
        <w:t xml:space="preserve">. </w:t>
      </w:r>
      <w:r w:rsidRPr="00461852">
        <w:rPr>
          <w:bCs/>
        </w:rPr>
        <w:t>Разходите</w:t>
      </w:r>
      <w:r w:rsidRPr="00461852">
        <w:t xml:space="preserve"> по КФП, представени като процент от БВП, представляват 40,0 % от БВП за 2022 г. при 40,5 % от БВП за 2021 г. На съпоставима база разходите по КФП са по-ниски от планираните, като забавяне има при усвояването на разходите по сметките за средства от ЕС - основно по Плана за възстановяване и устойчивост (ПВУ) и някои оперативни програми и проекти по програмен период 2021-2027 г. По-ниско от планираното е и у</w:t>
      </w:r>
      <w:r w:rsidR="0092579B">
        <w:t>свояването на капиталовите разхо</w:t>
      </w:r>
      <w:r w:rsidRPr="00461852">
        <w:t>ди по държавния бюджет.</w:t>
      </w:r>
    </w:p>
    <w:p w14:paraId="016FB5FA" w14:textId="77777777" w:rsidR="00612D58" w:rsidRPr="00461852" w:rsidRDefault="00612D58" w:rsidP="00612D58">
      <w:pPr>
        <w:tabs>
          <w:tab w:val="left" w:pos="720"/>
        </w:tabs>
        <w:ind w:firstLine="540"/>
        <w:jc w:val="center"/>
        <w:rPr>
          <w:b/>
          <w:i/>
          <w:noProof/>
        </w:rPr>
      </w:pPr>
      <w:r w:rsidRPr="00461852">
        <w:rPr>
          <w:b/>
          <w:i/>
          <w:noProof/>
        </w:rPr>
        <w:t>Разходи по икономически елементи за 2021 г. и 2022 г., отнесени към БВП</w:t>
      </w:r>
    </w:p>
    <w:p w14:paraId="35A4F5B6" w14:textId="2C22B4FA" w:rsidR="00612D58" w:rsidRDefault="00612D58" w:rsidP="00612D58">
      <w:pPr>
        <w:tabs>
          <w:tab w:val="left" w:pos="720"/>
        </w:tabs>
        <w:ind w:firstLine="540"/>
        <w:jc w:val="center"/>
        <w:rPr>
          <w:b/>
          <w:i/>
          <w:noProof/>
        </w:rPr>
      </w:pPr>
    </w:p>
    <w:p w14:paraId="37D4D1DE" w14:textId="7A8077CD" w:rsidR="00893846" w:rsidRPr="0092579B" w:rsidRDefault="006E1637" w:rsidP="0092579B">
      <w:pPr>
        <w:tabs>
          <w:tab w:val="left" w:pos="720"/>
        </w:tabs>
        <w:ind w:firstLine="540"/>
        <w:jc w:val="center"/>
        <w:rPr>
          <w:b/>
          <w:i/>
          <w:noProof/>
        </w:rPr>
      </w:pPr>
      <w:r>
        <w:rPr>
          <w:b/>
          <w:i/>
          <w:noProof/>
        </w:rPr>
        <w:drawing>
          <wp:inline distT="0" distB="0" distL="0" distR="0" wp14:anchorId="4E235CEE" wp14:editId="1F221B5D">
            <wp:extent cx="5852160" cy="2705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8510" cy="2708035"/>
                    </a:xfrm>
                    <a:prstGeom prst="rect">
                      <a:avLst/>
                    </a:prstGeom>
                    <a:noFill/>
                  </pic:spPr>
                </pic:pic>
              </a:graphicData>
            </a:graphic>
          </wp:inline>
        </w:drawing>
      </w:r>
      <w:r w:rsidR="00893846" w:rsidRPr="007B48E9">
        <w:rPr>
          <w:b/>
          <w:i/>
          <w:noProof/>
          <w:color w:val="0070C0"/>
        </w:rPr>
        <w:br w:type="page"/>
      </w:r>
    </w:p>
    <w:p w14:paraId="5D367457" w14:textId="77777777" w:rsidR="0036681C" w:rsidRPr="004C688A" w:rsidRDefault="0036681C" w:rsidP="004D74B5">
      <w:pPr>
        <w:numPr>
          <w:ilvl w:val="0"/>
          <w:numId w:val="2"/>
        </w:numPr>
        <w:tabs>
          <w:tab w:val="clear" w:pos="1440"/>
          <w:tab w:val="num" w:pos="540"/>
        </w:tabs>
        <w:ind w:left="0" w:firstLine="360"/>
        <w:jc w:val="both"/>
      </w:pPr>
      <w:r w:rsidRPr="004C688A">
        <w:rPr>
          <w:b/>
        </w:rPr>
        <w:t>Разходите по КФП, разгледани по функционален признак,</w:t>
      </w:r>
      <w:r w:rsidRPr="004C688A">
        <w:t xml:space="preserve"> отразяват основните направления и приоритети в секторните политики през 2022 г. </w:t>
      </w:r>
    </w:p>
    <w:p w14:paraId="0D1A0979" w14:textId="77777777" w:rsidR="0036681C" w:rsidRPr="007B48E9" w:rsidRDefault="0036681C" w:rsidP="0036681C">
      <w:pPr>
        <w:ind w:left="360"/>
        <w:jc w:val="both"/>
        <w:rPr>
          <w:color w:val="0070C0"/>
          <w:sz w:val="10"/>
        </w:rPr>
      </w:pPr>
    </w:p>
    <w:tbl>
      <w:tblPr>
        <w:tblW w:w="9573" w:type="dxa"/>
        <w:tblInd w:w="70" w:type="dxa"/>
        <w:tblCellMar>
          <w:left w:w="70" w:type="dxa"/>
          <w:right w:w="70" w:type="dxa"/>
        </w:tblCellMar>
        <w:tblLook w:val="04A0" w:firstRow="1" w:lastRow="0" w:firstColumn="1" w:lastColumn="0" w:noHBand="0" w:noVBand="1"/>
      </w:tblPr>
      <w:tblGrid>
        <w:gridCol w:w="3889"/>
        <w:gridCol w:w="980"/>
        <w:gridCol w:w="1075"/>
        <w:gridCol w:w="929"/>
        <w:gridCol w:w="900"/>
        <w:gridCol w:w="955"/>
        <w:gridCol w:w="845"/>
      </w:tblGrid>
      <w:tr w:rsidR="0036681C" w:rsidRPr="004C688A" w14:paraId="55C9F7BB" w14:textId="77777777" w:rsidTr="00591F00">
        <w:trPr>
          <w:trHeight w:val="285"/>
        </w:trPr>
        <w:tc>
          <w:tcPr>
            <w:tcW w:w="3889" w:type="dxa"/>
            <w:tcBorders>
              <w:top w:val="double" w:sz="6" w:space="0" w:color="800000"/>
              <w:left w:val="double" w:sz="6" w:space="0" w:color="800000"/>
              <w:bottom w:val="single" w:sz="8" w:space="0" w:color="800000"/>
              <w:right w:val="single" w:sz="8" w:space="0" w:color="FFFFFF"/>
            </w:tcBorders>
            <w:shd w:val="clear" w:color="auto" w:fill="800000"/>
            <w:noWrap/>
            <w:vAlign w:val="bottom"/>
            <w:hideMark/>
          </w:tcPr>
          <w:p w14:paraId="3AEA0E98" w14:textId="77777777" w:rsidR="0036681C" w:rsidRPr="004C688A" w:rsidRDefault="0036681C" w:rsidP="00591F00">
            <w:pPr>
              <w:pStyle w:val="ListParagraph"/>
              <w:ind w:left="1440"/>
              <w:rPr>
                <w:rFonts w:ascii="Arial" w:hAnsi="Arial" w:cs="Arial"/>
                <w:color w:val="FFFFFF" w:themeColor="background1"/>
                <w:sz w:val="20"/>
                <w:szCs w:val="20"/>
              </w:rPr>
            </w:pPr>
            <w:r w:rsidRPr="004C688A">
              <w:rPr>
                <w:rFonts w:ascii="Arial" w:hAnsi="Arial" w:cs="Arial"/>
                <w:color w:val="FFFFFF" w:themeColor="background1"/>
                <w:sz w:val="20"/>
                <w:szCs w:val="20"/>
              </w:rPr>
              <w:t> </w:t>
            </w:r>
          </w:p>
        </w:tc>
        <w:tc>
          <w:tcPr>
            <w:tcW w:w="2984" w:type="dxa"/>
            <w:gridSpan w:val="3"/>
            <w:tcBorders>
              <w:top w:val="double" w:sz="6" w:space="0" w:color="800000"/>
              <w:left w:val="nil"/>
              <w:bottom w:val="single" w:sz="8" w:space="0" w:color="FFFFFF"/>
              <w:right w:val="single" w:sz="8" w:space="0" w:color="FFFFFF"/>
            </w:tcBorders>
            <w:shd w:val="clear" w:color="auto" w:fill="800000"/>
            <w:noWrap/>
            <w:vAlign w:val="bottom"/>
            <w:hideMark/>
          </w:tcPr>
          <w:p w14:paraId="403EBA6E"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млн. лв.</w:t>
            </w:r>
          </w:p>
        </w:tc>
        <w:tc>
          <w:tcPr>
            <w:tcW w:w="2700" w:type="dxa"/>
            <w:gridSpan w:val="3"/>
            <w:tcBorders>
              <w:top w:val="double" w:sz="6" w:space="0" w:color="800000"/>
              <w:left w:val="nil"/>
              <w:bottom w:val="single" w:sz="8" w:space="0" w:color="FFFFFF"/>
              <w:right w:val="double" w:sz="6" w:space="0" w:color="800000"/>
            </w:tcBorders>
            <w:shd w:val="clear" w:color="auto" w:fill="800000"/>
            <w:noWrap/>
            <w:vAlign w:val="bottom"/>
            <w:hideMark/>
          </w:tcPr>
          <w:p w14:paraId="4182E64D"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 от БВП</w:t>
            </w:r>
          </w:p>
        </w:tc>
      </w:tr>
      <w:tr w:rsidR="0036681C" w:rsidRPr="004C688A" w14:paraId="0C0E4258" w14:textId="77777777" w:rsidTr="00591F00">
        <w:trPr>
          <w:trHeight w:val="285"/>
        </w:trPr>
        <w:tc>
          <w:tcPr>
            <w:tcW w:w="3889" w:type="dxa"/>
            <w:tcBorders>
              <w:top w:val="nil"/>
              <w:left w:val="double" w:sz="6" w:space="0" w:color="800000"/>
              <w:bottom w:val="single" w:sz="8" w:space="0" w:color="800000"/>
              <w:right w:val="single" w:sz="8" w:space="0" w:color="FFFFFF"/>
            </w:tcBorders>
            <w:shd w:val="clear" w:color="auto" w:fill="800000"/>
            <w:hideMark/>
          </w:tcPr>
          <w:p w14:paraId="4031A005" w14:textId="77777777" w:rsidR="0036681C" w:rsidRPr="004C688A" w:rsidRDefault="0036681C" w:rsidP="00591F00">
            <w:pPr>
              <w:jc w:val="center"/>
              <w:rPr>
                <w:rFonts w:ascii="Arial" w:hAnsi="Arial" w:cs="Arial"/>
                <w:color w:val="FFFFFF" w:themeColor="background1"/>
                <w:sz w:val="20"/>
                <w:szCs w:val="20"/>
                <w:u w:val="single"/>
              </w:rPr>
            </w:pPr>
            <w:r w:rsidRPr="004C688A">
              <w:rPr>
                <w:b/>
                <w:bCs/>
                <w:color w:val="FFFFFF" w:themeColor="background1"/>
                <w:sz w:val="18"/>
                <w:szCs w:val="18"/>
              </w:rPr>
              <w:t>РАЗХОДИ ПО ФУНКЦИИ</w:t>
            </w:r>
            <w:r w:rsidRPr="004C688A">
              <w:rPr>
                <w:b/>
                <w:bCs/>
                <w:color w:val="FFFFFF" w:themeColor="background1"/>
                <w:sz w:val="18"/>
                <w:szCs w:val="18"/>
                <w:vertAlign w:val="superscript"/>
              </w:rPr>
              <w:footnoteReference w:id="11"/>
            </w:r>
          </w:p>
        </w:tc>
        <w:tc>
          <w:tcPr>
            <w:tcW w:w="980" w:type="dxa"/>
            <w:tcBorders>
              <w:top w:val="nil"/>
              <w:left w:val="nil"/>
              <w:bottom w:val="single" w:sz="8" w:space="0" w:color="800000"/>
              <w:right w:val="single" w:sz="8" w:space="0" w:color="FFFFFF"/>
            </w:tcBorders>
            <w:shd w:val="clear" w:color="auto" w:fill="800000"/>
            <w:noWrap/>
            <w:vAlign w:val="bottom"/>
            <w:hideMark/>
          </w:tcPr>
          <w:p w14:paraId="4AD4A68C" w14:textId="77777777" w:rsidR="0036681C" w:rsidRPr="004C688A" w:rsidRDefault="0036681C" w:rsidP="00591F00">
            <w:pPr>
              <w:jc w:val="center"/>
              <w:rPr>
                <w:color w:val="FFFFFF" w:themeColor="background1"/>
                <w:sz w:val="20"/>
                <w:szCs w:val="20"/>
                <w:u w:val="single"/>
              </w:rPr>
            </w:pPr>
            <w:r w:rsidRPr="004C688A">
              <w:rPr>
                <w:b/>
                <w:bCs/>
                <w:color w:val="FFFFFF" w:themeColor="background1"/>
                <w:sz w:val="18"/>
                <w:szCs w:val="18"/>
              </w:rPr>
              <w:footnoteReference w:customMarkFollows="1" w:id="12"/>
              <w:t>Отчет</w:t>
            </w:r>
          </w:p>
        </w:tc>
        <w:tc>
          <w:tcPr>
            <w:tcW w:w="1075" w:type="dxa"/>
            <w:tcBorders>
              <w:top w:val="nil"/>
              <w:left w:val="nil"/>
              <w:bottom w:val="single" w:sz="8" w:space="0" w:color="800000"/>
              <w:right w:val="single" w:sz="8" w:space="0" w:color="FFFFFF"/>
            </w:tcBorders>
            <w:shd w:val="clear" w:color="auto" w:fill="800000"/>
            <w:noWrap/>
            <w:vAlign w:val="bottom"/>
            <w:hideMark/>
          </w:tcPr>
          <w:p w14:paraId="5B0634AE" w14:textId="77777777" w:rsidR="0036681C" w:rsidRPr="004C688A" w:rsidRDefault="0036681C" w:rsidP="00591F00">
            <w:pPr>
              <w:jc w:val="center"/>
              <w:rPr>
                <w:b/>
                <w:bCs/>
                <w:color w:val="FFFFFF" w:themeColor="background1"/>
                <w:sz w:val="18"/>
                <w:szCs w:val="18"/>
                <w:vertAlign w:val="superscript"/>
              </w:rPr>
            </w:pPr>
            <w:r w:rsidRPr="004C688A">
              <w:rPr>
                <w:b/>
                <w:bCs/>
                <w:color w:val="FFFFFF" w:themeColor="background1"/>
                <w:sz w:val="18"/>
                <w:szCs w:val="18"/>
              </w:rPr>
              <w:t>Програма</w:t>
            </w:r>
            <w:r w:rsidRPr="004C688A">
              <w:rPr>
                <w:b/>
                <w:bCs/>
                <w:color w:val="FFFFFF" w:themeColor="background1"/>
                <w:sz w:val="18"/>
                <w:szCs w:val="18"/>
                <w:vertAlign w:val="superscript"/>
              </w:rPr>
              <w:footnoteReference w:id="13"/>
            </w:r>
          </w:p>
        </w:tc>
        <w:tc>
          <w:tcPr>
            <w:tcW w:w="929" w:type="dxa"/>
            <w:tcBorders>
              <w:top w:val="nil"/>
              <w:left w:val="nil"/>
              <w:bottom w:val="single" w:sz="8" w:space="0" w:color="800000"/>
              <w:right w:val="single" w:sz="8" w:space="0" w:color="FFFFFF"/>
            </w:tcBorders>
            <w:shd w:val="clear" w:color="auto" w:fill="800000"/>
            <w:noWrap/>
            <w:vAlign w:val="bottom"/>
            <w:hideMark/>
          </w:tcPr>
          <w:p w14:paraId="181FDFAA"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 xml:space="preserve">Отчет </w:t>
            </w:r>
          </w:p>
        </w:tc>
        <w:tc>
          <w:tcPr>
            <w:tcW w:w="900" w:type="dxa"/>
            <w:tcBorders>
              <w:top w:val="nil"/>
              <w:left w:val="nil"/>
              <w:bottom w:val="single" w:sz="8" w:space="0" w:color="800000"/>
              <w:right w:val="single" w:sz="8" w:space="0" w:color="FFFFFF"/>
            </w:tcBorders>
            <w:shd w:val="clear" w:color="auto" w:fill="800000"/>
            <w:noWrap/>
            <w:vAlign w:val="bottom"/>
            <w:hideMark/>
          </w:tcPr>
          <w:p w14:paraId="19D4382E"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 xml:space="preserve">Отчет </w:t>
            </w:r>
          </w:p>
        </w:tc>
        <w:tc>
          <w:tcPr>
            <w:tcW w:w="955" w:type="dxa"/>
            <w:tcBorders>
              <w:top w:val="nil"/>
              <w:left w:val="nil"/>
              <w:bottom w:val="single" w:sz="8" w:space="0" w:color="800000"/>
              <w:right w:val="single" w:sz="8" w:space="0" w:color="FFFFFF"/>
            </w:tcBorders>
            <w:shd w:val="clear" w:color="auto" w:fill="800000"/>
            <w:noWrap/>
            <w:vAlign w:val="bottom"/>
            <w:hideMark/>
          </w:tcPr>
          <w:p w14:paraId="7D7BF1C2"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Програма</w:t>
            </w:r>
          </w:p>
        </w:tc>
        <w:tc>
          <w:tcPr>
            <w:tcW w:w="845" w:type="dxa"/>
            <w:tcBorders>
              <w:top w:val="nil"/>
              <w:left w:val="nil"/>
              <w:bottom w:val="single" w:sz="8" w:space="0" w:color="800000"/>
              <w:right w:val="double" w:sz="6" w:space="0" w:color="800000"/>
            </w:tcBorders>
            <w:shd w:val="clear" w:color="auto" w:fill="800000"/>
            <w:noWrap/>
            <w:vAlign w:val="bottom"/>
            <w:hideMark/>
          </w:tcPr>
          <w:p w14:paraId="16F69065"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 xml:space="preserve">Отчет </w:t>
            </w:r>
          </w:p>
        </w:tc>
      </w:tr>
      <w:tr w:rsidR="0036681C" w:rsidRPr="004C688A" w14:paraId="38D5E1A8" w14:textId="77777777" w:rsidTr="00591F00">
        <w:trPr>
          <w:trHeight w:val="270"/>
        </w:trPr>
        <w:tc>
          <w:tcPr>
            <w:tcW w:w="3889" w:type="dxa"/>
            <w:tcBorders>
              <w:top w:val="nil"/>
              <w:left w:val="double" w:sz="6" w:space="0" w:color="800000"/>
              <w:bottom w:val="double" w:sz="6" w:space="0" w:color="800000"/>
              <w:right w:val="single" w:sz="8" w:space="0" w:color="FFFFFF"/>
            </w:tcBorders>
            <w:shd w:val="clear" w:color="auto" w:fill="800000"/>
            <w:noWrap/>
            <w:vAlign w:val="bottom"/>
            <w:hideMark/>
          </w:tcPr>
          <w:p w14:paraId="1A13E0AB" w14:textId="77777777" w:rsidR="0036681C" w:rsidRPr="004C688A" w:rsidRDefault="0036681C" w:rsidP="00591F00">
            <w:pPr>
              <w:rPr>
                <w:rFonts w:ascii="Arial" w:hAnsi="Arial" w:cs="Arial"/>
                <w:color w:val="FFFFFF" w:themeColor="background1"/>
                <w:sz w:val="20"/>
                <w:szCs w:val="20"/>
              </w:rPr>
            </w:pPr>
            <w:r w:rsidRPr="004C688A">
              <w:rPr>
                <w:rFonts w:ascii="Arial" w:hAnsi="Arial" w:cs="Arial"/>
                <w:color w:val="FFFFFF" w:themeColor="background1"/>
                <w:sz w:val="20"/>
                <w:szCs w:val="20"/>
              </w:rPr>
              <w:t> </w:t>
            </w:r>
          </w:p>
        </w:tc>
        <w:tc>
          <w:tcPr>
            <w:tcW w:w="980" w:type="dxa"/>
            <w:tcBorders>
              <w:top w:val="nil"/>
              <w:left w:val="nil"/>
              <w:bottom w:val="double" w:sz="6" w:space="0" w:color="800000"/>
              <w:right w:val="single" w:sz="8" w:space="0" w:color="FFFFFF"/>
            </w:tcBorders>
            <w:shd w:val="clear" w:color="auto" w:fill="800000"/>
            <w:noWrap/>
            <w:vAlign w:val="bottom"/>
            <w:hideMark/>
          </w:tcPr>
          <w:p w14:paraId="079ECA87"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202</w:t>
            </w:r>
            <w:r>
              <w:rPr>
                <w:b/>
                <w:bCs/>
                <w:color w:val="FFFFFF" w:themeColor="background1"/>
                <w:sz w:val="18"/>
                <w:szCs w:val="18"/>
              </w:rPr>
              <w:t>1</w:t>
            </w:r>
            <w:r w:rsidRPr="004C688A">
              <w:rPr>
                <w:b/>
                <w:bCs/>
                <w:color w:val="FFFFFF" w:themeColor="background1"/>
                <w:sz w:val="18"/>
                <w:szCs w:val="18"/>
              </w:rPr>
              <w:t xml:space="preserve"> г.</w:t>
            </w:r>
          </w:p>
        </w:tc>
        <w:tc>
          <w:tcPr>
            <w:tcW w:w="1075" w:type="dxa"/>
            <w:tcBorders>
              <w:top w:val="nil"/>
              <w:left w:val="nil"/>
              <w:bottom w:val="double" w:sz="6" w:space="0" w:color="800000"/>
              <w:right w:val="single" w:sz="8" w:space="0" w:color="FFFFFF"/>
            </w:tcBorders>
            <w:shd w:val="clear" w:color="auto" w:fill="800000"/>
            <w:noWrap/>
            <w:vAlign w:val="bottom"/>
            <w:hideMark/>
          </w:tcPr>
          <w:p w14:paraId="71CC5EAD"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202</w:t>
            </w:r>
            <w:r>
              <w:rPr>
                <w:b/>
                <w:bCs/>
                <w:color w:val="FFFFFF" w:themeColor="background1"/>
                <w:sz w:val="18"/>
                <w:szCs w:val="18"/>
              </w:rPr>
              <w:t>2</w:t>
            </w:r>
            <w:r w:rsidRPr="004C688A">
              <w:rPr>
                <w:b/>
                <w:bCs/>
                <w:color w:val="FFFFFF" w:themeColor="background1"/>
                <w:sz w:val="18"/>
                <w:szCs w:val="18"/>
              </w:rPr>
              <w:t xml:space="preserve"> г.</w:t>
            </w:r>
          </w:p>
        </w:tc>
        <w:tc>
          <w:tcPr>
            <w:tcW w:w="929" w:type="dxa"/>
            <w:tcBorders>
              <w:top w:val="nil"/>
              <w:left w:val="nil"/>
              <w:bottom w:val="double" w:sz="6" w:space="0" w:color="800000"/>
              <w:right w:val="single" w:sz="8" w:space="0" w:color="FFFFFF"/>
            </w:tcBorders>
            <w:shd w:val="clear" w:color="auto" w:fill="800000"/>
            <w:noWrap/>
            <w:vAlign w:val="bottom"/>
            <w:hideMark/>
          </w:tcPr>
          <w:p w14:paraId="4859178C"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202</w:t>
            </w:r>
            <w:r>
              <w:rPr>
                <w:b/>
                <w:bCs/>
                <w:color w:val="FFFFFF" w:themeColor="background1"/>
                <w:sz w:val="18"/>
                <w:szCs w:val="18"/>
              </w:rPr>
              <w:t>2</w:t>
            </w:r>
            <w:r w:rsidRPr="004C688A">
              <w:rPr>
                <w:b/>
                <w:bCs/>
                <w:color w:val="FFFFFF" w:themeColor="background1"/>
                <w:sz w:val="18"/>
                <w:szCs w:val="18"/>
              </w:rPr>
              <w:t xml:space="preserve"> г.</w:t>
            </w:r>
          </w:p>
        </w:tc>
        <w:tc>
          <w:tcPr>
            <w:tcW w:w="900" w:type="dxa"/>
            <w:tcBorders>
              <w:top w:val="nil"/>
              <w:left w:val="nil"/>
              <w:bottom w:val="double" w:sz="6" w:space="0" w:color="800000"/>
              <w:right w:val="single" w:sz="8" w:space="0" w:color="FFFFFF"/>
            </w:tcBorders>
            <w:shd w:val="clear" w:color="auto" w:fill="800000"/>
            <w:noWrap/>
            <w:vAlign w:val="bottom"/>
            <w:hideMark/>
          </w:tcPr>
          <w:p w14:paraId="1CE923B6"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202</w:t>
            </w:r>
            <w:r>
              <w:rPr>
                <w:b/>
                <w:bCs/>
                <w:color w:val="FFFFFF" w:themeColor="background1"/>
                <w:sz w:val="18"/>
                <w:szCs w:val="18"/>
              </w:rPr>
              <w:t>1</w:t>
            </w:r>
            <w:r w:rsidRPr="004C688A">
              <w:rPr>
                <w:b/>
                <w:bCs/>
                <w:color w:val="FFFFFF" w:themeColor="background1"/>
                <w:sz w:val="18"/>
                <w:szCs w:val="18"/>
                <w:lang w:val="en-US"/>
              </w:rPr>
              <w:t xml:space="preserve"> </w:t>
            </w:r>
            <w:r w:rsidRPr="004C688A">
              <w:rPr>
                <w:b/>
                <w:bCs/>
                <w:color w:val="FFFFFF" w:themeColor="background1"/>
                <w:sz w:val="18"/>
                <w:szCs w:val="18"/>
              </w:rPr>
              <w:t>г.</w:t>
            </w:r>
          </w:p>
        </w:tc>
        <w:tc>
          <w:tcPr>
            <w:tcW w:w="955" w:type="dxa"/>
            <w:tcBorders>
              <w:top w:val="nil"/>
              <w:left w:val="nil"/>
              <w:bottom w:val="double" w:sz="6" w:space="0" w:color="800000"/>
              <w:right w:val="single" w:sz="8" w:space="0" w:color="FFFFFF"/>
            </w:tcBorders>
            <w:shd w:val="clear" w:color="auto" w:fill="800000"/>
            <w:noWrap/>
            <w:vAlign w:val="bottom"/>
            <w:hideMark/>
          </w:tcPr>
          <w:p w14:paraId="370BCC64"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202</w:t>
            </w:r>
            <w:r>
              <w:rPr>
                <w:b/>
                <w:bCs/>
                <w:color w:val="FFFFFF" w:themeColor="background1"/>
                <w:sz w:val="18"/>
                <w:szCs w:val="18"/>
              </w:rPr>
              <w:t>2</w:t>
            </w:r>
            <w:r w:rsidRPr="004C688A">
              <w:rPr>
                <w:b/>
                <w:bCs/>
                <w:color w:val="FFFFFF" w:themeColor="background1"/>
                <w:sz w:val="18"/>
                <w:szCs w:val="18"/>
              </w:rPr>
              <w:t xml:space="preserve"> г.</w:t>
            </w:r>
          </w:p>
        </w:tc>
        <w:tc>
          <w:tcPr>
            <w:tcW w:w="845" w:type="dxa"/>
            <w:tcBorders>
              <w:top w:val="nil"/>
              <w:left w:val="nil"/>
              <w:bottom w:val="double" w:sz="6" w:space="0" w:color="800000"/>
              <w:right w:val="double" w:sz="6" w:space="0" w:color="800000"/>
            </w:tcBorders>
            <w:shd w:val="clear" w:color="auto" w:fill="800000"/>
            <w:noWrap/>
            <w:vAlign w:val="bottom"/>
            <w:hideMark/>
          </w:tcPr>
          <w:p w14:paraId="5AACF8E9" w14:textId="77777777" w:rsidR="0036681C" w:rsidRPr="004C688A" w:rsidRDefault="0036681C" w:rsidP="00591F00">
            <w:pPr>
              <w:jc w:val="center"/>
              <w:rPr>
                <w:b/>
                <w:bCs/>
                <w:color w:val="FFFFFF" w:themeColor="background1"/>
                <w:sz w:val="18"/>
                <w:szCs w:val="18"/>
              </w:rPr>
            </w:pPr>
            <w:r w:rsidRPr="004C688A">
              <w:rPr>
                <w:b/>
                <w:bCs/>
                <w:color w:val="FFFFFF" w:themeColor="background1"/>
                <w:sz w:val="18"/>
                <w:szCs w:val="18"/>
              </w:rPr>
              <w:t>202</w:t>
            </w:r>
            <w:r>
              <w:rPr>
                <w:b/>
                <w:bCs/>
                <w:color w:val="FFFFFF" w:themeColor="background1"/>
                <w:sz w:val="18"/>
                <w:szCs w:val="18"/>
              </w:rPr>
              <w:t>2</w:t>
            </w:r>
            <w:r w:rsidRPr="004C688A">
              <w:rPr>
                <w:b/>
                <w:bCs/>
                <w:color w:val="FFFFFF" w:themeColor="background1"/>
                <w:sz w:val="18"/>
                <w:szCs w:val="18"/>
              </w:rPr>
              <w:t xml:space="preserve"> г.</w:t>
            </w:r>
          </w:p>
        </w:tc>
      </w:tr>
      <w:tr w:rsidR="0036681C" w:rsidRPr="007B48E9" w14:paraId="5D47ACE0" w14:textId="77777777" w:rsidTr="00591F00">
        <w:trPr>
          <w:trHeight w:val="173"/>
        </w:trPr>
        <w:tc>
          <w:tcPr>
            <w:tcW w:w="3889" w:type="dxa"/>
            <w:tcBorders>
              <w:top w:val="nil"/>
              <w:left w:val="double" w:sz="6" w:space="0" w:color="800000"/>
              <w:bottom w:val="nil"/>
              <w:right w:val="single" w:sz="8" w:space="0" w:color="800000"/>
            </w:tcBorders>
            <w:shd w:val="clear" w:color="auto" w:fill="FFFFCC"/>
            <w:noWrap/>
            <w:vAlign w:val="bottom"/>
            <w:hideMark/>
          </w:tcPr>
          <w:p w14:paraId="003EA9CD" w14:textId="77777777" w:rsidR="0036681C" w:rsidRPr="007B48E9" w:rsidRDefault="0036681C" w:rsidP="00591F00">
            <w:pPr>
              <w:rPr>
                <w:rFonts w:ascii="Arial" w:hAnsi="Arial" w:cs="Arial"/>
                <w:color w:val="0070C0"/>
                <w:sz w:val="4"/>
                <w:szCs w:val="4"/>
              </w:rPr>
            </w:pPr>
            <w:r w:rsidRPr="007B48E9">
              <w:rPr>
                <w:rFonts w:ascii="Arial" w:hAnsi="Arial" w:cs="Arial"/>
                <w:color w:val="0070C0"/>
                <w:sz w:val="4"/>
                <w:szCs w:val="4"/>
              </w:rPr>
              <w:t> </w:t>
            </w:r>
          </w:p>
        </w:tc>
        <w:tc>
          <w:tcPr>
            <w:tcW w:w="980" w:type="dxa"/>
            <w:tcBorders>
              <w:top w:val="nil"/>
              <w:left w:val="nil"/>
              <w:right w:val="single" w:sz="8" w:space="0" w:color="800000"/>
            </w:tcBorders>
            <w:shd w:val="clear" w:color="auto" w:fill="FFFFCC"/>
            <w:noWrap/>
            <w:vAlign w:val="bottom"/>
          </w:tcPr>
          <w:p w14:paraId="7F04C0AF" w14:textId="77777777" w:rsidR="0036681C" w:rsidRPr="007B48E9" w:rsidRDefault="0036681C" w:rsidP="00591F00">
            <w:pPr>
              <w:jc w:val="right"/>
              <w:rPr>
                <w:color w:val="0070C0"/>
                <w:sz w:val="8"/>
                <w:szCs w:val="8"/>
              </w:rPr>
            </w:pPr>
          </w:p>
        </w:tc>
        <w:tc>
          <w:tcPr>
            <w:tcW w:w="1075" w:type="dxa"/>
            <w:tcBorders>
              <w:top w:val="nil"/>
              <w:left w:val="nil"/>
              <w:right w:val="single" w:sz="8" w:space="0" w:color="800000"/>
            </w:tcBorders>
            <w:shd w:val="clear" w:color="auto" w:fill="FFFFCC"/>
            <w:noWrap/>
            <w:vAlign w:val="bottom"/>
          </w:tcPr>
          <w:p w14:paraId="74610803" w14:textId="77777777" w:rsidR="0036681C" w:rsidRPr="00BD2630" w:rsidRDefault="0036681C" w:rsidP="00591F00">
            <w:pPr>
              <w:spacing w:line="276" w:lineRule="auto"/>
              <w:jc w:val="right"/>
              <w:rPr>
                <w:sz w:val="18"/>
                <w:szCs w:val="18"/>
              </w:rPr>
            </w:pPr>
          </w:p>
        </w:tc>
        <w:tc>
          <w:tcPr>
            <w:tcW w:w="929" w:type="dxa"/>
            <w:tcBorders>
              <w:top w:val="nil"/>
              <w:left w:val="nil"/>
              <w:right w:val="single" w:sz="8" w:space="0" w:color="800000"/>
            </w:tcBorders>
            <w:shd w:val="clear" w:color="auto" w:fill="FFFFCC"/>
            <w:noWrap/>
            <w:vAlign w:val="bottom"/>
          </w:tcPr>
          <w:p w14:paraId="497D4EDB" w14:textId="77777777" w:rsidR="0036681C" w:rsidRPr="007B48E9" w:rsidRDefault="0036681C" w:rsidP="00591F00">
            <w:pPr>
              <w:jc w:val="right"/>
              <w:rPr>
                <w:color w:val="0070C0"/>
                <w:sz w:val="8"/>
                <w:szCs w:val="8"/>
              </w:rPr>
            </w:pPr>
          </w:p>
        </w:tc>
        <w:tc>
          <w:tcPr>
            <w:tcW w:w="900" w:type="dxa"/>
            <w:tcBorders>
              <w:top w:val="nil"/>
              <w:left w:val="nil"/>
              <w:right w:val="single" w:sz="8" w:space="0" w:color="800000"/>
            </w:tcBorders>
            <w:shd w:val="clear" w:color="auto" w:fill="FFFFCC"/>
            <w:noWrap/>
            <w:vAlign w:val="bottom"/>
          </w:tcPr>
          <w:p w14:paraId="6746F375" w14:textId="77777777" w:rsidR="0036681C" w:rsidRPr="007B48E9" w:rsidRDefault="0036681C" w:rsidP="00591F00">
            <w:pPr>
              <w:jc w:val="right"/>
              <w:rPr>
                <w:color w:val="0070C0"/>
                <w:sz w:val="8"/>
                <w:szCs w:val="8"/>
              </w:rPr>
            </w:pPr>
          </w:p>
        </w:tc>
        <w:tc>
          <w:tcPr>
            <w:tcW w:w="955" w:type="dxa"/>
            <w:tcBorders>
              <w:top w:val="nil"/>
              <w:left w:val="nil"/>
              <w:right w:val="single" w:sz="8" w:space="0" w:color="800000"/>
            </w:tcBorders>
            <w:shd w:val="clear" w:color="auto" w:fill="FFFFCC"/>
            <w:noWrap/>
            <w:vAlign w:val="bottom"/>
          </w:tcPr>
          <w:p w14:paraId="27F6CFC8" w14:textId="77777777" w:rsidR="0036681C" w:rsidRPr="007B48E9" w:rsidRDefault="0036681C" w:rsidP="00591F00">
            <w:pPr>
              <w:jc w:val="right"/>
              <w:rPr>
                <w:color w:val="0070C0"/>
                <w:sz w:val="8"/>
                <w:szCs w:val="8"/>
              </w:rPr>
            </w:pPr>
          </w:p>
        </w:tc>
        <w:tc>
          <w:tcPr>
            <w:tcW w:w="845" w:type="dxa"/>
            <w:tcBorders>
              <w:top w:val="nil"/>
              <w:left w:val="nil"/>
              <w:right w:val="double" w:sz="6" w:space="0" w:color="800000"/>
            </w:tcBorders>
            <w:shd w:val="clear" w:color="auto" w:fill="FFFFCC"/>
            <w:noWrap/>
            <w:vAlign w:val="bottom"/>
          </w:tcPr>
          <w:p w14:paraId="428E044C" w14:textId="77777777" w:rsidR="0036681C" w:rsidRPr="007B48E9" w:rsidRDefault="0036681C" w:rsidP="00591F00">
            <w:pPr>
              <w:jc w:val="right"/>
              <w:rPr>
                <w:color w:val="0070C0"/>
                <w:sz w:val="8"/>
                <w:szCs w:val="8"/>
              </w:rPr>
            </w:pPr>
          </w:p>
        </w:tc>
      </w:tr>
      <w:tr w:rsidR="0036681C" w:rsidRPr="007B48E9" w14:paraId="65B2A414" w14:textId="77777777" w:rsidTr="00591F00">
        <w:trPr>
          <w:trHeight w:val="80"/>
        </w:trPr>
        <w:tc>
          <w:tcPr>
            <w:tcW w:w="3889" w:type="dxa"/>
            <w:tcBorders>
              <w:top w:val="nil"/>
              <w:left w:val="double" w:sz="6" w:space="0" w:color="800000"/>
              <w:bottom w:val="nil"/>
              <w:right w:val="single" w:sz="8" w:space="0" w:color="800000"/>
            </w:tcBorders>
            <w:shd w:val="clear" w:color="auto" w:fill="FFFFCC"/>
            <w:vAlign w:val="bottom"/>
            <w:hideMark/>
          </w:tcPr>
          <w:p w14:paraId="21C00257" w14:textId="77777777" w:rsidR="0036681C" w:rsidRPr="004C688A" w:rsidRDefault="0036681C" w:rsidP="00591F00">
            <w:pPr>
              <w:rPr>
                <w:b/>
                <w:bCs/>
                <w:sz w:val="18"/>
                <w:szCs w:val="18"/>
              </w:rPr>
            </w:pPr>
            <w:r w:rsidRPr="004C688A">
              <w:rPr>
                <w:b/>
                <w:bCs/>
                <w:sz w:val="18"/>
                <w:szCs w:val="18"/>
              </w:rPr>
              <w:t>I. ОБЩИ ДЪРЖАВНИ СЛУЖБИ</w:t>
            </w:r>
          </w:p>
        </w:tc>
        <w:tc>
          <w:tcPr>
            <w:tcW w:w="980" w:type="dxa"/>
            <w:tcBorders>
              <w:top w:val="nil"/>
              <w:left w:val="nil"/>
              <w:bottom w:val="nil"/>
              <w:right w:val="single" w:sz="8" w:space="0" w:color="800000"/>
            </w:tcBorders>
            <w:shd w:val="clear" w:color="auto" w:fill="FFFFCC"/>
            <w:noWrap/>
            <w:hideMark/>
          </w:tcPr>
          <w:p w14:paraId="5E268BD6" w14:textId="77777777" w:rsidR="0036681C" w:rsidRPr="004C688A" w:rsidRDefault="0036681C" w:rsidP="00591F00">
            <w:pPr>
              <w:spacing w:line="276" w:lineRule="auto"/>
              <w:jc w:val="right"/>
              <w:rPr>
                <w:sz w:val="18"/>
                <w:szCs w:val="18"/>
              </w:rPr>
            </w:pPr>
            <w:r w:rsidRPr="004C688A">
              <w:rPr>
                <w:sz w:val="18"/>
                <w:szCs w:val="18"/>
              </w:rPr>
              <w:t>3 154,0</w:t>
            </w:r>
          </w:p>
        </w:tc>
        <w:tc>
          <w:tcPr>
            <w:tcW w:w="1075" w:type="dxa"/>
            <w:tcBorders>
              <w:top w:val="nil"/>
              <w:left w:val="nil"/>
              <w:bottom w:val="nil"/>
              <w:right w:val="single" w:sz="8" w:space="0" w:color="800000"/>
            </w:tcBorders>
            <w:shd w:val="clear" w:color="auto" w:fill="FFFFCC"/>
            <w:noWrap/>
            <w:vAlign w:val="bottom"/>
            <w:hideMark/>
          </w:tcPr>
          <w:p w14:paraId="07CF6E7B" w14:textId="77777777" w:rsidR="0036681C" w:rsidRPr="00BD2630" w:rsidRDefault="0036681C" w:rsidP="00591F00">
            <w:pPr>
              <w:spacing w:line="276" w:lineRule="auto"/>
              <w:jc w:val="right"/>
              <w:rPr>
                <w:sz w:val="18"/>
                <w:szCs w:val="18"/>
              </w:rPr>
            </w:pPr>
            <w:r w:rsidRPr="00BD2630">
              <w:rPr>
                <w:sz w:val="18"/>
                <w:szCs w:val="18"/>
              </w:rPr>
              <w:t>3 861,8</w:t>
            </w:r>
          </w:p>
        </w:tc>
        <w:tc>
          <w:tcPr>
            <w:tcW w:w="929" w:type="dxa"/>
            <w:tcBorders>
              <w:top w:val="nil"/>
              <w:left w:val="nil"/>
              <w:bottom w:val="nil"/>
              <w:right w:val="single" w:sz="8" w:space="0" w:color="800000"/>
            </w:tcBorders>
            <w:shd w:val="clear" w:color="auto" w:fill="FFFFCC"/>
            <w:noWrap/>
            <w:vAlign w:val="bottom"/>
            <w:hideMark/>
          </w:tcPr>
          <w:p w14:paraId="3BCE2114" w14:textId="77777777" w:rsidR="0036681C" w:rsidRPr="00A03A7E" w:rsidRDefault="0036681C" w:rsidP="00591F00">
            <w:pPr>
              <w:spacing w:line="276" w:lineRule="auto"/>
              <w:jc w:val="right"/>
              <w:rPr>
                <w:sz w:val="18"/>
                <w:szCs w:val="18"/>
              </w:rPr>
            </w:pPr>
            <w:r w:rsidRPr="00A03A7E">
              <w:rPr>
                <w:sz w:val="18"/>
                <w:szCs w:val="18"/>
              </w:rPr>
              <w:t>3 186,2</w:t>
            </w:r>
          </w:p>
        </w:tc>
        <w:tc>
          <w:tcPr>
            <w:tcW w:w="900" w:type="dxa"/>
            <w:tcBorders>
              <w:top w:val="nil"/>
              <w:left w:val="nil"/>
              <w:bottom w:val="nil"/>
              <w:right w:val="single" w:sz="8" w:space="0" w:color="800000"/>
            </w:tcBorders>
            <w:shd w:val="clear" w:color="000000" w:fill="FFFFCC"/>
            <w:noWrap/>
            <w:vAlign w:val="bottom"/>
            <w:hideMark/>
          </w:tcPr>
          <w:p w14:paraId="6DD7BF2D" w14:textId="77777777" w:rsidR="0036681C" w:rsidRPr="00085C17" w:rsidRDefault="0036681C" w:rsidP="00591F00">
            <w:pPr>
              <w:spacing w:line="276" w:lineRule="auto"/>
              <w:jc w:val="right"/>
              <w:rPr>
                <w:color w:val="0070C0"/>
                <w:sz w:val="18"/>
                <w:szCs w:val="18"/>
              </w:rPr>
            </w:pPr>
            <w:r w:rsidRPr="00085C17">
              <w:rPr>
                <w:sz w:val="18"/>
                <w:szCs w:val="20"/>
              </w:rPr>
              <w:t>2,3%</w:t>
            </w:r>
          </w:p>
        </w:tc>
        <w:tc>
          <w:tcPr>
            <w:tcW w:w="955" w:type="dxa"/>
            <w:tcBorders>
              <w:top w:val="nil"/>
              <w:left w:val="single" w:sz="8" w:space="0" w:color="800000"/>
              <w:bottom w:val="nil"/>
              <w:right w:val="single" w:sz="8" w:space="0" w:color="800000"/>
            </w:tcBorders>
            <w:shd w:val="clear" w:color="auto" w:fill="FFFFCC"/>
            <w:noWrap/>
            <w:vAlign w:val="bottom"/>
            <w:hideMark/>
          </w:tcPr>
          <w:p w14:paraId="08CE030F" w14:textId="77777777" w:rsidR="0036681C" w:rsidRPr="00132D57" w:rsidRDefault="0036681C" w:rsidP="00591F00">
            <w:pPr>
              <w:spacing w:line="276" w:lineRule="auto"/>
              <w:jc w:val="right"/>
              <w:rPr>
                <w:sz w:val="18"/>
                <w:szCs w:val="20"/>
              </w:rPr>
            </w:pPr>
            <w:r w:rsidRPr="00132D57">
              <w:rPr>
                <w:sz w:val="18"/>
                <w:szCs w:val="20"/>
              </w:rPr>
              <w:t>2,6%</w:t>
            </w:r>
          </w:p>
        </w:tc>
        <w:tc>
          <w:tcPr>
            <w:tcW w:w="845" w:type="dxa"/>
            <w:tcBorders>
              <w:top w:val="nil"/>
              <w:left w:val="nil"/>
              <w:bottom w:val="nil"/>
              <w:right w:val="double" w:sz="6" w:space="0" w:color="800000"/>
            </w:tcBorders>
            <w:shd w:val="clear" w:color="000000" w:fill="FFFFCC"/>
            <w:noWrap/>
            <w:vAlign w:val="bottom"/>
            <w:hideMark/>
          </w:tcPr>
          <w:p w14:paraId="62580487" w14:textId="77777777" w:rsidR="0036681C" w:rsidRPr="00132D57" w:rsidRDefault="0036681C" w:rsidP="00591F00">
            <w:pPr>
              <w:spacing w:line="276" w:lineRule="auto"/>
              <w:jc w:val="right"/>
              <w:rPr>
                <w:color w:val="0070C0"/>
                <w:sz w:val="18"/>
                <w:szCs w:val="18"/>
              </w:rPr>
            </w:pPr>
            <w:r w:rsidRPr="00132D57">
              <w:rPr>
                <w:sz w:val="18"/>
                <w:szCs w:val="20"/>
              </w:rPr>
              <w:t>1,9%</w:t>
            </w:r>
          </w:p>
        </w:tc>
      </w:tr>
      <w:tr w:rsidR="0036681C" w:rsidRPr="007B48E9" w14:paraId="071D632C" w14:textId="77777777" w:rsidTr="00591F00">
        <w:trPr>
          <w:trHeight w:val="80"/>
        </w:trPr>
        <w:tc>
          <w:tcPr>
            <w:tcW w:w="3889" w:type="dxa"/>
            <w:tcBorders>
              <w:top w:val="nil"/>
              <w:left w:val="double" w:sz="6" w:space="0" w:color="800000"/>
              <w:bottom w:val="nil"/>
              <w:right w:val="single" w:sz="8" w:space="0" w:color="800000"/>
            </w:tcBorders>
            <w:shd w:val="clear" w:color="auto" w:fill="FFFFCC"/>
            <w:vAlign w:val="bottom"/>
            <w:hideMark/>
          </w:tcPr>
          <w:p w14:paraId="114D88D5" w14:textId="77777777" w:rsidR="0036681C" w:rsidRPr="004C688A" w:rsidRDefault="0036681C" w:rsidP="00591F00">
            <w:pPr>
              <w:rPr>
                <w:b/>
                <w:bCs/>
                <w:sz w:val="18"/>
                <w:szCs w:val="18"/>
              </w:rPr>
            </w:pPr>
            <w:r w:rsidRPr="004C688A">
              <w:rPr>
                <w:b/>
                <w:bCs/>
                <w:sz w:val="18"/>
                <w:szCs w:val="18"/>
              </w:rPr>
              <w:t>II. ОТБРАНА И СИГУРНОСТ</w:t>
            </w:r>
          </w:p>
        </w:tc>
        <w:tc>
          <w:tcPr>
            <w:tcW w:w="980" w:type="dxa"/>
            <w:tcBorders>
              <w:top w:val="nil"/>
              <w:left w:val="nil"/>
              <w:bottom w:val="nil"/>
              <w:right w:val="single" w:sz="8" w:space="0" w:color="800000"/>
            </w:tcBorders>
            <w:shd w:val="clear" w:color="auto" w:fill="FFFFCC"/>
            <w:noWrap/>
            <w:hideMark/>
          </w:tcPr>
          <w:p w14:paraId="668706A1" w14:textId="77777777" w:rsidR="0036681C" w:rsidRPr="004C688A" w:rsidRDefault="0036681C" w:rsidP="00591F00">
            <w:pPr>
              <w:spacing w:line="276" w:lineRule="auto"/>
              <w:jc w:val="right"/>
              <w:rPr>
                <w:sz w:val="18"/>
                <w:szCs w:val="18"/>
              </w:rPr>
            </w:pPr>
            <w:r w:rsidRPr="004C688A">
              <w:rPr>
                <w:sz w:val="18"/>
                <w:szCs w:val="18"/>
              </w:rPr>
              <w:t>5 457,4</w:t>
            </w:r>
          </w:p>
        </w:tc>
        <w:tc>
          <w:tcPr>
            <w:tcW w:w="1075" w:type="dxa"/>
            <w:tcBorders>
              <w:top w:val="nil"/>
              <w:left w:val="nil"/>
              <w:bottom w:val="nil"/>
              <w:right w:val="single" w:sz="8" w:space="0" w:color="800000"/>
            </w:tcBorders>
            <w:shd w:val="clear" w:color="auto" w:fill="FFFFCC"/>
            <w:noWrap/>
            <w:vAlign w:val="bottom"/>
            <w:hideMark/>
          </w:tcPr>
          <w:p w14:paraId="6516319E" w14:textId="77777777" w:rsidR="0036681C" w:rsidRPr="00BD2630" w:rsidRDefault="0036681C" w:rsidP="00591F00">
            <w:pPr>
              <w:spacing w:line="276" w:lineRule="auto"/>
              <w:jc w:val="right"/>
              <w:rPr>
                <w:sz w:val="18"/>
                <w:szCs w:val="18"/>
              </w:rPr>
            </w:pPr>
            <w:r w:rsidRPr="00BD2630">
              <w:rPr>
                <w:sz w:val="18"/>
                <w:szCs w:val="18"/>
              </w:rPr>
              <w:t>6 515,2</w:t>
            </w:r>
          </w:p>
        </w:tc>
        <w:tc>
          <w:tcPr>
            <w:tcW w:w="929" w:type="dxa"/>
            <w:tcBorders>
              <w:top w:val="nil"/>
              <w:left w:val="nil"/>
              <w:bottom w:val="nil"/>
              <w:right w:val="single" w:sz="8" w:space="0" w:color="800000"/>
            </w:tcBorders>
            <w:shd w:val="clear" w:color="auto" w:fill="FFFFCC"/>
            <w:noWrap/>
            <w:vAlign w:val="bottom"/>
            <w:hideMark/>
          </w:tcPr>
          <w:p w14:paraId="1F7A6027" w14:textId="77777777" w:rsidR="0036681C" w:rsidRPr="00A03A7E" w:rsidRDefault="0036681C" w:rsidP="00591F00">
            <w:pPr>
              <w:spacing w:line="276" w:lineRule="auto"/>
              <w:jc w:val="right"/>
              <w:rPr>
                <w:sz w:val="18"/>
                <w:szCs w:val="18"/>
              </w:rPr>
            </w:pPr>
            <w:r w:rsidRPr="00A03A7E">
              <w:rPr>
                <w:sz w:val="18"/>
                <w:szCs w:val="18"/>
              </w:rPr>
              <w:t>6 547,3</w:t>
            </w:r>
          </w:p>
        </w:tc>
        <w:tc>
          <w:tcPr>
            <w:tcW w:w="900" w:type="dxa"/>
            <w:tcBorders>
              <w:top w:val="nil"/>
              <w:left w:val="nil"/>
              <w:bottom w:val="nil"/>
              <w:right w:val="single" w:sz="8" w:space="0" w:color="800000"/>
            </w:tcBorders>
            <w:shd w:val="clear" w:color="000000" w:fill="FFFFCC"/>
            <w:noWrap/>
            <w:vAlign w:val="bottom"/>
            <w:hideMark/>
          </w:tcPr>
          <w:p w14:paraId="34C78545" w14:textId="77777777" w:rsidR="0036681C" w:rsidRPr="00085C17" w:rsidRDefault="0036681C" w:rsidP="00591F00">
            <w:pPr>
              <w:spacing w:line="276" w:lineRule="auto"/>
              <w:jc w:val="right"/>
              <w:rPr>
                <w:color w:val="0070C0"/>
                <w:sz w:val="18"/>
                <w:szCs w:val="18"/>
              </w:rPr>
            </w:pPr>
            <w:r w:rsidRPr="00085C17">
              <w:rPr>
                <w:sz w:val="18"/>
                <w:szCs w:val="20"/>
              </w:rPr>
              <w:t>3,9%</w:t>
            </w:r>
          </w:p>
        </w:tc>
        <w:tc>
          <w:tcPr>
            <w:tcW w:w="955" w:type="dxa"/>
            <w:tcBorders>
              <w:top w:val="nil"/>
              <w:left w:val="single" w:sz="8" w:space="0" w:color="800000"/>
              <w:bottom w:val="nil"/>
              <w:right w:val="single" w:sz="8" w:space="0" w:color="800000"/>
            </w:tcBorders>
            <w:shd w:val="clear" w:color="auto" w:fill="FFFFCC"/>
            <w:noWrap/>
            <w:vAlign w:val="bottom"/>
            <w:hideMark/>
          </w:tcPr>
          <w:p w14:paraId="65507E62" w14:textId="77777777" w:rsidR="0036681C" w:rsidRPr="00132D57" w:rsidRDefault="0036681C" w:rsidP="00591F00">
            <w:pPr>
              <w:spacing w:line="276" w:lineRule="auto"/>
              <w:jc w:val="right"/>
              <w:rPr>
                <w:sz w:val="18"/>
                <w:szCs w:val="20"/>
              </w:rPr>
            </w:pPr>
            <w:r w:rsidRPr="00132D57">
              <w:rPr>
                <w:sz w:val="18"/>
                <w:szCs w:val="20"/>
              </w:rPr>
              <w:t>4,3%</w:t>
            </w:r>
          </w:p>
        </w:tc>
        <w:tc>
          <w:tcPr>
            <w:tcW w:w="845" w:type="dxa"/>
            <w:tcBorders>
              <w:top w:val="nil"/>
              <w:left w:val="nil"/>
              <w:bottom w:val="nil"/>
              <w:right w:val="double" w:sz="6" w:space="0" w:color="800000"/>
            </w:tcBorders>
            <w:shd w:val="clear" w:color="000000" w:fill="FFFFCC"/>
            <w:noWrap/>
            <w:vAlign w:val="bottom"/>
            <w:hideMark/>
          </w:tcPr>
          <w:p w14:paraId="5C0D5908" w14:textId="77777777" w:rsidR="0036681C" w:rsidRPr="00132D57" w:rsidRDefault="0036681C" w:rsidP="00591F00">
            <w:pPr>
              <w:spacing w:line="276" w:lineRule="auto"/>
              <w:jc w:val="right"/>
              <w:rPr>
                <w:color w:val="0070C0"/>
                <w:sz w:val="18"/>
                <w:szCs w:val="18"/>
              </w:rPr>
            </w:pPr>
            <w:r w:rsidRPr="00132D57">
              <w:rPr>
                <w:sz w:val="18"/>
                <w:szCs w:val="20"/>
              </w:rPr>
              <w:t>4,0%</w:t>
            </w:r>
          </w:p>
        </w:tc>
      </w:tr>
      <w:tr w:rsidR="0036681C" w:rsidRPr="007B48E9" w14:paraId="23EB4B13" w14:textId="77777777" w:rsidTr="00591F00">
        <w:trPr>
          <w:trHeight w:val="271"/>
        </w:trPr>
        <w:tc>
          <w:tcPr>
            <w:tcW w:w="3889" w:type="dxa"/>
            <w:tcBorders>
              <w:top w:val="nil"/>
              <w:left w:val="double" w:sz="6" w:space="0" w:color="800000"/>
              <w:bottom w:val="nil"/>
              <w:right w:val="single" w:sz="8" w:space="0" w:color="800000"/>
            </w:tcBorders>
            <w:shd w:val="clear" w:color="auto" w:fill="FFFFCC"/>
            <w:vAlign w:val="bottom"/>
            <w:hideMark/>
          </w:tcPr>
          <w:p w14:paraId="0D724B9B" w14:textId="77777777" w:rsidR="0036681C" w:rsidRPr="004C688A" w:rsidRDefault="0036681C" w:rsidP="00591F00">
            <w:pPr>
              <w:rPr>
                <w:b/>
                <w:bCs/>
                <w:sz w:val="18"/>
                <w:szCs w:val="18"/>
              </w:rPr>
            </w:pPr>
            <w:r w:rsidRPr="004C688A">
              <w:rPr>
                <w:b/>
                <w:bCs/>
                <w:sz w:val="18"/>
                <w:szCs w:val="18"/>
              </w:rPr>
              <w:t>III. ОБРАЗОВАНИЕ</w:t>
            </w:r>
          </w:p>
        </w:tc>
        <w:tc>
          <w:tcPr>
            <w:tcW w:w="980" w:type="dxa"/>
            <w:tcBorders>
              <w:top w:val="nil"/>
              <w:left w:val="nil"/>
              <w:bottom w:val="nil"/>
              <w:right w:val="single" w:sz="8" w:space="0" w:color="800000"/>
            </w:tcBorders>
            <w:shd w:val="clear" w:color="auto" w:fill="FFFFCC"/>
            <w:noWrap/>
            <w:hideMark/>
          </w:tcPr>
          <w:p w14:paraId="74CB2AC2" w14:textId="77777777" w:rsidR="0036681C" w:rsidRPr="004C688A" w:rsidRDefault="0036681C" w:rsidP="00591F00">
            <w:pPr>
              <w:spacing w:line="276" w:lineRule="auto"/>
              <w:jc w:val="right"/>
              <w:rPr>
                <w:sz w:val="18"/>
                <w:szCs w:val="18"/>
              </w:rPr>
            </w:pPr>
            <w:r w:rsidRPr="004C688A">
              <w:rPr>
                <w:sz w:val="18"/>
                <w:szCs w:val="18"/>
              </w:rPr>
              <w:t>5 640,5</w:t>
            </w:r>
          </w:p>
        </w:tc>
        <w:tc>
          <w:tcPr>
            <w:tcW w:w="1075" w:type="dxa"/>
            <w:tcBorders>
              <w:top w:val="nil"/>
              <w:left w:val="nil"/>
              <w:bottom w:val="nil"/>
              <w:right w:val="single" w:sz="8" w:space="0" w:color="800000"/>
            </w:tcBorders>
            <w:shd w:val="clear" w:color="auto" w:fill="FFFFCC"/>
            <w:noWrap/>
            <w:vAlign w:val="bottom"/>
            <w:hideMark/>
          </w:tcPr>
          <w:p w14:paraId="3134502F" w14:textId="77777777" w:rsidR="0036681C" w:rsidRPr="00BD2630" w:rsidRDefault="0036681C" w:rsidP="00591F00">
            <w:pPr>
              <w:spacing w:line="276" w:lineRule="auto"/>
              <w:jc w:val="right"/>
              <w:rPr>
                <w:sz w:val="18"/>
                <w:szCs w:val="18"/>
              </w:rPr>
            </w:pPr>
            <w:r w:rsidRPr="00BD2630">
              <w:rPr>
                <w:sz w:val="18"/>
                <w:szCs w:val="18"/>
              </w:rPr>
              <w:t>6 606,4</w:t>
            </w:r>
          </w:p>
        </w:tc>
        <w:tc>
          <w:tcPr>
            <w:tcW w:w="929" w:type="dxa"/>
            <w:tcBorders>
              <w:top w:val="nil"/>
              <w:left w:val="nil"/>
              <w:bottom w:val="nil"/>
              <w:right w:val="single" w:sz="8" w:space="0" w:color="800000"/>
            </w:tcBorders>
            <w:shd w:val="clear" w:color="auto" w:fill="FFFFCC"/>
            <w:noWrap/>
            <w:vAlign w:val="bottom"/>
            <w:hideMark/>
          </w:tcPr>
          <w:p w14:paraId="3EF4F0B8" w14:textId="77777777" w:rsidR="0036681C" w:rsidRPr="00A03A7E" w:rsidRDefault="0036681C" w:rsidP="00591F00">
            <w:pPr>
              <w:spacing w:line="276" w:lineRule="auto"/>
              <w:jc w:val="right"/>
              <w:rPr>
                <w:sz w:val="18"/>
                <w:szCs w:val="18"/>
              </w:rPr>
            </w:pPr>
            <w:r w:rsidRPr="00A03A7E">
              <w:rPr>
                <w:sz w:val="18"/>
                <w:szCs w:val="18"/>
              </w:rPr>
              <w:t>6 373,4</w:t>
            </w:r>
          </w:p>
        </w:tc>
        <w:tc>
          <w:tcPr>
            <w:tcW w:w="900" w:type="dxa"/>
            <w:tcBorders>
              <w:top w:val="nil"/>
              <w:left w:val="nil"/>
              <w:bottom w:val="nil"/>
              <w:right w:val="single" w:sz="8" w:space="0" w:color="800000"/>
            </w:tcBorders>
            <w:shd w:val="clear" w:color="000000" w:fill="FFFFCC"/>
            <w:noWrap/>
            <w:vAlign w:val="bottom"/>
            <w:hideMark/>
          </w:tcPr>
          <w:p w14:paraId="55C38DEC" w14:textId="77777777" w:rsidR="0036681C" w:rsidRPr="00085C17" w:rsidRDefault="0036681C" w:rsidP="00591F00">
            <w:pPr>
              <w:spacing w:line="276" w:lineRule="auto"/>
              <w:jc w:val="right"/>
              <w:rPr>
                <w:color w:val="0070C0"/>
                <w:sz w:val="18"/>
                <w:szCs w:val="18"/>
              </w:rPr>
            </w:pPr>
            <w:r w:rsidRPr="00085C17">
              <w:rPr>
                <w:sz w:val="18"/>
                <w:szCs w:val="20"/>
              </w:rPr>
              <w:t>4,1%</w:t>
            </w:r>
          </w:p>
        </w:tc>
        <w:tc>
          <w:tcPr>
            <w:tcW w:w="955" w:type="dxa"/>
            <w:tcBorders>
              <w:top w:val="nil"/>
              <w:left w:val="single" w:sz="8" w:space="0" w:color="800000"/>
              <w:bottom w:val="nil"/>
              <w:right w:val="single" w:sz="8" w:space="0" w:color="800000"/>
            </w:tcBorders>
            <w:shd w:val="clear" w:color="auto" w:fill="FFFFCC"/>
            <w:noWrap/>
            <w:vAlign w:val="bottom"/>
            <w:hideMark/>
          </w:tcPr>
          <w:p w14:paraId="4A2870B9" w14:textId="77777777" w:rsidR="0036681C" w:rsidRPr="00132D57" w:rsidRDefault="0036681C" w:rsidP="00591F00">
            <w:pPr>
              <w:spacing w:line="276" w:lineRule="auto"/>
              <w:jc w:val="right"/>
              <w:rPr>
                <w:sz w:val="18"/>
                <w:szCs w:val="20"/>
              </w:rPr>
            </w:pPr>
            <w:r w:rsidRPr="00132D57">
              <w:rPr>
                <w:sz w:val="18"/>
                <w:szCs w:val="20"/>
              </w:rPr>
              <w:t>4,4%</w:t>
            </w:r>
          </w:p>
        </w:tc>
        <w:tc>
          <w:tcPr>
            <w:tcW w:w="845" w:type="dxa"/>
            <w:tcBorders>
              <w:top w:val="nil"/>
              <w:left w:val="nil"/>
              <w:bottom w:val="nil"/>
              <w:right w:val="double" w:sz="6" w:space="0" w:color="800000"/>
            </w:tcBorders>
            <w:shd w:val="clear" w:color="000000" w:fill="FFFFCC"/>
            <w:noWrap/>
            <w:vAlign w:val="bottom"/>
            <w:hideMark/>
          </w:tcPr>
          <w:p w14:paraId="0C7948D2" w14:textId="77777777" w:rsidR="0036681C" w:rsidRPr="00132D57" w:rsidRDefault="0036681C" w:rsidP="00591F00">
            <w:pPr>
              <w:spacing w:line="276" w:lineRule="auto"/>
              <w:jc w:val="right"/>
              <w:rPr>
                <w:color w:val="0070C0"/>
                <w:sz w:val="18"/>
                <w:szCs w:val="18"/>
              </w:rPr>
            </w:pPr>
            <w:r w:rsidRPr="00132D57">
              <w:rPr>
                <w:sz w:val="18"/>
                <w:szCs w:val="20"/>
              </w:rPr>
              <w:t>3,9%</w:t>
            </w:r>
          </w:p>
        </w:tc>
      </w:tr>
      <w:tr w:rsidR="0036681C" w:rsidRPr="007B48E9" w14:paraId="64C3B224" w14:textId="77777777" w:rsidTr="00591F00">
        <w:trPr>
          <w:trHeight w:val="255"/>
        </w:trPr>
        <w:tc>
          <w:tcPr>
            <w:tcW w:w="3889" w:type="dxa"/>
            <w:tcBorders>
              <w:top w:val="nil"/>
              <w:left w:val="double" w:sz="6" w:space="0" w:color="800000"/>
              <w:bottom w:val="nil"/>
              <w:right w:val="single" w:sz="8" w:space="0" w:color="800000"/>
            </w:tcBorders>
            <w:shd w:val="clear" w:color="auto" w:fill="FFFFCC"/>
            <w:vAlign w:val="bottom"/>
            <w:hideMark/>
          </w:tcPr>
          <w:p w14:paraId="14ABE6E1" w14:textId="77777777" w:rsidR="0036681C" w:rsidRPr="004C688A" w:rsidRDefault="0036681C" w:rsidP="00591F00">
            <w:pPr>
              <w:rPr>
                <w:b/>
                <w:bCs/>
                <w:sz w:val="18"/>
                <w:szCs w:val="18"/>
              </w:rPr>
            </w:pPr>
            <w:r w:rsidRPr="004C688A">
              <w:rPr>
                <w:b/>
                <w:bCs/>
                <w:sz w:val="18"/>
                <w:szCs w:val="18"/>
              </w:rPr>
              <w:t>IV. ЗДРАВЕОПАЗВАНЕ</w:t>
            </w:r>
          </w:p>
        </w:tc>
        <w:tc>
          <w:tcPr>
            <w:tcW w:w="980" w:type="dxa"/>
            <w:tcBorders>
              <w:top w:val="nil"/>
              <w:left w:val="nil"/>
              <w:bottom w:val="nil"/>
              <w:right w:val="single" w:sz="8" w:space="0" w:color="800000"/>
            </w:tcBorders>
            <w:shd w:val="clear" w:color="auto" w:fill="FFFFCC"/>
            <w:noWrap/>
            <w:hideMark/>
          </w:tcPr>
          <w:p w14:paraId="21C50A73" w14:textId="77777777" w:rsidR="0036681C" w:rsidRPr="004C688A" w:rsidRDefault="0036681C" w:rsidP="00591F00">
            <w:pPr>
              <w:spacing w:line="276" w:lineRule="auto"/>
              <w:jc w:val="right"/>
              <w:rPr>
                <w:sz w:val="18"/>
                <w:szCs w:val="18"/>
              </w:rPr>
            </w:pPr>
            <w:r w:rsidRPr="004C688A">
              <w:rPr>
                <w:sz w:val="18"/>
                <w:szCs w:val="18"/>
              </w:rPr>
              <w:t>7 219,1</w:t>
            </w:r>
          </w:p>
        </w:tc>
        <w:tc>
          <w:tcPr>
            <w:tcW w:w="1075" w:type="dxa"/>
            <w:tcBorders>
              <w:top w:val="nil"/>
              <w:left w:val="nil"/>
              <w:bottom w:val="nil"/>
              <w:right w:val="single" w:sz="8" w:space="0" w:color="800000"/>
            </w:tcBorders>
            <w:shd w:val="clear" w:color="auto" w:fill="FFFFCC"/>
            <w:noWrap/>
            <w:vAlign w:val="bottom"/>
            <w:hideMark/>
          </w:tcPr>
          <w:p w14:paraId="1F2EA6E9" w14:textId="77777777" w:rsidR="0036681C" w:rsidRPr="00BD2630" w:rsidRDefault="0036681C" w:rsidP="00591F00">
            <w:pPr>
              <w:spacing w:line="276" w:lineRule="auto"/>
              <w:jc w:val="right"/>
              <w:rPr>
                <w:sz w:val="18"/>
                <w:szCs w:val="18"/>
              </w:rPr>
            </w:pPr>
            <w:r w:rsidRPr="00BD2630">
              <w:rPr>
                <w:sz w:val="18"/>
                <w:szCs w:val="18"/>
              </w:rPr>
              <w:t>8 418,2</w:t>
            </w:r>
          </w:p>
        </w:tc>
        <w:tc>
          <w:tcPr>
            <w:tcW w:w="929" w:type="dxa"/>
            <w:tcBorders>
              <w:top w:val="nil"/>
              <w:left w:val="nil"/>
              <w:bottom w:val="nil"/>
              <w:right w:val="single" w:sz="8" w:space="0" w:color="800000"/>
            </w:tcBorders>
            <w:shd w:val="clear" w:color="auto" w:fill="FFFFCC"/>
            <w:noWrap/>
            <w:vAlign w:val="bottom"/>
            <w:hideMark/>
          </w:tcPr>
          <w:p w14:paraId="5BC5F6E9" w14:textId="77777777" w:rsidR="0036681C" w:rsidRPr="00A03A7E" w:rsidRDefault="0036681C" w:rsidP="00591F00">
            <w:pPr>
              <w:spacing w:line="276" w:lineRule="auto"/>
              <w:jc w:val="right"/>
              <w:rPr>
                <w:sz w:val="18"/>
                <w:szCs w:val="18"/>
              </w:rPr>
            </w:pPr>
            <w:r w:rsidRPr="00A03A7E">
              <w:rPr>
                <w:sz w:val="18"/>
                <w:szCs w:val="18"/>
              </w:rPr>
              <w:t>7 971,5</w:t>
            </w:r>
          </w:p>
        </w:tc>
        <w:tc>
          <w:tcPr>
            <w:tcW w:w="900" w:type="dxa"/>
            <w:tcBorders>
              <w:top w:val="nil"/>
              <w:left w:val="nil"/>
              <w:bottom w:val="nil"/>
              <w:right w:val="single" w:sz="8" w:space="0" w:color="800000"/>
            </w:tcBorders>
            <w:shd w:val="clear" w:color="000000" w:fill="FFFFCC"/>
            <w:noWrap/>
            <w:vAlign w:val="bottom"/>
            <w:hideMark/>
          </w:tcPr>
          <w:p w14:paraId="549E204F" w14:textId="77777777" w:rsidR="0036681C" w:rsidRPr="00085C17" w:rsidRDefault="0036681C" w:rsidP="00591F00">
            <w:pPr>
              <w:spacing w:line="276" w:lineRule="auto"/>
              <w:jc w:val="right"/>
              <w:rPr>
                <w:color w:val="0070C0"/>
                <w:sz w:val="18"/>
                <w:szCs w:val="18"/>
              </w:rPr>
            </w:pPr>
            <w:r w:rsidRPr="00085C17">
              <w:rPr>
                <w:sz w:val="18"/>
                <w:szCs w:val="20"/>
              </w:rPr>
              <w:t>5,2%</w:t>
            </w:r>
          </w:p>
        </w:tc>
        <w:tc>
          <w:tcPr>
            <w:tcW w:w="955" w:type="dxa"/>
            <w:tcBorders>
              <w:top w:val="nil"/>
              <w:left w:val="single" w:sz="8" w:space="0" w:color="800000"/>
              <w:bottom w:val="nil"/>
              <w:right w:val="single" w:sz="8" w:space="0" w:color="800000"/>
            </w:tcBorders>
            <w:shd w:val="clear" w:color="auto" w:fill="FFFFCC"/>
            <w:noWrap/>
            <w:vAlign w:val="bottom"/>
            <w:hideMark/>
          </w:tcPr>
          <w:p w14:paraId="514A6478" w14:textId="77777777" w:rsidR="0036681C" w:rsidRPr="00132D57" w:rsidRDefault="0036681C" w:rsidP="00591F00">
            <w:pPr>
              <w:spacing w:line="276" w:lineRule="auto"/>
              <w:jc w:val="right"/>
              <w:rPr>
                <w:sz w:val="18"/>
                <w:szCs w:val="20"/>
              </w:rPr>
            </w:pPr>
            <w:r w:rsidRPr="00132D57">
              <w:rPr>
                <w:sz w:val="18"/>
                <w:szCs w:val="20"/>
              </w:rPr>
              <w:t>5,6%</w:t>
            </w:r>
          </w:p>
        </w:tc>
        <w:tc>
          <w:tcPr>
            <w:tcW w:w="845" w:type="dxa"/>
            <w:tcBorders>
              <w:top w:val="nil"/>
              <w:left w:val="nil"/>
              <w:bottom w:val="nil"/>
              <w:right w:val="double" w:sz="6" w:space="0" w:color="800000"/>
            </w:tcBorders>
            <w:shd w:val="clear" w:color="000000" w:fill="FFFFCC"/>
            <w:noWrap/>
            <w:vAlign w:val="bottom"/>
            <w:hideMark/>
          </w:tcPr>
          <w:p w14:paraId="2DFD2D68" w14:textId="77777777" w:rsidR="0036681C" w:rsidRPr="00132D57" w:rsidRDefault="0036681C" w:rsidP="00591F00">
            <w:pPr>
              <w:spacing w:line="276" w:lineRule="auto"/>
              <w:jc w:val="right"/>
              <w:rPr>
                <w:color w:val="0070C0"/>
                <w:sz w:val="18"/>
                <w:szCs w:val="18"/>
              </w:rPr>
            </w:pPr>
            <w:r w:rsidRPr="00132D57">
              <w:rPr>
                <w:sz w:val="18"/>
                <w:szCs w:val="20"/>
              </w:rPr>
              <w:t>4,8%</w:t>
            </w:r>
          </w:p>
        </w:tc>
      </w:tr>
      <w:tr w:rsidR="0036681C" w:rsidRPr="007B48E9" w14:paraId="185713B1" w14:textId="77777777" w:rsidTr="00591F00">
        <w:trPr>
          <w:trHeight w:val="255"/>
        </w:trPr>
        <w:tc>
          <w:tcPr>
            <w:tcW w:w="3889" w:type="dxa"/>
            <w:tcBorders>
              <w:top w:val="nil"/>
              <w:left w:val="double" w:sz="6" w:space="0" w:color="800000"/>
              <w:bottom w:val="nil"/>
              <w:right w:val="single" w:sz="8" w:space="0" w:color="800000"/>
            </w:tcBorders>
            <w:shd w:val="clear" w:color="auto" w:fill="FFFFCC"/>
            <w:vAlign w:val="bottom"/>
            <w:hideMark/>
          </w:tcPr>
          <w:p w14:paraId="4295F43B" w14:textId="77777777" w:rsidR="0036681C" w:rsidRPr="004C688A" w:rsidRDefault="0036681C" w:rsidP="00591F00">
            <w:pPr>
              <w:rPr>
                <w:b/>
                <w:bCs/>
                <w:sz w:val="18"/>
                <w:szCs w:val="18"/>
              </w:rPr>
            </w:pPr>
            <w:r w:rsidRPr="004C688A">
              <w:rPr>
                <w:b/>
                <w:bCs/>
                <w:sz w:val="18"/>
                <w:szCs w:val="18"/>
              </w:rPr>
              <w:t>V.СОЦИАЛНО ОСИГУРЯВАНЕ, ПОДПОМАГАНЕ И ГРИЖИ</w:t>
            </w:r>
          </w:p>
        </w:tc>
        <w:tc>
          <w:tcPr>
            <w:tcW w:w="980" w:type="dxa"/>
            <w:tcBorders>
              <w:top w:val="nil"/>
              <w:left w:val="nil"/>
              <w:bottom w:val="nil"/>
              <w:right w:val="single" w:sz="8" w:space="0" w:color="800000"/>
            </w:tcBorders>
            <w:shd w:val="clear" w:color="auto" w:fill="FFFFCC"/>
            <w:noWrap/>
            <w:hideMark/>
          </w:tcPr>
          <w:p w14:paraId="0DC75D85" w14:textId="77777777" w:rsidR="0036681C" w:rsidRPr="004C688A" w:rsidRDefault="0036681C" w:rsidP="00591F00">
            <w:pPr>
              <w:jc w:val="right"/>
              <w:rPr>
                <w:sz w:val="18"/>
                <w:szCs w:val="18"/>
              </w:rPr>
            </w:pPr>
          </w:p>
          <w:p w14:paraId="345B61E0" w14:textId="77777777" w:rsidR="0036681C" w:rsidRPr="004C688A" w:rsidRDefault="0036681C" w:rsidP="00591F00">
            <w:pPr>
              <w:jc w:val="right"/>
              <w:rPr>
                <w:sz w:val="18"/>
                <w:szCs w:val="18"/>
              </w:rPr>
            </w:pPr>
            <w:r w:rsidRPr="004C688A">
              <w:rPr>
                <w:sz w:val="18"/>
                <w:szCs w:val="18"/>
              </w:rPr>
              <w:t>20 648,9</w:t>
            </w:r>
          </w:p>
        </w:tc>
        <w:tc>
          <w:tcPr>
            <w:tcW w:w="1075" w:type="dxa"/>
            <w:tcBorders>
              <w:top w:val="nil"/>
              <w:left w:val="nil"/>
              <w:bottom w:val="nil"/>
              <w:right w:val="single" w:sz="8" w:space="0" w:color="800000"/>
            </w:tcBorders>
            <w:shd w:val="clear" w:color="auto" w:fill="FFFFCC"/>
            <w:noWrap/>
            <w:vAlign w:val="bottom"/>
            <w:hideMark/>
          </w:tcPr>
          <w:p w14:paraId="30C6AECF" w14:textId="77777777" w:rsidR="0036681C" w:rsidRPr="00BD2630" w:rsidRDefault="0036681C" w:rsidP="00591F00">
            <w:pPr>
              <w:spacing w:line="276" w:lineRule="auto"/>
              <w:jc w:val="right"/>
              <w:rPr>
                <w:sz w:val="18"/>
                <w:szCs w:val="18"/>
              </w:rPr>
            </w:pPr>
            <w:r w:rsidRPr="00BD2630">
              <w:rPr>
                <w:sz w:val="18"/>
                <w:szCs w:val="18"/>
              </w:rPr>
              <w:t>22 243,0</w:t>
            </w:r>
          </w:p>
        </w:tc>
        <w:tc>
          <w:tcPr>
            <w:tcW w:w="929" w:type="dxa"/>
            <w:tcBorders>
              <w:top w:val="nil"/>
              <w:left w:val="nil"/>
              <w:bottom w:val="nil"/>
              <w:right w:val="single" w:sz="8" w:space="0" w:color="800000"/>
            </w:tcBorders>
            <w:shd w:val="clear" w:color="auto" w:fill="FFFFCC"/>
            <w:noWrap/>
            <w:vAlign w:val="bottom"/>
            <w:hideMark/>
          </w:tcPr>
          <w:p w14:paraId="512D0C45" w14:textId="36C5A6B6" w:rsidR="0036681C" w:rsidRPr="00A03A7E" w:rsidRDefault="0036681C" w:rsidP="00591F00">
            <w:pPr>
              <w:spacing w:line="276" w:lineRule="auto"/>
              <w:jc w:val="right"/>
              <w:rPr>
                <w:sz w:val="18"/>
                <w:szCs w:val="18"/>
              </w:rPr>
            </w:pPr>
            <w:r w:rsidRPr="00A03A7E">
              <w:rPr>
                <w:sz w:val="18"/>
                <w:szCs w:val="18"/>
              </w:rPr>
              <w:t>21 909,</w:t>
            </w:r>
            <w:r w:rsidR="001A5605">
              <w:rPr>
                <w:sz w:val="18"/>
                <w:szCs w:val="18"/>
              </w:rPr>
              <w:t>3</w:t>
            </w:r>
          </w:p>
        </w:tc>
        <w:tc>
          <w:tcPr>
            <w:tcW w:w="900" w:type="dxa"/>
            <w:tcBorders>
              <w:top w:val="nil"/>
              <w:left w:val="nil"/>
              <w:bottom w:val="nil"/>
              <w:right w:val="single" w:sz="8" w:space="0" w:color="800000"/>
            </w:tcBorders>
            <w:shd w:val="clear" w:color="000000" w:fill="FFFFCC"/>
            <w:noWrap/>
            <w:vAlign w:val="bottom"/>
            <w:hideMark/>
          </w:tcPr>
          <w:p w14:paraId="483CA170" w14:textId="77777777" w:rsidR="0036681C" w:rsidRPr="00085C17" w:rsidRDefault="0036681C" w:rsidP="00591F00">
            <w:pPr>
              <w:jc w:val="right"/>
              <w:rPr>
                <w:color w:val="0070C0"/>
                <w:sz w:val="18"/>
                <w:szCs w:val="18"/>
              </w:rPr>
            </w:pPr>
            <w:r w:rsidRPr="00085C17">
              <w:rPr>
                <w:sz w:val="18"/>
                <w:szCs w:val="20"/>
              </w:rPr>
              <w:t>14,9%</w:t>
            </w:r>
          </w:p>
        </w:tc>
        <w:tc>
          <w:tcPr>
            <w:tcW w:w="955" w:type="dxa"/>
            <w:tcBorders>
              <w:top w:val="nil"/>
              <w:left w:val="single" w:sz="8" w:space="0" w:color="800000"/>
              <w:bottom w:val="nil"/>
              <w:right w:val="single" w:sz="8" w:space="0" w:color="800000"/>
            </w:tcBorders>
            <w:shd w:val="clear" w:color="auto" w:fill="FFFFCC"/>
            <w:noWrap/>
            <w:vAlign w:val="bottom"/>
            <w:hideMark/>
          </w:tcPr>
          <w:p w14:paraId="590A0E84" w14:textId="77777777" w:rsidR="0036681C" w:rsidRPr="00132D57" w:rsidRDefault="0036681C" w:rsidP="00591F00">
            <w:pPr>
              <w:spacing w:line="276" w:lineRule="auto"/>
              <w:jc w:val="right"/>
              <w:rPr>
                <w:sz w:val="18"/>
                <w:szCs w:val="20"/>
              </w:rPr>
            </w:pPr>
            <w:r w:rsidRPr="00132D57">
              <w:rPr>
                <w:sz w:val="18"/>
                <w:szCs w:val="20"/>
              </w:rPr>
              <w:t>14,8%</w:t>
            </w:r>
          </w:p>
        </w:tc>
        <w:tc>
          <w:tcPr>
            <w:tcW w:w="845" w:type="dxa"/>
            <w:tcBorders>
              <w:top w:val="nil"/>
              <w:left w:val="nil"/>
              <w:bottom w:val="nil"/>
              <w:right w:val="double" w:sz="6" w:space="0" w:color="800000"/>
            </w:tcBorders>
            <w:shd w:val="clear" w:color="000000" w:fill="FFFFCC"/>
            <w:noWrap/>
            <w:vAlign w:val="bottom"/>
            <w:hideMark/>
          </w:tcPr>
          <w:p w14:paraId="71DBCD12" w14:textId="77777777" w:rsidR="0036681C" w:rsidRPr="00132D57" w:rsidRDefault="0036681C" w:rsidP="00591F00">
            <w:pPr>
              <w:jc w:val="right"/>
              <w:rPr>
                <w:color w:val="0070C0"/>
                <w:sz w:val="18"/>
                <w:szCs w:val="18"/>
              </w:rPr>
            </w:pPr>
            <w:r w:rsidRPr="00132D57">
              <w:rPr>
                <w:sz w:val="18"/>
                <w:szCs w:val="20"/>
              </w:rPr>
              <w:t>13,2%</w:t>
            </w:r>
          </w:p>
        </w:tc>
      </w:tr>
      <w:tr w:rsidR="0036681C" w:rsidRPr="007B48E9" w14:paraId="4CAD1DE3" w14:textId="77777777" w:rsidTr="00591F00">
        <w:trPr>
          <w:trHeight w:val="388"/>
        </w:trPr>
        <w:tc>
          <w:tcPr>
            <w:tcW w:w="3889" w:type="dxa"/>
            <w:tcBorders>
              <w:top w:val="nil"/>
              <w:left w:val="double" w:sz="6" w:space="0" w:color="800000"/>
              <w:bottom w:val="nil"/>
              <w:right w:val="single" w:sz="8" w:space="0" w:color="800000"/>
            </w:tcBorders>
            <w:shd w:val="clear" w:color="auto" w:fill="FFFFCC"/>
            <w:vAlign w:val="bottom"/>
            <w:hideMark/>
          </w:tcPr>
          <w:p w14:paraId="5F9B335B" w14:textId="77777777" w:rsidR="0036681C" w:rsidRPr="004C688A" w:rsidRDefault="0036681C" w:rsidP="00591F00">
            <w:pPr>
              <w:rPr>
                <w:b/>
                <w:bCs/>
                <w:sz w:val="17"/>
                <w:szCs w:val="17"/>
              </w:rPr>
            </w:pPr>
            <w:r w:rsidRPr="004C688A">
              <w:rPr>
                <w:b/>
                <w:bCs/>
                <w:sz w:val="17"/>
                <w:szCs w:val="17"/>
              </w:rPr>
              <w:t>VI. ЖИЛИЩНО СТРОИТЕЛСТВО, БЛАГОУСТРОЙСТВО, КОМУНАЛНО СТОПАНСТВО И ОПАЗВАНЕ НА ОКОЛНАТА СРЕДА</w:t>
            </w:r>
          </w:p>
        </w:tc>
        <w:tc>
          <w:tcPr>
            <w:tcW w:w="980" w:type="dxa"/>
            <w:tcBorders>
              <w:top w:val="nil"/>
              <w:left w:val="nil"/>
              <w:bottom w:val="nil"/>
              <w:right w:val="single" w:sz="8" w:space="0" w:color="800000"/>
            </w:tcBorders>
            <w:shd w:val="clear" w:color="auto" w:fill="FFFFCC"/>
            <w:noWrap/>
            <w:hideMark/>
          </w:tcPr>
          <w:p w14:paraId="600E23E4" w14:textId="77777777" w:rsidR="0036681C" w:rsidRPr="004C688A" w:rsidRDefault="0036681C" w:rsidP="00591F00">
            <w:pPr>
              <w:jc w:val="right"/>
              <w:rPr>
                <w:sz w:val="18"/>
                <w:szCs w:val="18"/>
              </w:rPr>
            </w:pPr>
          </w:p>
          <w:p w14:paraId="1983C902" w14:textId="77777777" w:rsidR="0036681C" w:rsidRPr="004C688A" w:rsidRDefault="0036681C" w:rsidP="00591F00">
            <w:pPr>
              <w:jc w:val="right"/>
              <w:rPr>
                <w:sz w:val="18"/>
                <w:szCs w:val="18"/>
              </w:rPr>
            </w:pPr>
          </w:p>
          <w:p w14:paraId="6FC309C5" w14:textId="77777777" w:rsidR="0036681C" w:rsidRPr="004C688A" w:rsidRDefault="0036681C" w:rsidP="00591F00">
            <w:pPr>
              <w:jc w:val="right"/>
              <w:rPr>
                <w:sz w:val="18"/>
                <w:szCs w:val="18"/>
              </w:rPr>
            </w:pPr>
          </w:p>
          <w:p w14:paraId="285AC5AD" w14:textId="77777777" w:rsidR="0036681C" w:rsidRPr="004C688A" w:rsidRDefault="0036681C" w:rsidP="00591F00">
            <w:pPr>
              <w:jc w:val="right"/>
              <w:rPr>
                <w:sz w:val="18"/>
                <w:szCs w:val="18"/>
              </w:rPr>
            </w:pPr>
            <w:r w:rsidRPr="004C688A">
              <w:rPr>
                <w:sz w:val="18"/>
                <w:szCs w:val="18"/>
              </w:rPr>
              <w:t>2 463,</w:t>
            </w:r>
            <w:r w:rsidRPr="004C688A">
              <w:rPr>
                <w:sz w:val="18"/>
                <w:szCs w:val="18"/>
                <w:lang w:val="en-US"/>
              </w:rPr>
              <w:t>8</w:t>
            </w:r>
          </w:p>
        </w:tc>
        <w:tc>
          <w:tcPr>
            <w:tcW w:w="1075" w:type="dxa"/>
            <w:tcBorders>
              <w:top w:val="nil"/>
              <w:left w:val="nil"/>
              <w:bottom w:val="nil"/>
              <w:right w:val="single" w:sz="8" w:space="0" w:color="800000"/>
            </w:tcBorders>
            <w:shd w:val="clear" w:color="auto" w:fill="FFFFCC"/>
            <w:noWrap/>
            <w:vAlign w:val="bottom"/>
            <w:hideMark/>
          </w:tcPr>
          <w:p w14:paraId="3D5E421C" w14:textId="77777777" w:rsidR="0036681C" w:rsidRPr="00BD2630" w:rsidRDefault="0036681C" w:rsidP="00591F00">
            <w:pPr>
              <w:spacing w:line="276" w:lineRule="auto"/>
              <w:jc w:val="right"/>
              <w:rPr>
                <w:sz w:val="18"/>
                <w:szCs w:val="18"/>
              </w:rPr>
            </w:pPr>
            <w:r w:rsidRPr="00BD2630">
              <w:rPr>
                <w:sz w:val="18"/>
                <w:szCs w:val="18"/>
              </w:rPr>
              <w:t>3 378,8</w:t>
            </w:r>
          </w:p>
        </w:tc>
        <w:tc>
          <w:tcPr>
            <w:tcW w:w="929" w:type="dxa"/>
            <w:tcBorders>
              <w:top w:val="nil"/>
              <w:left w:val="nil"/>
              <w:bottom w:val="nil"/>
              <w:right w:val="single" w:sz="8" w:space="0" w:color="800000"/>
            </w:tcBorders>
            <w:shd w:val="clear" w:color="auto" w:fill="FFFFCC"/>
            <w:noWrap/>
            <w:vAlign w:val="bottom"/>
            <w:hideMark/>
          </w:tcPr>
          <w:p w14:paraId="641AF1DA" w14:textId="1FFF570C" w:rsidR="0036681C" w:rsidRPr="00A03A7E" w:rsidRDefault="0036681C" w:rsidP="00591F00">
            <w:pPr>
              <w:spacing w:line="276" w:lineRule="auto"/>
              <w:jc w:val="right"/>
              <w:rPr>
                <w:sz w:val="18"/>
                <w:szCs w:val="18"/>
              </w:rPr>
            </w:pPr>
            <w:r w:rsidRPr="00A03A7E">
              <w:rPr>
                <w:sz w:val="18"/>
                <w:szCs w:val="18"/>
              </w:rPr>
              <w:t>2 732,</w:t>
            </w:r>
            <w:r w:rsidR="001A5605">
              <w:rPr>
                <w:sz w:val="18"/>
                <w:szCs w:val="18"/>
              </w:rPr>
              <w:t>1</w:t>
            </w:r>
          </w:p>
        </w:tc>
        <w:tc>
          <w:tcPr>
            <w:tcW w:w="900" w:type="dxa"/>
            <w:tcBorders>
              <w:top w:val="nil"/>
              <w:left w:val="nil"/>
              <w:bottom w:val="nil"/>
              <w:right w:val="single" w:sz="8" w:space="0" w:color="800000"/>
            </w:tcBorders>
            <w:shd w:val="clear" w:color="000000" w:fill="FFFFCC"/>
            <w:noWrap/>
            <w:vAlign w:val="bottom"/>
            <w:hideMark/>
          </w:tcPr>
          <w:p w14:paraId="78BD358C" w14:textId="77777777" w:rsidR="0036681C" w:rsidRPr="00085C17" w:rsidRDefault="0036681C" w:rsidP="00591F00">
            <w:pPr>
              <w:jc w:val="right"/>
              <w:rPr>
                <w:color w:val="0070C0"/>
                <w:sz w:val="18"/>
                <w:szCs w:val="18"/>
              </w:rPr>
            </w:pPr>
            <w:r w:rsidRPr="00085C17">
              <w:rPr>
                <w:sz w:val="18"/>
                <w:szCs w:val="20"/>
              </w:rPr>
              <w:t>1,8%</w:t>
            </w:r>
          </w:p>
        </w:tc>
        <w:tc>
          <w:tcPr>
            <w:tcW w:w="955" w:type="dxa"/>
            <w:tcBorders>
              <w:top w:val="nil"/>
              <w:left w:val="single" w:sz="8" w:space="0" w:color="800000"/>
              <w:bottom w:val="nil"/>
              <w:right w:val="single" w:sz="8" w:space="0" w:color="800000"/>
            </w:tcBorders>
            <w:shd w:val="clear" w:color="auto" w:fill="FFFFCC"/>
            <w:noWrap/>
            <w:vAlign w:val="bottom"/>
            <w:hideMark/>
          </w:tcPr>
          <w:p w14:paraId="0DBC37A5" w14:textId="77777777" w:rsidR="0036681C" w:rsidRPr="00132D57" w:rsidRDefault="0036681C" w:rsidP="00591F00">
            <w:pPr>
              <w:spacing w:line="276" w:lineRule="auto"/>
              <w:jc w:val="right"/>
              <w:rPr>
                <w:sz w:val="18"/>
                <w:szCs w:val="20"/>
              </w:rPr>
            </w:pPr>
            <w:r w:rsidRPr="00132D57">
              <w:rPr>
                <w:sz w:val="18"/>
                <w:szCs w:val="20"/>
              </w:rPr>
              <w:t>2,2%</w:t>
            </w:r>
          </w:p>
        </w:tc>
        <w:tc>
          <w:tcPr>
            <w:tcW w:w="845" w:type="dxa"/>
            <w:tcBorders>
              <w:top w:val="nil"/>
              <w:left w:val="nil"/>
              <w:bottom w:val="nil"/>
              <w:right w:val="double" w:sz="6" w:space="0" w:color="800000"/>
            </w:tcBorders>
            <w:shd w:val="clear" w:color="000000" w:fill="FFFFCC"/>
            <w:noWrap/>
            <w:vAlign w:val="bottom"/>
            <w:hideMark/>
          </w:tcPr>
          <w:p w14:paraId="08AF6B1E" w14:textId="77777777" w:rsidR="0036681C" w:rsidRPr="00132D57" w:rsidRDefault="0036681C" w:rsidP="00591F00">
            <w:pPr>
              <w:jc w:val="right"/>
              <w:rPr>
                <w:color w:val="0070C0"/>
                <w:sz w:val="18"/>
                <w:szCs w:val="18"/>
              </w:rPr>
            </w:pPr>
            <w:r w:rsidRPr="00132D57">
              <w:rPr>
                <w:sz w:val="18"/>
                <w:szCs w:val="20"/>
              </w:rPr>
              <w:t>1,7%</w:t>
            </w:r>
          </w:p>
        </w:tc>
      </w:tr>
      <w:tr w:rsidR="0036681C" w:rsidRPr="007B48E9" w14:paraId="1A9C9B3D" w14:textId="77777777" w:rsidTr="00591F00">
        <w:trPr>
          <w:trHeight w:val="480"/>
        </w:trPr>
        <w:tc>
          <w:tcPr>
            <w:tcW w:w="3889" w:type="dxa"/>
            <w:tcBorders>
              <w:top w:val="nil"/>
              <w:left w:val="double" w:sz="6" w:space="0" w:color="800000"/>
              <w:bottom w:val="nil"/>
              <w:right w:val="single" w:sz="8" w:space="0" w:color="800000"/>
            </w:tcBorders>
            <w:shd w:val="clear" w:color="auto" w:fill="FFFFCC"/>
            <w:vAlign w:val="bottom"/>
            <w:hideMark/>
          </w:tcPr>
          <w:p w14:paraId="28606BF4" w14:textId="77777777" w:rsidR="0036681C" w:rsidRPr="004C688A" w:rsidRDefault="0036681C" w:rsidP="00591F00">
            <w:pPr>
              <w:rPr>
                <w:b/>
                <w:bCs/>
                <w:sz w:val="18"/>
                <w:szCs w:val="18"/>
              </w:rPr>
            </w:pPr>
            <w:r w:rsidRPr="004C688A">
              <w:rPr>
                <w:b/>
                <w:bCs/>
                <w:sz w:val="18"/>
                <w:szCs w:val="18"/>
              </w:rPr>
              <w:t>VII. КУЛТУРА, СПОРТ, ПОЧИВНИ ДЕЙНОСТИ И РЕЛИГИОЗНО ДЕЛО</w:t>
            </w:r>
          </w:p>
        </w:tc>
        <w:tc>
          <w:tcPr>
            <w:tcW w:w="980" w:type="dxa"/>
            <w:tcBorders>
              <w:top w:val="nil"/>
              <w:left w:val="nil"/>
              <w:bottom w:val="nil"/>
              <w:right w:val="single" w:sz="8" w:space="0" w:color="800000"/>
            </w:tcBorders>
            <w:shd w:val="clear" w:color="auto" w:fill="FFFFCC"/>
            <w:noWrap/>
            <w:hideMark/>
          </w:tcPr>
          <w:p w14:paraId="161A24FE" w14:textId="77777777" w:rsidR="0036681C" w:rsidRPr="004C688A" w:rsidRDefault="0036681C" w:rsidP="00591F00">
            <w:pPr>
              <w:jc w:val="right"/>
              <w:rPr>
                <w:sz w:val="18"/>
                <w:szCs w:val="18"/>
              </w:rPr>
            </w:pPr>
          </w:p>
          <w:p w14:paraId="0409E457" w14:textId="77777777" w:rsidR="0036681C" w:rsidRPr="004C688A" w:rsidRDefault="0036681C" w:rsidP="00591F00">
            <w:pPr>
              <w:jc w:val="right"/>
              <w:rPr>
                <w:sz w:val="18"/>
                <w:szCs w:val="18"/>
              </w:rPr>
            </w:pPr>
          </w:p>
          <w:p w14:paraId="0A899CB3" w14:textId="77777777" w:rsidR="0036681C" w:rsidRPr="004C688A" w:rsidRDefault="0036681C" w:rsidP="00591F00">
            <w:pPr>
              <w:jc w:val="right"/>
              <w:rPr>
                <w:sz w:val="18"/>
                <w:szCs w:val="18"/>
              </w:rPr>
            </w:pPr>
            <w:r w:rsidRPr="004C688A">
              <w:rPr>
                <w:sz w:val="18"/>
                <w:szCs w:val="18"/>
              </w:rPr>
              <w:t>1 030,0</w:t>
            </w:r>
          </w:p>
        </w:tc>
        <w:tc>
          <w:tcPr>
            <w:tcW w:w="1075" w:type="dxa"/>
            <w:tcBorders>
              <w:top w:val="nil"/>
              <w:left w:val="nil"/>
              <w:bottom w:val="nil"/>
              <w:right w:val="single" w:sz="8" w:space="0" w:color="800000"/>
            </w:tcBorders>
            <w:shd w:val="clear" w:color="auto" w:fill="FFFFCC"/>
            <w:noWrap/>
            <w:vAlign w:val="bottom"/>
            <w:hideMark/>
          </w:tcPr>
          <w:p w14:paraId="5C4D3041" w14:textId="77777777" w:rsidR="0036681C" w:rsidRPr="00BD2630" w:rsidRDefault="0036681C" w:rsidP="00591F00">
            <w:pPr>
              <w:spacing w:line="276" w:lineRule="auto"/>
              <w:jc w:val="right"/>
              <w:rPr>
                <w:sz w:val="18"/>
                <w:szCs w:val="18"/>
              </w:rPr>
            </w:pPr>
            <w:r w:rsidRPr="00BD2630">
              <w:rPr>
                <w:sz w:val="18"/>
                <w:szCs w:val="18"/>
              </w:rPr>
              <w:t>1 136,7</w:t>
            </w:r>
          </w:p>
        </w:tc>
        <w:tc>
          <w:tcPr>
            <w:tcW w:w="929" w:type="dxa"/>
            <w:tcBorders>
              <w:top w:val="nil"/>
              <w:left w:val="nil"/>
              <w:bottom w:val="nil"/>
              <w:right w:val="single" w:sz="8" w:space="0" w:color="800000"/>
            </w:tcBorders>
            <w:shd w:val="clear" w:color="auto" w:fill="FFFFCC"/>
            <w:noWrap/>
            <w:vAlign w:val="bottom"/>
            <w:hideMark/>
          </w:tcPr>
          <w:p w14:paraId="1841146B" w14:textId="0EBB9A23" w:rsidR="0036681C" w:rsidRPr="00A03A7E" w:rsidRDefault="0036681C" w:rsidP="00591F00">
            <w:pPr>
              <w:spacing w:line="276" w:lineRule="auto"/>
              <w:jc w:val="right"/>
              <w:rPr>
                <w:sz w:val="18"/>
                <w:szCs w:val="18"/>
              </w:rPr>
            </w:pPr>
            <w:r w:rsidRPr="00A03A7E">
              <w:rPr>
                <w:sz w:val="18"/>
                <w:szCs w:val="18"/>
              </w:rPr>
              <w:t>1 200,</w:t>
            </w:r>
            <w:r w:rsidR="001A5605">
              <w:rPr>
                <w:sz w:val="18"/>
                <w:szCs w:val="18"/>
              </w:rPr>
              <w:t>9</w:t>
            </w:r>
          </w:p>
        </w:tc>
        <w:tc>
          <w:tcPr>
            <w:tcW w:w="900" w:type="dxa"/>
            <w:tcBorders>
              <w:top w:val="nil"/>
              <w:left w:val="nil"/>
              <w:bottom w:val="nil"/>
              <w:right w:val="single" w:sz="8" w:space="0" w:color="800000"/>
            </w:tcBorders>
            <w:shd w:val="clear" w:color="000000" w:fill="FFFFCC"/>
            <w:noWrap/>
            <w:vAlign w:val="bottom"/>
            <w:hideMark/>
          </w:tcPr>
          <w:p w14:paraId="13B90871" w14:textId="77777777" w:rsidR="0036681C" w:rsidRPr="00085C17" w:rsidRDefault="0036681C" w:rsidP="00591F00">
            <w:pPr>
              <w:jc w:val="right"/>
              <w:rPr>
                <w:color w:val="0070C0"/>
                <w:sz w:val="18"/>
                <w:szCs w:val="18"/>
              </w:rPr>
            </w:pPr>
            <w:r w:rsidRPr="00085C17">
              <w:rPr>
                <w:sz w:val="18"/>
                <w:szCs w:val="20"/>
              </w:rPr>
              <w:t>0,7%</w:t>
            </w:r>
          </w:p>
        </w:tc>
        <w:tc>
          <w:tcPr>
            <w:tcW w:w="955" w:type="dxa"/>
            <w:tcBorders>
              <w:top w:val="nil"/>
              <w:left w:val="single" w:sz="8" w:space="0" w:color="800000"/>
              <w:bottom w:val="nil"/>
              <w:right w:val="single" w:sz="8" w:space="0" w:color="800000"/>
            </w:tcBorders>
            <w:shd w:val="clear" w:color="auto" w:fill="FFFFCC"/>
            <w:noWrap/>
            <w:vAlign w:val="bottom"/>
            <w:hideMark/>
          </w:tcPr>
          <w:p w14:paraId="3C859A0A" w14:textId="77777777" w:rsidR="0036681C" w:rsidRPr="00132D57" w:rsidRDefault="0036681C" w:rsidP="00591F00">
            <w:pPr>
              <w:spacing w:line="276" w:lineRule="auto"/>
              <w:jc w:val="right"/>
              <w:rPr>
                <w:sz w:val="18"/>
                <w:szCs w:val="20"/>
              </w:rPr>
            </w:pPr>
            <w:r w:rsidRPr="00132D57">
              <w:rPr>
                <w:sz w:val="18"/>
                <w:szCs w:val="20"/>
              </w:rPr>
              <w:t>0,8%</w:t>
            </w:r>
          </w:p>
        </w:tc>
        <w:tc>
          <w:tcPr>
            <w:tcW w:w="845" w:type="dxa"/>
            <w:tcBorders>
              <w:top w:val="nil"/>
              <w:left w:val="nil"/>
              <w:bottom w:val="nil"/>
              <w:right w:val="double" w:sz="6" w:space="0" w:color="800000"/>
            </w:tcBorders>
            <w:shd w:val="clear" w:color="000000" w:fill="FFFFCC"/>
            <w:noWrap/>
            <w:vAlign w:val="bottom"/>
            <w:hideMark/>
          </w:tcPr>
          <w:p w14:paraId="6C7333F1" w14:textId="77777777" w:rsidR="0036681C" w:rsidRPr="00132D57" w:rsidRDefault="0036681C" w:rsidP="00591F00">
            <w:pPr>
              <w:jc w:val="right"/>
              <w:rPr>
                <w:color w:val="0070C0"/>
                <w:sz w:val="18"/>
                <w:szCs w:val="18"/>
              </w:rPr>
            </w:pPr>
            <w:r w:rsidRPr="00132D57">
              <w:rPr>
                <w:sz w:val="18"/>
                <w:szCs w:val="20"/>
              </w:rPr>
              <w:t>0,7%</w:t>
            </w:r>
          </w:p>
        </w:tc>
      </w:tr>
      <w:tr w:rsidR="0036681C" w:rsidRPr="007B48E9" w14:paraId="026DEE8B" w14:textId="77777777" w:rsidTr="00591F00">
        <w:trPr>
          <w:trHeight w:val="255"/>
        </w:trPr>
        <w:tc>
          <w:tcPr>
            <w:tcW w:w="3889" w:type="dxa"/>
            <w:tcBorders>
              <w:top w:val="nil"/>
              <w:left w:val="double" w:sz="6" w:space="0" w:color="800000"/>
              <w:bottom w:val="nil"/>
              <w:right w:val="single" w:sz="8" w:space="0" w:color="800000"/>
            </w:tcBorders>
            <w:shd w:val="clear" w:color="auto" w:fill="FFFFCC"/>
            <w:vAlign w:val="bottom"/>
            <w:hideMark/>
          </w:tcPr>
          <w:p w14:paraId="04FC4237" w14:textId="77777777" w:rsidR="0036681C" w:rsidRPr="004C688A" w:rsidRDefault="0036681C" w:rsidP="00591F00">
            <w:pPr>
              <w:rPr>
                <w:b/>
                <w:bCs/>
                <w:sz w:val="18"/>
                <w:szCs w:val="18"/>
              </w:rPr>
            </w:pPr>
            <w:r w:rsidRPr="004C688A">
              <w:rPr>
                <w:b/>
                <w:bCs/>
                <w:sz w:val="18"/>
                <w:szCs w:val="18"/>
              </w:rPr>
              <w:t>VIII. ИКОНОМИЧЕСКИ ДЕЙНОСТИ  И УСЛУГИ</w:t>
            </w:r>
          </w:p>
        </w:tc>
        <w:tc>
          <w:tcPr>
            <w:tcW w:w="980" w:type="dxa"/>
            <w:tcBorders>
              <w:top w:val="nil"/>
              <w:left w:val="nil"/>
              <w:bottom w:val="nil"/>
              <w:right w:val="single" w:sz="8" w:space="0" w:color="800000"/>
            </w:tcBorders>
            <w:shd w:val="clear" w:color="auto" w:fill="FFFFCC"/>
            <w:noWrap/>
            <w:hideMark/>
          </w:tcPr>
          <w:p w14:paraId="5C84DD4B" w14:textId="77777777" w:rsidR="0036681C" w:rsidRPr="004C688A" w:rsidRDefault="0036681C" w:rsidP="00591F00">
            <w:pPr>
              <w:jc w:val="right"/>
              <w:rPr>
                <w:sz w:val="18"/>
                <w:szCs w:val="18"/>
              </w:rPr>
            </w:pPr>
          </w:p>
          <w:p w14:paraId="702A719E" w14:textId="77777777" w:rsidR="0036681C" w:rsidRPr="004C688A" w:rsidRDefault="0036681C" w:rsidP="00591F00">
            <w:pPr>
              <w:jc w:val="right"/>
              <w:rPr>
                <w:sz w:val="18"/>
                <w:szCs w:val="18"/>
              </w:rPr>
            </w:pPr>
            <w:r w:rsidRPr="004C688A">
              <w:rPr>
                <w:sz w:val="18"/>
                <w:szCs w:val="18"/>
              </w:rPr>
              <w:t>8 330,</w:t>
            </w:r>
            <w:r w:rsidRPr="004C688A">
              <w:rPr>
                <w:sz w:val="18"/>
                <w:szCs w:val="18"/>
                <w:lang w:val="en-US"/>
              </w:rPr>
              <w:t>2</w:t>
            </w:r>
          </w:p>
        </w:tc>
        <w:tc>
          <w:tcPr>
            <w:tcW w:w="1075" w:type="dxa"/>
            <w:tcBorders>
              <w:top w:val="nil"/>
              <w:left w:val="nil"/>
              <w:bottom w:val="nil"/>
              <w:right w:val="single" w:sz="8" w:space="0" w:color="800000"/>
            </w:tcBorders>
            <w:shd w:val="clear" w:color="auto" w:fill="FFFFCC"/>
            <w:noWrap/>
            <w:vAlign w:val="bottom"/>
            <w:hideMark/>
          </w:tcPr>
          <w:p w14:paraId="27559F67" w14:textId="77777777" w:rsidR="0036681C" w:rsidRPr="00BD2630" w:rsidRDefault="0036681C" w:rsidP="00591F00">
            <w:pPr>
              <w:spacing w:line="276" w:lineRule="auto"/>
              <w:jc w:val="right"/>
              <w:rPr>
                <w:sz w:val="18"/>
                <w:szCs w:val="18"/>
              </w:rPr>
            </w:pPr>
            <w:r w:rsidRPr="00BD2630">
              <w:rPr>
                <w:sz w:val="18"/>
                <w:szCs w:val="18"/>
              </w:rPr>
              <w:t>11 222,754</w:t>
            </w:r>
          </w:p>
        </w:tc>
        <w:tc>
          <w:tcPr>
            <w:tcW w:w="929" w:type="dxa"/>
            <w:tcBorders>
              <w:top w:val="nil"/>
              <w:left w:val="nil"/>
              <w:bottom w:val="nil"/>
              <w:right w:val="single" w:sz="8" w:space="0" w:color="800000"/>
            </w:tcBorders>
            <w:shd w:val="clear" w:color="auto" w:fill="FFFFCC"/>
            <w:noWrap/>
            <w:vAlign w:val="bottom"/>
            <w:hideMark/>
          </w:tcPr>
          <w:p w14:paraId="1AD10691" w14:textId="77777777" w:rsidR="0036681C" w:rsidRPr="00A03A7E" w:rsidRDefault="0036681C" w:rsidP="00591F00">
            <w:pPr>
              <w:spacing w:line="276" w:lineRule="auto"/>
              <w:jc w:val="right"/>
              <w:rPr>
                <w:sz w:val="18"/>
                <w:szCs w:val="18"/>
              </w:rPr>
            </w:pPr>
            <w:r w:rsidRPr="00A03A7E">
              <w:rPr>
                <w:sz w:val="18"/>
                <w:szCs w:val="18"/>
              </w:rPr>
              <w:t>13 834,8</w:t>
            </w:r>
          </w:p>
        </w:tc>
        <w:tc>
          <w:tcPr>
            <w:tcW w:w="900" w:type="dxa"/>
            <w:tcBorders>
              <w:top w:val="nil"/>
              <w:left w:val="nil"/>
              <w:bottom w:val="nil"/>
              <w:right w:val="single" w:sz="8" w:space="0" w:color="800000"/>
            </w:tcBorders>
            <w:shd w:val="clear" w:color="000000" w:fill="FFFFCC"/>
            <w:noWrap/>
            <w:vAlign w:val="bottom"/>
            <w:hideMark/>
          </w:tcPr>
          <w:p w14:paraId="5FF59B7A" w14:textId="77777777" w:rsidR="0036681C" w:rsidRPr="00085C17" w:rsidRDefault="0036681C" w:rsidP="00591F00">
            <w:pPr>
              <w:jc w:val="right"/>
              <w:rPr>
                <w:color w:val="0070C0"/>
                <w:sz w:val="18"/>
                <w:szCs w:val="18"/>
              </w:rPr>
            </w:pPr>
            <w:r w:rsidRPr="00085C17">
              <w:rPr>
                <w:sz w:val="18"/>
                <w:szCs w:val="20"/>
              </w:rPr>
              <w:t>6,0%</w:t>
            </w:r>
          </w:p>
        </w:tc>
        <w:tc>
          <w:tcPr>
            <w:tcW w:w="955" w:type="dxa"/>
            <w:tcBorders>
              <w:top w:val="nil"/>
              <w:left w:val="single" w:sz="8" w:space="0" w:color="800000"/>
              <w:bottom w:val="nil"/>
              <w:right w:val="single" w:sz="8" w:space="0" w:color="800000"/>
            </w:tcBorders>
            <w:shd w:val="clear" w:color="auto" w:fill="FFFFCC"/>
            <w:noWrap/>
            <w:vAlign w:val="bottom"/>
            <w:hideMark/>
          </w:tcPr>
          <w:p w14:paraId="6C5A7700" w14:textId="77777777" w:rsidR="0036681C" w:rsidRPr="00132D57" w:rsidRDefault="0036681C" w:rsidP="00591F00">
            <w:pPr>
              <w:spacing w:line="276" w:lineRule="auto"/>
              <w:jc w:val="right"/>
              <w:rPr>
                <w:sz w:val="18"/>
                <w:szCs w:val="20"/>
              </w:rPr>
            </w:pPr>
            <w:r w:rsidRPr="00132D57">
              <w:rPr>
                <w:sz w:val="18"/>
                <w:szCs w:val="20"/>
              </w:rPr>
              <w:t>7,5%</w:t>
            </w:r>
          </w:p>
        </w:tc>
        <w:tc>
          <w:tcPr>
            <w:tcW w:w="845" w:type="dxa"/>
            <w:tcBorders>
              <w:top w:val="nil"/>
              <w:left w:val="nil"/>
              <w:bottom w:val="nil"/>
              <w:right w:val="double" w:sz="6" w:space="0" w:color="800000"/>
            </w:tcBorders>
            <w:shd w:val="clear" w:color="000000" w:fill="FFFFCC"/>
            <w:noWrap/>
            <w:vAlign w:val="bottom"/>
            <w:hideMark/>
          </w:tcPr>
          <w:p w14:paraId="6594397A" w14:textId="77777777" w:rsidR="0036681C" w:rsidRPr="00132D57" w:rsidRDefault="0036681C" w:rsidP="00591F00">
            <w:pPr>
              <w:jc w:val="right"/>
              <w:rPr>
                <w:color w:val="0070C0"/>
                <w:sz w:val="18"/>
                <w:szCs w:val="18"/>
              </w:rPr>
            </w:pPr>
            <w:r w:rsidRPr="00132D57">
              <w:rPr>
                <w:sz w:val="18"/>
                <w:szCs w:val="20"/>
              </w:rPr>
              <w:t>8,4%</w:t>
            </w:r>
          </w:p>
        </w:tc>
      </w:tr>
      <w:tr w:rsidR="0036681C" w:rsidRPr="007B48E9" w14:paraId="0971D4DA" w14:textId="77777777" w:rsidTr="00591F00">
        <w:trPr>
          <w:trHeight w:val="495"/>
        </w:trPr>
        <w:tc>
          <w:tcPr>
            <w:tcW w:w="3889" w:type="dxa"/>
            <w:tcBorders>
              <w:top w:val="nil"/>
              <w:left w:val="double" w:sz="6" w:space="0" w:color="800000"/>
              <w:bottom w:val="single" w:sz="8" w:space="0" w:color="800000"/>
              <w:right w:val="single" w:sz="8" w:space="0" w:color="800000"/>
            </w:tcBorders>
            <w:shd w:val="clear" w:color="auto" w:fill="FFFFCC"/>
            <w:vAlign w:val="bottom"/>
            <w:hideMark/>
          </w:tcPr>
          <w:p w14:paraId="4E64E937" w14:textId="77777777" w:rsidR="0036681C" w:rsidRPr="004C688A" w:rsidRDefault="0036681C" w:rsidP="00591F00">
            <w:pPr>
              <w:rPr>
                <w:b/>
                <w:bCs/>
                <w:sz w:val="18"/>
                <w:szCs w:val="18"/>
              </w:rPr>
            </w:pPr>
            <w:r w:rsidRPr="004C688A">
              <w:rPr>
                <w:b/>
                <w:bCs/>
                <w:sz w:val="18"/>
                <w:szCs w:val="18"/>
              </w:rPr>
              <w:t>IХ. РАЗХОДИ, НЕКЛАСИФИЦИРАНИ В ДРУГИТЕ ФУНКЦИИ</w:t>
            </w:r>
          </w:p>
        </w:tc>
        <w:tc>
          <w:tcPr>
            <w:tcW w:w="980" w:type="dxa"/>
            <w:tcBorders>
              <w:top w:val="nil"/>
              <w:left w:val="single" w:sz="8" w:space="0" w:color="800000"/>
              <w:bottom w:val="single" w:sz="8" w:space="0" w:color="800000"/>
              <w:right w:val="single" w:sz="8" w:space="0" w:color="800000"/>
            </w:tcBorders>
            <w:shd w:val="clear" w:color="auto" w:fill="FFFFCC"/>
            <w:noWrap/>
            <w:hideMark/>
          </w:tcPr>
          <w:p w14:paraId="1053CEF5" w14:textId="77777777" w:rsidR="0036681C" w:rsidRPr="004C688A" w:rsidRDefault="0036681C" w:rsidP="00591F00">
            <w:pPr>
              <w:jc w:val="right"/>
              <w:rPr>
                <w:sz w:val="18"/>
                <w:szCs w:val="18"/>
              </w:rPr>
            </w:pPr>
          </w:p>
          <w:p w14:paraId="7A374DAA" w14:textId="77777777" w:rsidR="0036681C" w:rsidRPr="004C688A" w:rsidRDefault="0036681C" w:rsidP="00591F00">
            <w:pPr>
              <w:jc w:val="right"/>
              <w:rPr>
                <w:sz w:val="18"/>
                <w:szCs w:val="18"/>
              </w:rPr>
            </w:pPr>
          </w:p>
          <w:p w14:paraId="36AB6998" w14:textId="77777777" w:rsidR="0036681C" w:rsidRPr="004C688A" w:rsidRDefault="0036681C" w:rsidP="00591F00">
            <w:pPr>
              <w:jc w:val="right"/>
              <w:rPr>
                <w:sz w:val="18"/>
                <w:szCs w:val="18"/>
              </w:rPr>
            </w:pPr>
            <w:r w:rsidRPr="004C688A">
              <w:rPr>
                <w:sz w:val="18"/>
                <w:szCs w:val="18"/>
              </w:rPr>
              <w:t>628,6</w:t>
            </w:r>
          </w:p>
        </w:tc>
        <w:tc>
          <w:tcPr>
            <w:tcW w:w="1075" w:type="dxa"/>
            <w:tcBorders>
              <w:top w:val="nil"/>
              <w:left w:val="single" w:sz="8" w:space="0" w:color="800000"/>
              <w:bottom w:val="single" w:sz="8" w:space="0" w:color="800000"/>
              <w:right w:val="single" w:sz="8" w:space="0" w:color="800000"/>
            </w:tcBorders>
            <w:shd w:val="clear" w:color="auto" w:fill="FFFFCC"/>
            <w:noWrap/>
            <w:vAlign w:val="bottom"/>
            <w:hideMark/>
          </w:tcPr>
          <w:p w14:paraId="68FEC95A" w14:textId="77777777" w:rsidR="0036681C" w:rsidRPr="00BD2630" w:rsidRDefault="0036681C" w:rsidP="00591F00">
            <w:pPr>
              <w:spacing w:line="276" w:lineRule="auto"/>
              <w:jc w:val="right"/>
              <w:rPr>
                <w:sz w:val="18"/>
                <w:szCs w:val="18"/>
              </w:rPr>
            </w:pPr>
            <w:r w:rsidRPr="00BD2630">
              <w:rPr>
                <w:sz w:val="18"/>
                <w:szCs w:val="18"/>
              </w:rPr>
              <w:t>664,3</w:t>
            </w:r>
          </w:p>
        </w:tc>
        <w:tc>
          <w:tcPr>
            <w:tcW w:w="929" w:type="dxa"/>
            <w:tcBorders>
              <w:top w:val="nil"/>
              <w:left w:val="single" w:sz="8" w:space="0" w:color="800000"/>
              <w:bottom w:val="single" w:sz="8" w:space="0" w:color="800000"/>
              <w:right w:val="single" w:sz="8" w:space="0" w:color="800000"/>
            </w:tcBorders>
            <w:shd w:val="clear" w:color="auto" w:fill="FFFFCC"/>
            <w:noWrap/>
            <w:vAlign w:val="bottom"/>
            <w:hideMark/>
          </w:tcPr>
          <w:p w14:paraId="117F796F" w14:textId="77777777" w:rsidR="0036681C" w:rsidRPr="00A03A7E" w:rsidRDefault="0036681C" w:rsidP="00591F00">
            <w:pPr>
              <w:spacing w:line="276" w:lineRule="auto"/>
              <w:jc w:val="right"/>
              <w:rPr>
                <w:sz w:val="18"/>
                <w:szCs w:val="18"/>
              </w:rPr>
            </w:pPr>
            <w:r w:rsidRPr="00A03A7E">
              <w:rPr>
                <w:sz w:val="18"/>
                <w:szCs w:val="18"/>
              </w:rPr>
              <w:t>651,8</w:t>
            </w:r>
          </w:p>
        </w:tc>
        <w:tc>
          <w:tcPr>
            <w:tcW w:w="900" w:type="dxa"/>
            <w:tcBorders>
              <w:top w:val="nil"/>
              <w:left w:val="single" w:sz="8" w:space="0" w:color="800000"/>
              <w:bottom w:val="single" w:sz="8" w:space="0" w:color="800000"/>
              <w:right w:val="single" w:sz="8" w:space="0" w:color="800000"/>
            </w:tcBorders>
            <w:shd w:val="clear" w:color="000000" w:fill="FFFFCC"/>
            <w:noWrap/>
            <w:vAlign w:val="bottom"/>
            <w:hideMark/>
          </w:tcPr>
          <w:p w14:paraId="626254D7" w14:textId="77777777" w:rsidR="0036681C" w:rsidRPr="00085C17" w:rsidRDefault="0036681C" w:rsidP="00591F00">
            <w:pPr>
              <w:jc w:val="right"/>
              <w:rPr>
                <w:color w:val="0070C0"/>
                <w:sz w:val="18"/>
                <w:szCs w:val="18"/>
              </w:rPr>
            </w:pPr>
            <w:r w:rsidRPr="00085C17">
              <w:rPr>
                <w:sz w:val="18"/>
                <w:szCs w:val="20"/>
              </w:rPr>
              <w:t>0,5%</w:t>
            </w:r>
          </w:p>
        </w:tc>
        <w:tc>
          <w:tcPr>
            <w:tcW w:w="955" w:type="dxa"/>
            <w:tcBorders>
              <w:top w:val="nil"/>
              <w:left w:val="single" w:sz="8" w:space="0" w:color="800000"/>
              <w:bottom w:val="single" w:sz="8" w:space="0" w:color="800000"/>
              <w:right w:val="single" w:sz="8" w:space="0" w:color="800000"/>
            </w:tcBorders>
            <w:shd w:val="clear" w:color="auto" w:fill="FFFFCC"/>
            <w:noWrap/>
            <w:vAlign w:val="bottom"/>
            <w:hideMark/>
          </w:tcPr>
          <w:p w14:paraId="715D9AD0" w14:textId="77777777" w:rsidR="0036681C" w:rsidRPr="00132D57" w:rsidRDefault="0036681C" w:rsidP="00591F00">
            <w:pPr>
              <w:spacing w:line="276" w:lineRule="auto"/>
              <w:jc w:val="right"/>
              <w:rPr>
                <w:sz w:val="18"/>
                <w:szCs w:val="20"/>
              </w:rPr>
            </w:pPr>
            <w:r w:rsidRPr="00132D57">
              <w:rPr>
                <w:sz w:val="18"/>
                <w:szCs w:val="20"/>
              </w:rPr>
              <w:t>0,4%</w:t>
            </w:r>
          </w:p>
        </w:tc>
        <w:tc>
          <w:tcPr>
            <w:tcW w:w="845" w:type="dxa"/>
            <w:tcBorders>
              <w:top w:val="nil"/>
              <w:left w:val="single" w:sz="8" w:space="0" w:color="800000"/>
              <w:bottom w:val="single" w:sz="8" w:space="0" w:color="800000"/>
              <w:right w:val="double" w:sz="6" w:space="0" w:color="800000"/>
            </w:tcBorders>
            <w:shd w:val="clear" w:color="000000" w:fill="FFFFCC"/>
            <w:noWrap/>
            <w:vAlign w:val="bottom"/>
            <w:hideMark/>
          </w:tcPr>
          <w:p w14:paraId="2F090E2E" w14:textId="77777777" w:rsidR="0036681C" w:rsidRPr="00132D57" w:rsidRDefault="0036681C" w:rsidP="00591F00">
            <w:pPr>
              <w:jc w:val="right"/>
              <w:rPr>
                <w:color w:val="0070C0"/>
                <w:sz w:val="18"/>
                <w:szCs w:val="18"/>
              </w:rPr>
            </w:pPr>
            <w:r w:rsidRPr="00132D57">
              <w:rPr>
                <w:sz w:val="18"/>
                <w:szCs w:val="20"/>
              </w:rPr>
              <w:t>0,4%</w:t>
            </w:r>
          </w:p>
        </w:tc>
      </w:tr>
      <w:tr w:rsidR="0036681C" w:rsidRPr="007B48E9" w14:paraId="0BD74334" w14:textId="77777777" w:rsidTr="00591F00">
        <w:trPr>
          <w:trHeight w:val="270"/>
        </w:trPr>
        <w:tc>
          <w:tcPr>
            <w:tcW w:w="3889" w:type="dxa"/>
            <w:tcBorders>
              <w:top w:val="nil"/>
              <w:left w:val="double" w:sz="6" w:space="0" w:color="800000"/>
              <w:bottom w:val="double" w:sz="6" w:space="0" w:color="800000"/>
              <w:right w:val="single" w:sz="8" w:space="0" w:color="800000"/>
            </w:tcBorders>
            <w:shd w:val="clear" w:color="auto" w:fill="FFFFCC"/>
            <w:vAlign w:val="bottom"/>
            <w:hideMark/>
          </w:tcPr>
          <w:p w14:paraId="6EFF7660" w14:textId="77777777" w:rsidR="0036681C" w:rsidRPr="004C688A" w:rsidRDefault="0036681C" w:rsidP="00591F00">
            <w:pPr>
              <w:rPr>
                <w:b/>
                <w:bCs/>
                <w:sz w:val="18"/>
                <w:szCs w:val="18"/>
              </w:rPr>
            </w:pPr>
            <w:r w:rsidRPr="004C688A">
              <w:rPr>
                <w:b/>
                <w:bCs/>
                <w:sz w:val="18"/>
                <w:szCs w:val="18"/>
              </w:rPr>
              <w:t>ОБЩО РАЗХОДИ</w:t>
            </w:r>
          </w:p>
        </w:tc>
        <w:tc>
          <w:tcPr>
            <w:tcW w:w="980" w:type="dxa"/>
            <w:tcBorders>
              <w:top w:val="nil"/>
              <w:left w:val="nil"/>
              <w:bottom w:val="double" w:sz="6" w:space="0" w:color="800000"/>
              <w:right w:val="single" w:sz="8" w:space="0" w:color="800000"/>
            </w:tcBorders>
            <w:shd w:val="clear" w:color="auto" w:fill="FFFFCC"/>
            <w:noWrap/>
            <w:vAlign w:val="bottom"/>
            <w:hideMark/>
          </w:tcPr>
          <w:p w14:paraId="596D3024" w14:textId="77777777" w:rsidR="0036681C" w:rsidRPr="004C688A" w:rsidRDefault="0036681C" w:rsidP="00591F00">
            <w:pPr>
              <w:jc w:val="right"/>
              <w:rPr>
                <w:b/>
                <w:sz w:val="18"/>
                <w:szCs w:val="18"/>
              </w:rPr>
            </w:pPr>
            <w:r w:rsidRPr="004C688A">
              <w:rPr>
                <w:b/>
                <w:sz w:val="18"/>
                <w:szCs w:val="18"/>
              </w:rPr>
              <w:t>54 572,</w:t>
            </w:r>
            <w:r w:rsidRPr="004C688A">
              <w:rPr>
                <w:b/>
                <w:sz w:val="18"/>
                <w:szCs w:val="18"/>
                <w:lang w:val="en-US"/>
              </w:rPr>
              <w:t>3</w:t>
            </w:r>
          </w:p>
        </w:tc>
        <w:tc>
          <w:tcPr>
            <w:tcW w:w="1075" w:type="dxa"/>
            <w:tcBorders>
              <w:top w:val="nil"/>
              <w:left w:val="nil"/>
              <w:bottom w:val="double" w:sz="6" w:space="0" w:color="800000"/>
              <w:right w:val="single" w:sz="8" w:space="0" w:color="800000"/>
            </w:tcBorders>
            <w:shd w:val="clear" w:color="auto" w:fill="FFFFCC"/>
            <w:noWrap/>
            <w:vAlign w:val="bottom"/>
            <w:hideMark/>
          </w:tcPr>
          <w:p w14:paraId="4CDCCB3D" w14:textId="77777777" w:rsidR="0036681C" w:rsidRPr="00A03A7E" w:rsidRDefault="0036681C" w:rsidP="00591F00">
            <w:pPr>
              <w:spacing w:line="276" w:lineRule="auto"/>
              <w:jc w:val="right"/>
              <w:rPr>
                <w:b/>
                <w:sz w:val="18"/>
                <w:szCs w:val="18"/>
              </w:rPr>
            </w:pPr>
            <w:r w:rsidRPr="00A03A7E">
              <w:rPr>
                <w:b/>
                <w:sz w:val="18"/>
                <w:szCs w:val="18"/>
              </w:rPr>
              <w:t>64 047,2</w:t>
            </w:r>
          </w:p>
        </w:tc>
        <w:tc>
          <w:tcPr>
            <w:tcW w:w="929" w:type="dxa"/>
            <w:tcBorders>
              <w:top w:val="nil"/>
              <w:left w:val="nil"/>
              <w:bottom w:val="double" w:sz="6" w:space="0" w:color="800000"/>
              <w:right w:val="single" w:sz="8" w:space="0" w:color="800000"/>
            </w:tcBorders>
            <w:shd w:val="clear" w:color="auto" w:fill="FFFFCC"/>
            <w:noWrap/>
            <w:vAlign w:val="bottom"/>
            <w:hideMark/>
          </w:tcPr>
          <w:p w14:paraId="4D6DCE28" w14:textId="77777777" w:rsidR="0036681C" w:rsidRPr="00A03A7E" w:rsidRDefault="0036681C" w:rsidP="00591F00">
            <w:pPr>
              <w:spacing w:line="276" w:lineRule="auto"/>
              <w:jc w:val="right"/>
              <w:rPr>
                <w:b/>
                <w:sz w:val="18"/>
                <w:szCs w:val="18"/>
              </w:rPr>
            </w:pPr>
            <w:r w:rsidRPr="00A03A7E">
              <w:rPr>
                <w:b/>
                <w:sz w:val="18"/>
                <w:szCs w:val="18"/>
              </w:rPr>
              <w:t>64 407,3</w:t>
            </w:r>
          </w:p>
        </w:tc>
        <w:tc>
          <w:tcPr>
            <w:tcW w:w="900" w:type="dxa"/>
            <w:tcBorders>
              <w:top w:val="nil"/>
              <w:left w:val="nil"/>
              <w:bottom w:val="double" w:sz="6" w:space="0" w:color="800000"/>
              <w:right w:val="single" w:sz="8" w:space="0" w:color="800000"/>
            </w:tcBorders>
            <w:shd w:val="clear" w:color="auto" w:fill="FFFFCC"/>
            <w:noWrap/>
            <w:vAlign w:val="bottom"/>
            <w:hideMark/>
          </w:tcPr>
          <w:p w14:paraId="088ABD0F" w14:textId="77777777" w:rsidR="0036681C" w:rsidRPr="007B48E9" w:rsidRDefault="0036681C" w:rsidP="00591F00">
            <w:pPr>
              <w:jc w:val="right"/>
              <w:rPr>
                <w:b/>
                <w:color w:val="0070C0"/>
                <w:sz w:val="18"/>
                <w:szCs w:val="18"/>
              </w:rPr>
            </w:pPr>
          </w:p>
        </w:tc>
        <w:tc>
          <w:tcPr>
            <w:tcW w:w="955" w:type="dxa"/>
            <w:tcBorders>
              <w:top w:val="nil"/>
              <w:left w:val="nil"/>
              <w:bottom w:val="double" w:sz="6" w:space="0" w:color="800000"/>
              <w:right w:val="single" w:sz="8" w:space="0" w:color="800000"/>
            </w:tcBorders>
            <w:shd w:val="clear" w:color="auto" w:fill="FFFFCC"/>
            <w:noWrap/>
            <w:vAlign w:val="center"/>
            <w:hideMark/>
          </w:tcPr>
          <w:p w14:paraId="4D83AAD6" w14:textId="77777777" w:rsidR="0036681C" w:rsidRPr="007B48E9" w:rsidRDefault="0036681C" w:rsidP="00591F00">
            <w:pPr>
              <w:rPr>
                <w:color w:val="0070C0"/>
                <w:sz w:val="18"/>
                <w:szCs w:val="18"/>
              </w:rPr>
            </w:pPr>
            <w:r w:rsidRPr="007B48E9">
              <w:rPr>
                <w:color w:val="0070C0"/>
                <w:sz w:val="18"/>
                <w:szCs w:val="18"/>
              </w:rPr>
              <w:t> </w:t>
            </w:r>
          </w:p>
        </w:tc>
        <w:tc>
          <w:tcPr>
            <w:tcW w:w="845" w:type="dxa"/>
            <w:tcBorders>
              <w:top w:val="nil"/>
              <w:left w:val="nil"/>
              <w:bottom w:val="double" w:sz="6" w:space="0" w:color="800000"/>
              <w:right w:val="double" w:sz="6" w:space="0" w:color="800000"/>
            </w:tcBorders>
            <w:shd w:val="clear" w:color="auto" w:fill="FFFFCC"/>
            <w:noWrap/>
            <w:vAlign w:val="center"/>
            <w:hideMark/>
          </w:tcPr>
          <w:p w14:paraId="4F3DAB08" w14:textId="77777777" w:rsidR="0036681C" w:rsidRPr="007B48E9" w:rsidRDefault="0036681C" w:rsidP="00591F00">
            <w:pPr>
              <w:rPr>
                <w:color w:val="0070C0"/>
                <w:sz w:val="18"/>
                <w:szCs w:val="18"/>
              </w:rPr>
            </w:pPr>
            <w:r w:rsidRPr="007B48E9">
              <w:rPr>
                <w:color w:val="0070C0"/>
                <w:sz w:val="18"/>
                <w:szCs w:val="18"/>
              </w:rPr>
              <w:t> </w:t>
            </w:r>
          </w:p>
        </w:tc>
      </w:tr>
    </w:tbl>
    <w:p w14:paraId="5C39C794" w14:textId="77777777" w:rsidR="0036681C" w:rsidRPr="007B48E9" w:rsidRDefault="0036681C" w:rsidP="0036681C">
      <w:pPr>
        <w:ind w:left="360"/>
        <w:jc w:val="both"/>
        <w:rPr>
          <w:color w:val="0070C0"/>
        </w:rPr>
      </w:pPr>
    </w:p>
    <w:p w14:paraId="2FAA609E" w14:textId="7D021A0E" w:rsidR="0036681C" w:rsidRDefault="0036681C" w:rsidP="0036681C">
      <w:pPr>
        <w:ind w:firstLine="720"/>
        <w:jc w:val="both"/>
        <w:rPr>
          <w:lang w:val="ru-RU"/>
        </w:rPr>
      </w:pPr>
      <w:r w:rsidRPr="00111FBC">
        <w:t xml:space="preserve">При анализа на разходите по функции, представени като относителен дял в БВП,  отчетните данни за 2021 г. и 2022 г. са отнесени към БВП (по данни на НСИ – </w:t>
      </w:r>
      <w:r w:rsidRPr="008102FC">
        <w:t xml:space="preserve">139 012,3 млн. лв. за 2021 г. и 165 383,6 млн. лв. за 2022 г.), </w:t>
      </w:r>
      <w:r>
        <w:t>а</w:t>
      </w:r>
      <w:r w:rsidRPr="008102FC">
        <w:t xml:space="preserve"> за разчета към програмата за 2022 г. е използвана прогнозата за БВП, заложена в </w:t>
      </w:r>
      <w:r w:rsidRPr="00C51339">
        <w:t>ЗДБРБ</w:t>
      </w:r>
      <w:r w:rsidRPr="008102FC">
        <w:t xml:space="preserve"> за 2022 г.</w:t>
      </w:r>
      <w:r w:rsidRPr="008102FC">
        <w:rPr>
          <w:lang w:val="ru-RU"/>
        </w:rPr>
        <w:t xml:space="preserve"> (150 493,6 </w:t>
      </w:r>
      <w:r w:rsidRPr="008102FC">
        <w:t>млн. лв.</w:t>
      </w:r>
      <w:r w:rsidRPr="008102FC">
        <w:rPr>
          <w:lang w:val="ru-RU"/>
        </w:rPr>
        <w:t>).</w:t>
      </w:r>
    </w:p>
    <w:p w14:paraId="54AE8AFD" w14:textId="77777777" w:rsidR="0017079F" w:rsidRPr="0017079F" w:rsidRDefault="0017079F" w:rsidP="0036681C">
      <w:pPr>
        <w:ind w:firstLine="720"/>
        <w:jc w:val="both"/>
        <w:rPr>
          <w:color w:val="0070C0"/>
          <w:sz w:val="18"/>
          <w:lang w:val="ru-RU"/>
        </w:rPr>
      </w:pPr>
    </w:p>
    <w:p w14:paraId="36495DCC" w14:textId="0414E7B3" w:rsidR="0036681C" w:rsidRDefault="0017079F" w:rsidP="0017079F">
      <w:pPr>
        <w:jc w:val="both"/>
        <w:rPr>
          <w:color w:val="0070C0"/>
          <w:sz w:val="18"/>
          <w:lang w:val="ru-RU"/>
        </w:rPr>
      </w:pPr>
      <w:r>
        <w:rPr>
          <w:noProof/>
          <w:color w:val="0070C0"/>
          <w:sz w:val="18"/>
        </w:rPr>
        <w:drawing>
          <wp:inline distT="0" distB="0" distL="0" distR="0" wp14:anchorId="7A31EE74" wp14:editId="1A55040E">
            <wp:extent cx="5885822" cy="2736850"/>
            <wp:effectExtent l="0" t="0" r="63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9069" cy="2747660"/>
                    </a:xfrm>
                    <a:prstGeom prst="rect">
                      <a:avLst/>
                    </a:prstGeom>
                    <a:noFill/>
                  </pic:spPr>
                </pic:pic>
              </a:graphicData>
            </a:graphic>
          </wp:inline>
        </w:drawing>
      </w:r>
    </w:p>
    <w:p w14:paraId="583D55E1" w14:textId="77777777" w:rsidR="0017079F" w:rsidRDefault="0017079F" w:rsidP="0036681C">
      <w:pPr>
        <w:ind w:firstLine="720"/>
        <w:jc w:val="both"/>
        <w:rPr>
          <w:color w:val="0070C0"/>
          <w:sz w:val="18"/>
          <w:lang w:val="ru-RU"/>
        </w:rPr>
      </w:pPr>
    </w:p>
    <w:p w14:paraId="1789868C" w14:textId="77777777" w:rsidR="0036681C" w:rsidRPr="007B48E9" w:rsidRDefault="0036681C" w:rsidP="0036681C">
      <w:pPr>
        <w:jc w:val="both"/>
        <w:rPr>
          <w:color w:val="0070C0"/>
        </w:rPr>
      </w:pPr>
    </w:p>
    <w:p w14:paraId="11FB6E3F" w14:textId="77777777" w:rsidR="0036681C" w:rsidRPr="007B48E9" w:rsidRDefault="0036681C" w:rsidP="0036681C">
      <w:pPr>
        <w:jc w:val="both"/>
        <w:rPr>
          <w:color w:val="0070C0"/>
          <w:sz w:val="8"/>
          <w:szCs w:val="8"/>
        </w:rPr>
      </w:pPr>
    </w:p>
    <w:p w14:paraId="3F583BAE" w14:textId="6CCB5E11" w:rsidR="003435CF" w:rsidRPr="00476A75" w:rsidRDefault="0036681C" w:rsidP="0036681C">
      <w:pPr>
        <w:widowControl w:val="0"/>
        <w:spacing w:after="120"/>
        <w:ind w:firstLine="709"/>
        <w:jc w:val="both"/>
        <w:rPr>
          <w:b/>
          <w:i/>
        </w:rPr>
      </w:pPr>
      <w:bookmarkStart w:id="86" w:name="_MON_1495371087"/>
      <w:bookmarkStart w:id="87" w:name="_MON_1495371134"/>
      <w:bookmarkEnd w:id="86"/>
      <w:bookmarkEnd w:id="87"/>
      <w:r w:rsidRPr="002413F0">
        <w:t>С най-голям относителен дял в разходите по КФП за 2022 г</w:t>
      </w:r>
      <w:r w:rsidRPr="002413F0">
        <w:rPr>
          <w:b/>
          <w:i/>
        </w:rPr>
        <w:t>. са средствата за сферата на социалното осигуряване, подпомагане и грижи</w:t>
      </w:r>
      <w:r w:rsidRPr="002413F0">
        <w:t xml:space="preserve">. Общите разходи за </w:t>
      </w:r>
      <w:r w:rsidRPr="008F780A">
        <w:t xml:space="preserve">функцията за годината възлизат на </w:t>
      </w:r>
      <w:r w:rsidRPr="008F780A">
        <w:rPr>
          <w:b/>
          <w:i/>
          <w:lang w:val="ru-RU"/>
        </w:rPr>
        <w:t>21 909,</w:t>
      </w:r>
      <w:r w:rsidR="00FF5E5E" w:rsidRPr="00042EBB">
        <w:rPr>
          <w:b/>
          <w:i/>
          <w:lang w:val="ru-RU"/>
        </w:rPr>
        <w:t>3</w:t>
      </w:r>
      <w:r w:rsidRPr="008F780A">
        <w:rPr>
          <w:b/>
          <w:i/>
        </w:rPr>
        <w:t xml:space="preserve"> млн. лв</w:t>
      </w:r>
      <w:r w:rsidRPr="008F780A">
        <w:t xml:space="preserve">. или </w:t>
      </w:r>
      <w:r w:rsidRPr="008F780A">
        <w:rPr>
          <w:b/>
          <w:i/>
        </w:rPr>
        <w:t>13,2 % от БВП.</w:t>
      </w:r>
      <w:r w:rsidRPr="008F780A">
        <w:t xml:space="preserve"> </w:t>
      </w:r>
      <w:r w:rsidRPr="008F780A">
        <w:rPr>
          <w:iCs/>
        </w:rPr>
        <w:t xml:space="preserve">С най-голям </w:t>
      </w:r>
      <w:r w:rsidRPr="00D349D7">
        <w:rPr>
          <w:iCs/>
        </w:rPr>
        <w:t xml:space="preserve">относителен дял във функцията са разходите в група „Пенсии“, отчетени по бюджетите на ДОО и УПФ, които възлизат на 15 704,4 млн. лв. и нарастват с 1 402,1 млн. лв. (9,8 %) спрямо предходната година. </w:t>
      </w:r>
      <w:r w:rsidRPr="00E43EC7">
        <w:rPr>
          <w:iCs/>
        </w:rPr>
        <w:t xml:space="preserve">Основните причини за това </w:t>
      </w:r>
      <w:r>
        <w:rPr>
          <w:iCs/>
        </w:rPr>
        <w:t>увеличение са</w:t>
      </w:r>
      <w:r w:rsidRPr="00E43EC7">
        <w:rPr>
          <w:iCs/>
        </w:rPr>
        <w:t>: ефектите от изплащане на увеличените пенсии от 1 юли и от 25 декември 2021 г.; увеличението на минималната пенсия от 300 на 370 лв. и на максималната пенсия от 1 440 на 1 500 лв. от 25</w:t>
      </w:r>
      <w:r>
        <w:rPr>
          <w:iCs/>
        </w:rPr>
        <w:t> </w:t>
      </w:r>
      <w:r w:rsidRPr="00E43EC7">
        <w:rPr>
          <w:iCs/>
        </w:rPr>
        <w:t>декември 2021 г.; новото увеличение от  1 юли 2022 г. на минималната пенсия от 370 на 467</w:t>
      </w:r>
      <w:r>
        <w:rPr>
          <w:iCs/>
        </w:rPr>
        <w:t> </w:t>
      </w:r>
      <w:r w:rsidRPr="00E43EC7">
        <w:rPr>
          <w:iCs/>
        </w:rPr>
        <w:t xml:space="preserve">лв.,  на максималната - от 1 500 на 2 000 лв. и на всички останали пенсии с 10 %, увеличението на част от пенсиите от 1 октомври 2022 г., както и допълнителните еднократни плащания в размер на 70 лв. към пенсиите на всички пенсионери през м. април и декември </w:t>
      </w:r>
      <w:r w:rsidRPr="00CC7686">
        <w:rPr>
          <w:iCs/>
        </w:rPr>
        <w:t xml:space="preserve">2022 г. </w:t>
      </w:r>
      <w:r w:rsidRPr="00CC7686">
        <w:t xml:space="preserve">Разходите, извършени в сферата на </w:t>
      </w:r>
      <w:r w:rsidRPr="00CC7686">
        <w:rPr>
          <w:b/>
          <w:i/>
        </w:rPr>
        <w:t>отбраната и сигурността</w:t>
      </w:r>
      <w:r w:rsidRPr="00CC7686">
        <w:t xml:space="preserve"> през 2022 г., са в размер на </w:t>
      </w:r>
      <w:r w:rsidRPr="00CC7686">
        <w:rPr>
          <w:b/>
          <w:i/>
        </w:rPr>
        <w:t>6 547,3 млн. лв.</w:t>
      </w:r>
      <w:r w:rsidRPr="00CC7686">
        <w:t xml:space="preserve">, което представлява </w:t>
      </w:r>
      <w:r w:rsidRPr="00CC7686">
        <w:rPr>
          <w:b/>
          <w:i/>
        </w:rPr>
        <w:t>4,0 % от БВП</w:t>
      </w:r>
      <w:r w:rsidRPr="00CC7686">
        <w:t xml:space="preserve">. С извършените разходи са обезпечени дейностите по осигуряването на националната сигурност и отбраната, опазването на обществения и правовия ред, поддържането на отбранителния потенциал на страната, издръжката на съдебната власт и администрацията на затворите и </w:t>
      </w:r>
      <w:r w:rsidRPr="006B560E">
        <w:t>защита на населението, управление и дейности при стихийни бедствия и аварии. Сред основните приоритети за 2022 г. бяха и политиките в сферата на</w:t>
      </w:r>
      <w:r w:rsidRPr="006B560E">
        <w:rPr>
          <w:b/>
          <w:i/>
        </w:rPr>
        <w:t xml:space="preserve"> образованието</w:t>
      </w:r>
      <w:r w:rsidRPr="006B560E">
        <w:t xml:space="preserve">, като общият размер на разходите за функцията е </w:t>
      </w:r>
      <w:r w:rsidRPr="006B560E">
        <w:rPr>
          <w:b/>
          <w:i/>
        </w:rPr>
        <w:t>6 373,4 млн. лв.</w:t>
      </w:r>
      <w:r w:rsidRPr="006B560E">
        <w:t xml:space="preserve"> или </w:t>
      </w:r>
      <w:r w:rsidRPr="006B560E">
        <w:rPr>
          <w:b/>
          <w:i/>
          <w:lang w:val="ru-RU"/>
        </w:rPr>
        <w:t>3,9</w:t>
      </w:r>
      <w:r w:rsidRPr="006B560E">
        <w:rPr>
          <w:b/>
          <w:i/>
        </w:rPr>
        <w:t xml:space="preserve"> % от БВП</w:t>
      </w:r>
      <w:r w:rsidRPr="006B560E">
        <w:t xml:space="preserve">. </w:t>
      </w:r>
      <w:r w:rsidRPr="0082002C">
        <w:t>През 2022</w:t>
      </w:r>
      <w:r>
        <w:t> </w:t>
      </w:r>
      <w:r w:rsidRPr="0082002C">
        <w:t xml:space="preserve">г. са разчетени </w:t>
      </w:r>
      <w:r>
        <w:t>средства</w:t>
      </w:r>
      <w:r w:rsidRPr="0082002C">
        <w:t xml:space="preserve"> за увеличение от 1 април 2022 г. на доходите на педагогическите специалисти в системата на предучилищното и училищното образование до ниво от 125 % спрямо средната работна заплата за страната, в т.ч. общини, както и </w:t>
      </w:r>
      <w:r>
        <w:t>средства</w:t>
      </w:r>
      <w:r w:rsidRPr="0082002C">
        <w:t xml:space="preserve"> за увеличаване възнагражденията и за компенсиране на повишените разходи за издръжка и храна на образователните институции в системата на предучилищното и училищното образование и за национални програми за развитие на предучилищното и училищното образование</w:t>
      </w:r>
      <w:r>
        <w:t xml:space="preserve">. </w:t>
      </w:r>
      <w:r w:rsidRPr="00EC155F">
        <w:t>Политиките в предучилищното и училищното образование са насочени към ефективна социализация на деца от ранна детска възраст, осигуряването на равен достъп до качествено образование, насърчаване на иновациите, квалификация на педагогическите специалисти</w:t>
      </w:r>
      <w:r>
        <w:t xml:space="preserve"> </w:t>
      </w:r>
      <w:r w:rsidRPr="00EC155F">
        <w:t xml:space="preserve"> </w:t>
      </w:r>
      <w:r>
        <w:t>и др.</w:t>
      </w:r>
      <w:r w:rsidRPr="00EC155F">
        <w:t xml:space="preserve"> През 2022 г. продължи прилагането на политики за повишаване качеството на обучение, за развитие на иновациите и предприемаческите умения на студентите и преподавателите, за кариерно развитие на академичния състав и превръщане на научните изследвания в интегрална част от висшето образование</w:t>
      </w:r>
      <w:r>
        <w:t xml:space="preserve">. </w:t>
      </w:r>
      <w:r w:rsidRPr="00D5702D">
        <w:t xml:space="preserve">Извършените разходи през 2022 г. в сферата на </w:t>
      </w:r>
      <w:r w:rsidRPr="00D5702D">
        <w:rPr>
          <w:b/>
          <w:i/>
        </w:rPr>
        <w:t>здравеопазването</w:t>
      </w:r>
      <w:r w:rsidRPr="00D5702D">
        <w:t xml:space="preserve"> са в размер на </w:t>
      </w:r>
      <w:r w:rsidRPr="00D5702D">
        <w:rPr>
          <w:b/>
          <w:i/>
        </w:rPr>
        <w:t>7 971,5 млн. лв</w:t>
      </w:r>
      <w:r w:rsidRPr="00E36A3A">
        <w:t xml:space="preserve">. или </w:t>
      </w:r>
      <w:r w:rsidRPr="00E36A3A">
        <w:rPr>
          <w:b/>
          <w:i/>
        </w:rPr>
        <w:t xml:space="preserve">4,8 % от БВП. </w:t>
      </w:r>
      <w:r w:rsidRPr="00E36A3A">
        <w:t>Разходите за функция „</w:t>
      </w:r>
      <w:r w:rsidRPr="00E36A3A">
        <w:rPr>
          <w:b/>
          <w:i/>
        </w:rPr>
        <w:t>Икономически дейности и услуги”</w:t>
      </w:r>
      <w:r w:rsidRPr="00E36A3A">
        <w:t xml:space="preserve"> са в размер на </w:t>
      </w:r>
      <w:r>
        <w:rPr>
          <w:b/>
          <w:i/>
        </w:rPr>
        <w:t>13 834,8</w:t>
      </w:r>
      <w:r w:rsidRPr="00E36A3A">
        <w:rPr>
          <w:b/>
          <w:i/>
        </w:rPr>
        <w:t xml:space="preserve"> млн. лв.</w:t>
      </w:r>
      <w:r w:rsidRPr="00E36A3A">
        <w:t xml:space="preserve"> или </w:t>
      </w:r>
      <w:r>
        <w:rPr>
          <w:b/>
          <w:i/>
        </w:rPr>
        <w:t>8,4</w:t>
      </w:r>
      <w:r w:rsidRPr="00E36A3A">
        <w:rPr>
          <w:b/>
          <w:i/>
        </w:rPr>
        <w:t> % от БВП</w:t>
      </w:r>
      <w:r w:rsidRPr="00E36A3A">
        <w:t xml:space="preserve">. Основните направления, в които са изразходвани средствата по тази функция, са изграждане на инфраструктурни обекти с национално значение, ремонт и поддържане на съществуващата транспортна мрежа и подпомагане на земеделските производители. </w:t>
      </w:r>
      <w:r w:rsidRPr="00D61313">
        <w:t xml:space="preserve">Разходите за функция </w:t>
      </w:r>
      <w:r w:rsidRPr="00D61313">
        <w:rPr>
          <w:b/>
          <w:i/>
        </w:rPr>
        <w:t>„Общи държавни служби”</w:t>
      </w:r>
      <w:r w:rsidRPr="00D61313">
        <w:t xml:space="preserve"> са в размер на </w:t>
      </w:r>
      <w:r w:rsidRPr="00D61313">
        <w:rPr>
          <w:b/>
          <w:i/>
        </w:rPr>
        <w:t xml:space="preserve">3 186,2 млн. лв. (1,9 % от </w:t>
      </w:r>
      <w:r w:rsidRPr="00212A73">
        <w:rPr>
          <w:b/>
          <w:i/>
        </w:rPr>
        <w:t>БВП).</w:t>
      </w:r>
      <w:r w:rsidRPr="00212A73">
        <w:t xml:space="preserve"> Разходите за дейностите по</w:t>
      </w:r>
      <w:r w:rsidRPr="00212A73">
        <w:rPr>
          <w:b/>
          <w:i/>
        </w:rPr>
        <w:t xml:space="preserve"> жилищно строителство, благоустройство, комунално стопанство и опазване на околната среда </w:t>
      </w:r>
      <w:r w:rsidRPr="00212A73">
        <w:t xml:space="preserve">са в размер на </w:t>
      </w:r>
      <w:r w:rsidRPr="00212A73">
        <w:rPr>
          <w:b/>
          <w:i/>
        </w:rPr>
        <w:t>2 732,</w:t>
      </w:r>
      <w:r w:rsidR="00FF5E5E" w:rsidRPr="00042EBB">
        <w:rPr>
          <w:b/>
          <w:i/>
          <w:lang w:val="ru-RU"/>
        </w:rPr>
        <w:t>1</w:t>
      </w:r>
      <w:r w:rsidRPr="00212A73">
        <w:rPr>
          <w:b/>
          <w:i/>
        </w:rPr>
        <w:t xml:space="preserve"> млн. лв</w:t>
      </w:r>
      <w:r w:rsidRPr="00212A73">
        <w:t>. (</w:t>
      </w:r>
      <w:r w:rsidRPr="00212A73">
        <w:rPr>
          <w:b/>
          <w:i/>
        </w:rPr>
        <w:t>1,7 % от БВП</w:t>
      </w:r>
      <w:r w:rsidRPr="00212A73">
        <w:t xml:space="preserve">). Извършените разходи през годината за финансиране на сферата на </w:t>
      </w:r>
      <w:r w:rsidRPr="00212A73">
        <w:rPr>
          <w:b/>
          <w:i/>
        </w:rPr>
        <w:t>култура, спорт, почивни дейности и религиозно дело</w:t>
      </w:r>
      <w:r w:rsidRPr="00212A73">
        <w:t xml:space="preserve"> са в размер на </w:t>
      </w:r>
      <w:r w:rsidRPr="00212A73">
        <w:rPr>
          <w:b/>
          <w:i/>
        </w:rPr>
        <w:t>1 200,</w:t>
      </w:r>
      <w:r w:rsidR="00FF5E5E" w:rsidRPr="00042EBB">
        <w:rPr>
          <w:b/>
          <w:i/>
          <w:lang w:val="ru-RU"/>
        </w:rPr>
        <w:t>9</w:t>
      </w:r>
      <w:r w:rsidRPr="00212A73">
        <w:rPr>
          <w:b/>
          <w:i/>
        </w:rPr>
        <w:t xml:space="preserve"> млн. лв.</w:t>
      </w:r>
      <w:r w:rsidRPr="00212A73">
        <w:t xml:space="preserve"> или </w:t>
      </w:r>
      <w:r w:rsidRPr="00212A73">
        <w:rPr>
          <w:b/>
          <w:i/>
        </w:rPr>
        <w:t>0,7 % от БВП</w:t>
      </w:r>
      <w:r w:rsidRPr="00212A73">
        <w:t xml:space="preserve">. </w:t>
      </w:r>
      <w:r w:rsidRPr="00212A73">
        <w:rPr>
          <w:b/>
          <w:i/>
        </w:rPr>
        <w:t>Разходите,</w:t>
      </w:r>
      <w:r w:rsidRPr="00212A73">
        <w:t xml:space="preserve"> </w:t>
      </w:r>
      <w:r w:rsidRPr="00212A73">
        <w:rPr>
          <w:b/>
          <w:i/>
        </w:rPr>
        <w:t xml:space="preserve">некласифицирани в другите функции </w:t>
      </w:r>
      <w:r w:rsidRPr="00212A73">
        <w:t>(без вноската за бюджета на ЕС)</w:t>
      </w:r>
      <w:r w:rsidRPr="00212A73">
        <w:rPr>
          <w:b/>
          <w:i/>
        </w:rPr>
        <w:t>,</w:t>
      </w:r>
      <w:r w:rsidRPr="00212A73">
        <w:t xml:space="preserve"> включват лихвените плащания по обслужване на държавния и общинския дълг и са </w:t>
      </w:r>
      <w:r w:rsidRPr="00476A75">
        <w:t xml:space="preserve">в размер на </w:t>
      </w:r>
      <w:r w:rsidRPr="00476A75">
        <w:rPr>
          <w:b/>
          <w:i/>
        </w:rPr>
        <w:t>651,8 млн. лв</w:t>
      </w:r>
      <w:r w:rsidRPr="00476A75">
        <w:t>.</w:t>
      </w:r>
      <w:r w:rsidRPr="00476A75">
        <w:rPr>
          <w:b/>
        </w:rPr>
        <w:t>,</w:t>
      </w:r>
      <w:r w:rsidRPr="00476A75">
        <w:t xml:space="preserve"> което представляват </w:t>
      </w:r>
      <w:r w:rsidRPr="00476A75">
        <w:rPr>
          <w:b/>
          <w:i/>
        </w:rPr>
        <w:t>0,4 % от БВП.</w:t>
      </w:r>
      <w:r w:rsidR="003435CF" w:rsidRPr="00476A75">
        <w:rPr>
          <w:b/>
          <w:i/>
        </w:rPr>
        <w:t xml:space="preserve"> </w:t>
      </w:r>
    </w:p>
    <w:p w14:paraId="36F64785" w14:textId="2E90D744" w:rsidR="003435CF" w:rsidRPr="00476A75" w:rsidRDefault="003435CF" w:rsidP="00BD39E0">
      <w:pPr>
        <w:pStyle w:val="ListParagraph"/>
        <w:numPr>
          <w:ilvl w:val="0"/>
          <w:numId w:val="62"/>
        </w:numPr>
        <w:spacing w:before="120" w:after="120"/>
        <w:ind w:left="0" w:firstLine="450"/>
        <w:jc w:val="both"/>
      </w:pPr>
      <w:r w:rsidRPr="00476A75">
        <w:rPr>
          <w:b/>
        </w:rPr>
        <w:t>Бюджетното салдо</w:t>
      </w:r>
      <w:r w:rsidRPr="00476A75">
        <w:rPr>
          <w:bCs/>
        </w:rPr>
        <w:t xml:space="preserve"> по консолидираната фискална програма за</w:t>
      </w:r>
      <w:r w:rsidRPr="00476A75">
        <w:t xml:space="preserve"> 202</w:t>
      </w:r>
      <w:r w:rsidR="00DC189D" w:rsidRPr="00476A75">
        <w:t>2</w:t>
      </w:r>
      <w:r w:rsidRPr="00476A75">
        <w:rPr>
          <w:bCs/>
        </w:rPr>
        <w:t xml:space="preserve"> г. е </w:t>
      </w:r>
      <w:r w:rsidRPr="00476A75">
        <w:rPr>
          <w:b/>
          <w:bCs/>
        </w:rPr>
        <w:t xml:space="preserve">отрицателно </w:t>
      </w:r>
      <w:r w:rsidRPr="00476A75">
        <w:rPr>
          <w:bCs/>
        </w:rPr>
        <w:t xml:space="preserve">в размер на </w:t>
      </w:r>
      <w:r w:rsidR="00DC189D" w:rsidRPr="00476A75">
        <w:rPr>
          <w:b/>
          <w:bCs/>
          <w:lang w:val="ru-RU"/>
        </w:rPr>
        <w:t>1 323,</w:t>
      </w:r>
      <w:r w:rsidR="00FF5E5E" w:rsidRPr="00042EBB">
        <w:rPr>
          <w:b/>
          <w:bCs/>
          <w:lang w:val="ru-RU"/>
        </w:rPr>
        <w:t>6</w:t>
      </w:r>
      <w:r w:rsidRPr="00476A75">
        <w:rPr>
          <w:b/>
          <w:bCs/>
        </w:rPr>
        <w:t xml:space="preserve"> </w:t>
      </w:r>
      <w:r w:rsidRPr="00476A75">
        <w:rPr>
          <w:b/>
        </w:rPr>
        <w:t>млн. лв.</w:t>
      </w:r>
      <w:r w:rsidRPr="00476A75">
        <w:t xml:space="preserve"> </w:t>
      </w:r>
      <w:r w:rsidRPr="00476A75">
        <w:rPr>
          <w:rFonts w:eastAsia="Calibri"/>
        </w:rPr>
        <w:t>(</w:t>
      </w:r>
      <w:r w:rsidR="00DC189D" w:rsidRPr="00476A75">
        <w:rPr>
          <w:rFonts w:eastAsia="Calibri"/>
        </w:rPr>
        <w:t>0,8</w:t>
      </w:r>
      <w:r w:rsidRPr="00476A75">
        <w:rPr>
          <w:rFonts w:eastAsia="Calibri"/>
        </w:rPr>
        <w:t xml:space="preserve"> % от прогнозния БВП), </w:t>
      </w:r>
      <w:r w:rsidRPr="00476A75">
        <w:t xml:space="preserve">и </w:t>
      </w:r>
      <w:r w:rsidRPr="00476A75">
        <w:rPr>
          <w:bCs/>
        </w:rPr>
        <w:t xml:space="preserve">се формира от </w:t>
      </w:r>
      <w:r w:rsidRPr="00476A75">
        <w:t>дефицит по националния бюджет в размер на </w:t>
      </w:r>
      <w:r w:rsidR="004D27E1" w:rsidRPr="00476A75">
        <w:t>5 108,4</w:t>
      </w:r>
      <w:r w:rsidRPr="00476A75">
        <w:t xml:space="preserve"> млн. лв. и превишение на приходите над разходите по европейските средства в размер на </w:t>
      </w:r>
      <w:r w:rsidR="004D27E1" w:rsidRPr="00476A75">
        <w:t>3 784,</w:t>
      </w:r>
      <w:r w:rsidR="00FF5E5E" w:rsidRPr="00042EBB">
        <w:rPr>
          <w:lang w:val="ru-RU"/>
        </w:rPr>
        <w:t>8</w:t>
      </w:r>
      <w:r w:rsidRPr="00476A75">
        <w:t xml:space="preserve"> млн. лв. </w:t>
      </w:r>
      <w:r w:rsidR="00D337DB" w:rsidRPr="00113720">
        <w:rPr>
          <w:iCs/>
          <w:color w:val="000000" w:themeColor="text1"/>
        </w:rPr>
        <w:t>За сравнение в актуализи</w:t>
      </w:r>
      <w:r w:rsidR="00D337DB">
        <w:rPr>
          <w:iCs/>
          <w:color w:val="000000" w:themeColor="text1"/>
        </w:rPr>
        <w:t>раните разчети към ЗДБРБ за 2022</w:t>
      </w:r>
      <w:r w:rsidR="00D337DB" w:rsidRPr="00113720">
        <w:rPr>
          <w:iCs/>
          <w:color w:val="000000" w:themeColor="text1"/>
        </w:rPr>
        <w:t xml:space="preserve"> г. е заложен дефицит за годината в размер на </w:t>
      </w:r>
      <w:r w:rsidR="00D337DB">
        <w:rPr>
          <w:iCs/>
          <w:color w:val="000000" w:themeColor="text1"/>
        </w:rPr>
        <w:t>6</w:t>
      </w:r>
      <w:r w:rsidR="00D337DB">
        <w:rPr>
          <w:iCs/>
          <w:color w:val="000000" w:themeColor="text1"/>
          <w:lang w:val="en-US"/>
        </w:rPr>
        <w:t> </w:t>
      </w:r>
      <w:r w:rsidR="00D337DB">
        <w:rPr>
          <w:iCs/>
          <w:color w:val="000000" w:themeColor="text1"/>
        </w:rPr>
        <w:t>228,4</w:t>
      </w:r>
      <w:r w:rsidR="00D337DB" w:rsidRPr="00113720">
        <w:rPr>
          <w:iCs/>
          <w:color w:val="000000" w:themeColor="text1"/>
        </w:rPr>
        <w:t xml:space="preserve"> млн. лв., което означава, че спрямо заложеното в програмата за годината се отчита номинално подобрен</w:t>
      </w:r>
      <w:r w:rsidR="00D337DB">
        <w:rPr>
          <w:iCs/>
          <w:color w:val="000000" w:themeColor="text1"/>
        </w:rPr>
        <w:t>ие на бюджетното салдо с над 4,9</w:t>
      </w:r>
      <w:r w:rsidR="00D337DB" w:rsidRPr="00113720">
        <w:rPr>
          <w:iCs/>
          <w:color w:val="000000" w:themeColor="text1"/>
        </w:rPr>
        <w:t xml:space="preserve"> млрд. лв. </w:t>
      </w:r>
      <w:r w:rsidR="00D337DB" w:rsidRPr="00113720">
        <w:rPr>
          <w:color w:val="000000" w:themeColor="text1"/>
        </w:rPr>
        <w:t>Бюджетното салдо по КФП за годината на касова основа е в рамките на предвиденото ограничение във фискалното правило по чл.</w:t>
      </w:r>
      <w:r w:rsidR="007067BC">
        <w:rPr>
          <w:color w:val="000000" w:themeColor="text1"/>
        </w:rPr>
        <w:t> </w:t>
      </w:r>
      <w:r w:rsidR="00D337DB" w:rsidRPr="00113720">
        <w:rPr>
          <w:color w:val="000000" w:themeColor="text1"/>
        </w:rPr>
        <w:t xml:space="preserve">27, ал. 4 на ЗПФ, а именно, </w:t>
      </w:r>
      <w:r w:rsidR="00D337DB" w:rsidRPr="00113720">
        <w:t>годишният бюджетен дефицит по КФП, изчислен на касова основа, да не надвишава 3 на сто от БВП</w:t>
      </w:r>
      <w:r w:rsidR="00D337DB" w:rsidRPr="007D34AB">
        <w:rPr>
          <w:bCs/>
          <w:color w:val="000000" w:themeColor="text1"/>
        </w:rPr>
        <w:t xml:space="preserve">. </w:t>
      </w:r>
      <w:r w:rsidR="00D337DB">
        <w:rPr>
          <w:bCs/>
          <w:color w:val="000000" w:themeColor="text1"/>
        </w:rPr>
        <w:t>Основ</w:t>
      </w:r>
      <w:r w:rsidR="00D337DB" w:rsidRPr="007D34AB">
        <w:rPr>
          <w:bCs/>
          <w:color w:val="000000" w:themeColor="text1"/>
        </w:rPr>
        <w:t>н</w:t>
      </w:r>
      <w:r w:rsidR="00D337DB">
        <w:rPr>
          <w:bCs/>
          <w:color w:val="000000" w:themeColor="text1"/>
        </w:rPr>
        <w:t>ите</w:t>
      </w:r>
      <w:r w:rsidR="00D337DB" w:rsidRPr="007D34AB">
        <w:rPr>
          <w:bCs/>
          <w:color w:val="000000" w:themeColor="text1"/>
        </w:rPr>
        <w:t xml:space="preserve"> фактор</w:t>
      </w:r>
      <w:r w:rsidR="00D337DB">
        <w:rPr>
          <w:bCs/>
          <w:color w:val="000000" w:themeColor="text1"/>
        </w:rPr>
        <w:t>и</w:t>
      </w:r>
      <w:r w:rsidR="00D337DB" w:rsidRPr="007D34AB">
        <w:rPr>
          <w:bCs/>
          <w:color w:val="000000" w:themeColor="text1"/>
        </w:rPr>
        <w:t xml:space="preserve"> за постигнатото подобрение са реализираните по-ниски от планираните разходи, както и добрите параметри по изпълнението на приходите</w:t>
      </w:r>
      <w:r w:rsidRPr="00476A75">
        <w:t>.</w:t>
      </w:r>
    </w:p>
    <w:p w14:paraId="2DC149C4" w14:textId="77777777" w:rsidR="005B7425" w:rsidRPr="007B48E9" w:rsidRDefault="005B7425" w:rsidP="005B7425">
      <w:pPr>
        <w:tabs>
          <w:tab w:val="left" w:pos="0"/>
          <w:tab w:val="left" w:pos="1080"/>
        </w:tabs>
        <w:jc w:val="both"/>
        <w:rPr>
          <w:bCs/>
          <w:color w:val="0070C0"/>
          <w:sz w:val="8"/>
          <w:szCs w:val="8"/>
        </w:rPr>
      </w:pPr>
    </w:p>
    <w:p w14:paraId="6B37AC22" w14:textId="77777777" w:rsidR="005B7425" w:rsidRPr="007B48E9" w:rsidRDefault="005B7425" w:rsidP="005B7425">
      <w:pPr>
        <w:tabs>
          <w:tab w:val="left" w:pos="0"/>
          <w:tab w:val="left" w:pos="1080"/>
        </w:tabs>
        <w:jc w:val="both"/>
        <w:rPr>
          <w:bCs/>
          <w:color w:val="0070C0"/>
          <w:sz w:val="8"/>
          <w:szCs w:val="8"/>
        </w:rPr>
      </w:pPr>
    </w:p>
    <w:p w14:paraId="51D37C93" w14:textId="77777777" w:rsidR="005B7425" w:rsidRPr="00461B61" w:rsidRDefault="005B7425" w:rsidP="004D74B5">
      <w:pPr>
        <w:pStyle w:val="Heading3"/>
        <w:numPr>
          <w:ilvl w:val="1"/>
          <w:numId w:val="7"/>
        </w:numPr>
        <w:spacing w:before="0" w:after="0"/>
        <w:rPr>
          <w:rFonts w:ascii="Times New Roman" w:hAnsi="Times New Roman"/>
          <w:sz w:val="24"/>
          <w:lang w:val="bg-BG"/>
        </w:rPr>
      </w:pPr>
      <w:bookmarkStart w:id="88" w:name="_Toc393728054"/>
      <w:bookmarkStart w:id="89" w:name="_Toc462146103"/>
      <w:bookmarkStart w:id="90" w:name="_Toc146037889"/>
      <w:r w:rsidRPr="00461B61">
        <w:rPr>
          <w:rFonts w:ascii="Times New Roman" w:hAnsi="Times New Roman"/>
          <w:sz w:val="24"/>
          <w:lang w:val="bg-BG"/>
        </w:rPr>
        <w:t>Мерки на НАП и АМ за повишаване на събираемостта на приходите</w:t>
      </w:r>
      <w:bookmarkEnd w:id="88"/>
      <w:bookmarkEnd w:id="89"/>
      <w:bookmarkEnd w:id="90"/>
    </w:p>
    <w:p w14:paraId="395F06B8" w14:textId="77777777" w:rsidR="005B7425" w:rsidRPr="007B48E9" w:rsidRDefault="005B7425" w:rsidP="005B7425">
      <w:pPr>
        <w:jc w:val="both"/>
        <w:rPr>
          <w:color w:val="0070C0"/>
          <w:sz w:val="8"/>
          <w:szCs w:val="8"/>
        </w:rPr>
      </w:pPr>
    </w:p>
    <w:p w14:paraId="57E8AE0E" w14:textId="77777777" w:rsidR="003E14CD" w:rsidRPr="0050767D" w:rsidRDefault="003E14CD" w:rsidP="003E14CD">
      <w:pPr>
        <w:spacing w:after="120"/>
        <w:ind w:firstLine="709"/>
        <w:jc w:val="both"/>
        <w:rPr>
          <w:rFonts w:eastAsiaTheme="minorHAnsi"/>
          <w:lang w:eastAsia="en-US"/>
        </w:rPr>
      </w:pPr>
      <w:bookmarkStart w:id="91" w:name="_Toc18316935"/>
      <w:r w:rsidRPr="0050767D">
        <w:rPr>
          <w:rFonts w:eastAsiaTheme="minorHAnsi"/>
          <w:lang w:eastAsia="en-US"/>
        </w:rPr>
        <w:t>Превенцията и борбата с данъчните измами и отклонението от данъчно облагане е основен правителствен приоритет за подобряване на събираемостта на приходите от данъци. Основните насоки, свързани с тази цел се отнасят до осъществяване на законодателна политика за предотвратяване на данъчните измами и прилагане на тясно оперативно сътрудничество и междуинституционален подход между заинтересованите институции.</w:t>
      </w:r>
    </w:p>
    <w:p w14:paraId="146A46D3" w14:textId="77777777" w:rsidR="003E14CD" w:rsidRPr="0050767D" w:rsidRDefault="003E14CD" w:rsidP="00AE6AD3">
      <w:pPr>
        <w:spacing w:after="120"/>
        <w:ind w:firstLine="709"/>
        <w:jc w:val="both"/>
        <w:rPr>
          <w:rFonts w:eastAsiaTheme="minorHAnsi"/>
          <w:b/>
          <w:u w:val="single"/>
          <w:lang w:eastAsia="en-US"/>
        </w:rPr>
      </w:pPr>
      <w:r w:rsidRPr="004502B4">
        <w:rPr>
          <w:rFonts w:eastAsiaTheme="minorHAnsi"/>
          <w:b/>
          <w:u w:val="single"/>
          <w:lang w:eastAsia="en-US"/>
        </w:rPr>
        <w:t>Мерки, предприети от НАП</w:t>
      </w:r>
    </w:p>
    <w:p w14:paraId="46F7B255" w14:textId="37515D10" w:rsidR="003E14CD" w:rsidRPr="0050767D" w:rsidRDefault="003E14CD" w:rsidP="00D252CA">
      <w:pPr>
        <w:spacing w:after="120"/>
        <w:ind w:firstLine="709"/>
        <w:jc w:val="both"/>
        <w:rPr>
          <w:rFonts w:eastAsiaTheme="minorHAnsi"/>
          <w:b/>
          <w:i/>
          <w:lang w:eastAsia="en-US"/>
        </w:rPr>
      </w:pPr>
      <w:r w:rsidRPr="0050767D">
        <w:rPr>
          <w:rFonts w:eastAsiaTheme="minorHAnsi"/>
          <w:b/>
          <w:i/>
          <w:lang w:eastAsia="en-US"/>
        </w:rPr>
        <w:t xml:space="preserve">І. </w:t>
      </w:r>
      <w:r w:rsidRPr="00E66F80">
        <w:rPr>
          <w:rFonts w:eastAsiaTheme="minorHAnsi"/>
          <w:b/>
          <w:i/>
          <w:lang w:eastAsia="en-US"/>
        </w:rPr>
        <w:t>Данъчно-осигурителен контрол за 202</w:t>
      </w:r>
      <w:r w:rsidR="00E42826">
        <w:rPr>
          <w:rFonts w:eastAsiaTheme="minorHAnsi"/>
          <w:b/>
          <w:i/>
          <w:lang w:eastAsia="en-US"/>
        </w:rPr>
        <w:t>2</w:t>
      </w:r>
      <w:r w:rsidRPr="00E66F80">
        <w:rPr>
          <w:rFonts w:eastAsiaTheme="minorHAnsi"/>
          <w:b/>
          <w:i/>
          <w:lang w:eastAsia="en-US"/>
        </w:rPr>
        <w:t xml:space="preserve"> г.</w:t>
      </w:r>
    </w:p>
    <w:p w14:paraId="27813122" w14:textId="77777777" w:rsidR="003E14CD" w:rsidRPr="0050767D" w:rsidRDefault="003E14CD" w:rsidP="00440EF1">
      <w:pPr>
        <w:ind w:firstLine="709"/>
        <w:jc w:val="both"/>
        <w:rPr>
          <w:rFonts w:eastAsiaTheme="minorHAnsi"/>
          <w:b/>
          <w:lang w:eastAsia="en-US"/>
        </w:rPr>
      </w:pPr>
      <w:r w:rsidRPr="0050767D">
        <w:rPr>
          <w:rFonts w:eastAsiaTheme="minorHAnsi"/>
          <w:b/>
          <w:lang w:eastAsia="en-US"/>
        </w:rPr>
        <w:t>1. Резултати по основни дейности на данъчно-осигурителния контрол</w:t>
      </w:r>
    </w:p>
    <w:p w14:paraId="2246BF6B" w14:textId="77777777" w:rsidR="003E14CD" w:rsidRPr="009347C4" w:rsidRDefault="003E14CD" w:rsidP="003E14CD">
      <w:pPr>
        <w:spacing w:after="120"/>
        <w:ind w:firstLine="567"/>
        <w:jc w:val="both"/>
      </w:pPr>
      <w:r w:rsidRPr="0050767D">
        <w:rPr>
          <w:lang w:eastAsia="en-US"/>
        </w:rPr>
        <w:t>Основните производства и действия, чрез които се осъществява данъчно-осигурителният контрол са ревизии, проверки, вкл. проверки в обекти и проверки във връзка с осъществяван фискален контрол върху стоки с висок фискален риск. При извършване на проверки по прихващане и възстановяване (ППВ) се осъществява контрол в случаите на възстановяване на недължимо внесени суми или декларирани за възстановяване данъци или осигурителни вноски.</w:t>
      </w:r>
      <w:r w:rsidRPr="00E66F80">
        <w:rPr>
          <w:lang w:eastAsia="en-US"/>
        </w:rPr>
        <w:t xml:space="preserve"> </w:t>
      </w:r>
      <w:r w:rsidRPr="00E66F80">
        <w:t>През 2022 г. се наблюдава незначително намаление в обема на осъществените контролни действия</w:t>
      </w:r>
      <w:r w:rsidRPr="0050767D">
        <w:t>, като детайли относно специфични видове ревизии и проверки са разгледани в съответните части на отчета.</w:t>
      </w:r>
    </w:p>
    <w:p w14:paraId="0F2A2C17" w14:textId="77777777" w:rsidR="003E14CD" w:rsidRPr="009347C4" w:rsidRDefault="003E14CD" w:rsidP="003E14CD">
      <w:pPr>
        <w:spacing w:after="120"/>
        <w:jc w:val="center"/>
        <w:rPr>
          <w:b/>
          <w:lang w:eastAsia="en-US"/>
        </w:rPr>
      </w:pPr>
      <w:r w:rsidRPr="009347C4">
        <w:rPr>
          <w:b/>
          <w:lang w:eastAsia="en-US"/>
        </w:rPr>
        <w:t xml:space="preserve">Контролни действия–тенденции за периода </w:t>
      </w:r>
      <w:r w:rsidRPr="00E66F80">
        <w:rPr>
          <w:b/>
          <w:lang w:eastAsia="en-US"/>
        </w:rPr>
        <w:t xml:space="preserve">2020-2022 </w:t>
      </w:r>
      <w:r w:rsidRPr="009347C4">
        <w:rPr>
          <w:b/>
          <w:lang w:eastAsia="en-US"/>
        </w:rPr>
        <w:t xml:space="preserve"> г.</w:t>
      </w:r>
    </w:p>
    <w:p w14:paraId="5FEA1504" w14:textId="731462FF" w:rsidR="003E14CD" w:rsidRPr="0050767D" w:rsidRDefault="00BC5B4D" w:rsidP="003E14CD">
      <w:pPr>
        <w:spacing w:after="120"/>
        <w:jc w:val="center"/>
        <w:rPr>
          <w:b/>
          <w:lang w:eastAsia="en-US"/>
        </w:rPr>
      </w:pPr>
      <w:r>
        <w:rPr>
          <w:b/>
          <w:noProof/>
        </w:rPr>
        <w:drawing>
          <wp:inline distT="0" distB="0" distL="0" distR="0" wp14:anchorId="57F23FFA" wp14:editId="2DF0D54D">
            <wp:extent cx="4993005" cy="24326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93005" cy="2432685"/>
                    </a:xfrm>
                    <a:prstGeom prst="rect">
                      <a:avLst/>
                    </a:prstGeom>
                    <a:noFill/>
                  </pic:spPr>
                </pic:pic>
              </a:graphicData>
            </a:graphic>
          </wp:inline>
        </w:drawing>
      </w:r>
    </w:p>
    <w:p w14:paraId="3235302B" w14:textId="77777777" w:rsidR="003E14CD" w:rsidRPr="0050767D" w:rsidRDefault="003E14CD" w:rsidP="003E14CD">
      <w:pPr>
        <w:spacing w:after="120"/>
        <w:jc w:val="right"/>
        <w:rPr>
          <w:rFonts w:eastAsiaTheme="minorHAnsi"/>
          <w:i/>
          <w:color w:val="FF0000"/>
          <w:lang w:eastAsia="en-US"/>
        </w:rPr>
      </w:pPr>
      <w:r w:rsidRPr="0050767D">
        <w:rPr>
          <w:rFonts w:eastAsiaTheme="minorHAnsi"/>
          <w:i/>
          <w:lang w:eastAsia="en-US"/>
        </w:rPr>
        <w:t>Източник: НАП</w:t>
      </w:r>
    </w:p>
    <w:p w14:paraId="3D85A2CF" w14:textId="77777777" w:rsidR="003E14CD" w:rsidRPr="0050767D" w:rsidRDefault="003E14CD" w:rsidP="00440EF1">
      <w:pPr>
        <w:ind w:firstLine="709"/>
        <w:jc w:val="both"/>
      </w:pPr>
      <w:r w:rsidRPr="0050767D">
        <w:t>В изпълнение на стратегическите цели на НАП при извършването на контролната дейност се прилага подходът, насочен към стимулиране на доброволното спазване на задълженията. В хода на извършване на контролните производства, както и в хода на селекция, към задължените лица се отправят покани за подаване на коригиращи декларации, с които да бъдат отстранени допуснати грешки, несъответствия или неправилно третиране при документирането или отчитането на конкретни стопански операции.</w:t>
      </w:r>
    </w:p>
    <w:p w14:paraId="4AC3BA16" w14:textId="77777777" w:rsidR="003E14CD" w:rsidRPr="00E66F80" w:rsidRDefault="003E14CD" w:rsidP="00440EF1">
      <w:pPr>
        <w:ind w:firstLine="709"/>
        <w:jc w:val="both"/>
      </w:pPr>
      <w:r w:rsidRPr="00E66F80">
        <w:t xml:space="preserve">В хода на 17 565 производства са връчени 19 259 покани по чл. 103 от </w:t>
      </w:r>
      <w:r w:rsidRPr="0050767D">
        <w:t>Данъчно-осигурителен процесуален кодекс</w:t>
      </w:r>
      <w:r w:rsidRPr="00E66F80">
        <w:t xml:space="preserve"> </w:t>
      </w:r>
      <w:r w:rsidRPr="004F15D1">
        <w:t>(</w:t>
      </w:r>
      <w:r w:rsidRPr="00E66F80">
        <w:t>ДОПК</w:t>
      </w:r>
      <w:r w:rsidRPr="004F15D1">
        <w:t>)</w:t>
      </w:r>
      <w:r w:rsidRPr="00E66F80">
        <w:t xml:space="preserve"> за корекции на 56 801 декларации. Връчени са и 2 049 покани за корекция на неправилно данъчно третиране на доставка по ЗДДС. </w:t>
      </w:r>
    </w:p>
    <w:p w14:paraId="51C6C47E" w14:textId="77777777" w:rsidR="003E14CD" w:rsidRPr="0050767D" w:rsidRDefault="003E14CD" w:rsidP="00440EF1">
      <w:pPr>
        <w:ind w:firstLine="709"/>
        <w:jc w:val="both"/>
      </w:pPr>
      <w:r w:rsidRPr="00E66F80">
        <w:t>Корекции посредством подаване на декларации от лицата са направени с 48 464 коригиращи декларации, в т.ч. по ЗДДС – 41 801 бр., по ЗКПО – 2 249 бр., по ЗДДФЛ – 1 810 бр. и по КСО –2 604 бр. Общият ефект от тях е в размер на 73,7 млн. лв. декларирани повече данъци, 9,1 млн. лв. декларирани повече осигурителни вноски.</w:t>
      </w:r>
    </w:p>
    <w:p w14:paraId="5DFA0BA2" w14:textId="77777777" w:rsidR="003E14CD" w:rsidRPr="00E66F80" w:rsidRDefault="003E14CD" w:rsidP="003E14CD">
      <w:pPr>
        <w:spacing w:after="120"/>
        <w:jc w:val="center"/>
        <w:rPr>
          <w:b/>
          <w:lang w:eastAsia="en-US"/>
        </w:rPr>
      </w:pPr>
      <w:r w:rsidRPr="00E66F80">
        <w:rPr>
          <w:b/>
          <w:lang w:eastAsia="en-US"/>
        </w:rPr>
        <w:t>Подобряване на доброволното спазване в хода на производства</w:t>
      </w:r>
    </w:p>
    <w:p w14:paraId="5C9D2D07" w14:textId="06D726B2" w:rsidR="003E14CD" w:rsidRPr="0050767D" w:rsidRDefault="00BC5B4D" w:rsidP="003E14CD">
      <w:pPr>
        <w:spacing w:after="120"/>
        <w:ind w:right="-6" w:firstLine="708"/>
        <w:rPr>
          <w:lang w:eastAsia="en-US"/>
        </w:rPr>
      </w:pPr>
      <w:r>
        <w:rPr>
          <w:noProof/>
        </w:rPr>
        <w:drawing>
          <wp:inline distT="0" distB="0" distL="0" distR="0" wp14:anchorId="4A87DCCC" wp14:editId="0B076D6C">
            <wp:extent cx="5309870" cy="2895600"/>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9870" cy="2895600"/>
                    </a:xfrm>
                    <a:prstGeom prst="rect">
                      <a:avLst/>
                    </a:prstGeom>
                    <a:noFill/>
                  </pic:spPr>
                </pic:pic>
              </a:graphicData>
            </a:graphic>
          </wp:inline>
        </w:drawing>
      </w:r>
    </w:p>
    <w:p w14:paraId="549CBC62" w14:textId="77777777" w:rsidR="003E14CD" w:rsidRPr="0050767D" w:rsidRDefault="003E14CD" w:rsidP="003E14CD">
      <w:pPr>
        <w:spacing w:after="120"/>
        <w:jc w:val="both"/>
        <w:rPr>
          <w:rFonts w:eastAsiaTheme="minorHAnsi"/>
          <w:b/>
          <w:color w:val="FF0000"/>
          <w:lang w:eastAsia="en-US"/>
        </w:rPr>
      </w:pPr>
      <w:r w:rsidRPr="0050767D">
        <w:rPr>
          <w:rFonts w:eastAsiaTheme="minorHAnsi"/>
          <w:b/>
          <w:lang w:eastAsia="en-US"/>
        </w:rPr>
        <w:t>1.1. Ревизии</w:t>
      </w:r>
    </w:p>
    <w:p w14:paraId="1BF3E627" w14:textId="77777777" w:rsidR="003E14CD" w:rsidRPr="0050767D" w:rsidRDefault="003E14CD" w:rsidP="003E14CD">
      <w:pPr>
        <w:spacing w:after="120"/>
        <w:jc w:val="center"/>
        <w:rPr>
          <w:b/>
          <w:kern w:val="28"/>
          <w:lang w:eastAsia="en-US"/>
        </w:rPr>
      </w:pPr>
      <w:r w:rsidRPr="0050767D">
        <w:rPr>
          <w:b/>
          <w:kern w:val="28"/>
          <w:lang w:eastAsia="en-US"/>
        </w:rPr>
        <w:t>Извършени ревизии за периода 2021-2022 г.</w:t>
      </w:r>
    </w:p>
    <w:tbl>
      <w:tblPr>
        <w:tblW w:w="91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71"/>
        <w:gridCol w:w="1139"/>
        <w:gridCol w:w="1016"/>
        <w:gridCol w:w="1224"/>
        <w:gridCol w:w="1434"/>
      </w:tblGrid>
      <w:tr w:rsidR="003E14CD" w:rsidRPr="0050767D" w14:paraId="2ADCD278" w14:textId="77777777" w:rsidTr="00591F00">
        <w:trPr>
          <w:trHeight w:val="385"/>
        </w:trPr>
        <w:tc>
          <w:tcPr>
            <w:tcW w:w="4371" w:type="dxa"/>
            <w:shd w:val="clear" w:color="auto" w:fill="004A99"/>
            <w:vAlign w:val="center"/>
            <w:hideMark/>
          </w:tcPr>
          <w:p w14:paraId="76D124E1" w14:textId="77777777" w:rsidR="003E14CD" w:rsidRPr="00E66F80" w:rsidRDefault="003E14CD" w:rsidP="00591F00">
            <w:pPr>
              <w:spacing w:after="120"/>
              <w:jc w:val="center"/>
              <w:rPr>
                <w:b/>
                <w:bCs/>
                <w:color w:val="FFFFFF" w:themeColor="background1"/>
              </w:rPr>
            </w:pPr>
            <w:r w:rsidRPr="00E66F80">
              <w:rPr>
                <w:b/>
                <w:bCs/>
                <w:color w:val="FFFFFF" w:themeColor="background1"/>
              </w:rPr>
              <w:t>Показатели</w:t>
            </w:r>
          </w:p>
        </w:tc>
        <w:tc>
          <w:tcPr>
            <w:tcW w:w="1139" w:type="dxa"/>
            <w:shd w:val="clear" w:color="auto" w:fill="004A99"/>
            <w:vAlign w:val="center"/>
            <w:hideMark/>
          </w:tcPr>
          <w:p w14:paraId="5080CD37" w14:textId="77777777" w:rsidR="003E14CD" w:rsidRPr="00E66F80" w:rsidRDefault="003E14CD" w:rsidP="00591F00">
            <w:pPr>
              <w:spacing w:after="120"/>
              <w:jc w:val="center"/>
              <w:rPr>
                <w:b/>
                <w:bCs/>
                <w:color w:val="FFFFFF" w:themeColor="background1"/>
              </w:rPr>
            </w:pPr>
            <w:r w:rsidRPr="00E66F80">
              <w:rPr>
                <w:b/>
                <w:bCs/>
                <w:color w:val="FFFFFF" w:themeColor="background1"/>
              </w:rPr>
              <w:t>Мерна единица</w:t>
            </w:r>
          </w:p>
        </w:tc>
        <w:tc>
          <w:tcPr>
            <w:tcW w:w="1016" w:type="dxa"/>
            <w:shd w:val="clear" w:color="auto" w:fill="004A99"/>
            <w:vAlign w:val="center"/>
            <w:hideMark/>
          </w:tcPr>
          <w:p w14:paraId="784D8C05" w14:textId="77777777" w:rsidR="003E14CD" w:rsidRPr="00E66F80" w:rsidRDefault="003E14CD" w:rsidP="00591F00">
            <w:pPr>
              <w:spacing w:after="120"/>
              <w:jc w:val="center"/>
              <w:rPr>
                <w:b/>
                <w:bCs/>
                <w:color w:val="FFFFFF" w:themeColor="background1"/>
              </w:rPr>
            </w:pPr>
            <w:r w:rsidRPr="00E66F80">
              <w:rPr>
                <w:b/>
                <w:bCs/>
                <w:color w:val="FFFFFF" w:themeColor="background1"/>
              </w:rPr>
              <w:t>Отчет 2021 г.</w:t>
            </w:r>
          </w:p>
        </w:tc>
        <w:tc>
          <w:tcPr>
            <w:tcW w:w="1224" w:type="dxa"/>
            <w:shd w:val="clear" w:color="auto" w:fill="004A99"/>
            <w:vAlign w:val="center"/>
            <w:hideMark/>
          </w:tcPr>
          <w:p w14:paraId="5201A23D" w14:textId="77777777" w:rsidR="003E14CD" w:rsidRPr="00E66F80" w:rsidRDefault="003E14CD" w:rsidP="00591F00">
            <w:pPr>
              <w:spacing w:after="120"/>
              <w:jc w:val="center"/>
              <w:rPr>
                <w:b/>
                <w:bCs/>
                <w:color w:val="FFFFFF" w:themeColor="background1"/>
              </w:rPr>
            </w:pPr>
            <w:r w:rsidRPr="00E66F80">
              <w:rPr>
                <w:b/>
                <w:bCs/>
                <w:color w:val="FFFFFF" w:themeColor="background1"/>
              </w:rPr>
              <w:t>Отчет 2022 г.</w:t>
            </w:r>
          </w:p>
        </w:tc>
        <w:tc>
          <w:tcPr>
            <w:tcW w:w="1434" w:type="dxa"/>
            <w:shd w:val="clear" w:color="auto" w:fill="004A99"/>
            <w:vAlign w:val="center"/>
            <w:hideMark/>
          </w:tcPr>
          <w:p w14:paraId="23B9D2E8" w14:textId="77777777" w:rsidR="003E14CD" w:rsidRPr="00E66F80" w:rsidRDefault="003E14CD" w:rsidP="00591F00">
            <w:pPr>
              <w:spacing w:after="120"/>
              <w:jc w:val="center"/>
              <w:rPr>
                <w:b/>
                <w:bCs/>
                <w:color w:val="FFFFFF" w:themeColor="background1"/>
              </w:rPr>
            </w:pPr>
            <w:r w:rsidRPr="00E66F80">
              <w:rPr>
                <w:b/>
                <w:bCs/>
                <w:color w:val="FFFFFF" w:themeColor="background1"/>
              </w:rPr>
              <w:t>Изменение 2022/ 2021 г.</w:t>
            </w:r>
          </w:p>
        </w:tc>
      </w:tr>
      <w:tr w:rsidR="003E14CD" w:rsidRPr="0050767D" w14:paraId="31ACF6B6" w14:textId="77777777" w:rsidTr="00591F00">
        <w:trPr>
          <w:trHeight w:val="195"/>
        </w:trPr>
        <w:tc>
          <w:tcPr>
            <w:tcW w:w="4371" w:type="dxa"/>
            <w:shd w:val="clear" w:color="auto" w:fill="auto"/>
            <w:vAlign w:val="center"/>
            <w:hideMark/>
          </w:tcPr>
          <w:p w14:paraId="7483044E" w14:textId="77777777" w:rsidR="003E14CD" w:rsidRPr="00E66F80" w:rsidRDefault="003E14CD" w:rsidP="00591F00">
            <w:pPr>
              <w:spacing w:after="120"/>
              <w:jc w:val="both"/>
              <w:rPr>
                <w:color w:val="000000"/>
                <w:sz w:val="22"/>
                <w:szCs w:val="22"/>
              </w:rPr>
            </w:pPr>
            <w:r w:rsidRPr="00E66F80">
              <w:rPr>
                <w:color w:val="000000"/>
                <w:sz w:val="22"/>
                <w:szCs w:val="22"/>
              </w:rPr>
              <w:t>Издадени ревизионни актове (РА)</w:t>
            </w:r>
          </w:p>
        </w:tc>
        <w:tc>
          <w:tcPr>
            <w:tcW w:w="1139" w:type="dxa"/>
            <w:shd w:val="clear" w:color="auto" w:fill="auto"/>
            <w:vAlign w:val="center"/>
            <w:hideMark/>
          </w:tcPr>
          <w:p w14:paraId="614925CF" w14:textId="77777777" w:rsidR="003E14CD" w:rsidRPr="00E66F80" w:rsidRDefault="003E14CD" w:rsidP="00591F00">
            <w:pPr>
              <w:spacing w:after="120"/>
              <w:jc w:val="both"/>
              <w:rPr>
                <w:color w:val="000000"/>
                <w:sz w:val="22"/>
                <w:szCs w:val="22"/>
              </w:rPr>
            </w:pPr>
            <w:r w:rsidRPr="00E66F80">
              <w:rPr>
                <w:color w:val="000000"/>
                <w:sz w:val="22"/>
                <w:szCs w:val="22"/>
              </w:rPr>
              <w:t>брой</w:t>
            </w:r>
          </w:p>
        </w:tc>
        <w:tc>
          <w:tcPr>
            <w:tcW w:w="1016" w:type="dxa"/>
            <w:shd w:val="clear" w:color="auto" w:fill="auto"/>
            <w:vAlign w:val="center"/>
            <w:hideMark/>
          </w:tcPr>
          <w:p w14:paraId="4E3C719B" w14:textId="77777777" w:rsidR="003E14CD" w:rsidRPr="00E66F80" w:rsidRDefault="003E14CD" w:rsidP="00591F00">
            <w:pPr>
              <w:spacing w:after="120"/>
              <w:jc w:val="right"/>
              <w:rPr>
                <w:color w:val="000000"/>
                <w:sz w:val="22"/>
                <w:szCs w:val="22"/>
              </w:rPr>
            </w:pPr>
            <w:r w:rsidRPr="00E66F80">
              <w:rPr>
                <w:color w:val="000000"/>
                <w:sz w:val="22"/>
                <w:szCs w:val="22"/>
              </w:rPr>
              <w:t>8 257</w:t>
            </w:r>
          </w:p>
        </w:tc>
        <w:tc>
          <w:tcPr>
            <w:tcW w:w="1224" w:type="dxa"/>
            <w:shd w:val="clear" w:color="auto" w:fill="auto"/>
            <w:vAlign w:val="center"/>
          </w:tcPr>
          <w:p w14:paraId="7FDF275D" w14:textId="77777777" w:rsidR="003E14CD" w:rsidRPr="00E66F80" w:rsidRDefault="003E14CD" w:rsidP="00591F00">
            <w:pPr>
              <w:spacing w:after="120"/>
              <w:jc w:val="right"/>
              <w:rPr>
                <w:color w:val="000000"/>
                <w:sz w:val="22"/>
                <w:szCs w:val="22"/>
              </w:rPr>
            </w:pPr>
            <w:r w:rsidRPr="00E66F80">
              <w:rPr>
                <w:color w:val="000000"/>
                <w:sz w:val="22"/>
                <w:szCs w:val="22"/>
              </w:rPr>
              <w:t>7 805</w:t>
            </w:r>
          </w:p>
        </w:tc>
        <w:tc>
          <w:tcPr>
            <w:tcW w:w="1434" w:type="dxa"/>
            <w:shd w:val="clear" w:color="auto" w:fill="auto"/>
            <w:vAlign w:val="center"/>
          </w:tcPr>
          <w:p w14:paraId="2EF615BE" w14:textId="77777777" w:rsidR="003E14CD" w:rsidRPr="00E66F80" w:rsidRDefault="003E14CD" w:rsidP="00591F00">
            <w:pPr>
              <w:spacing w:after="120"/>
              <w:jc w:val="right"/>
              <w:rPr>
                <w:color w:val="000000"/>
                <w:sz w:val="22"/>
                <w:szCs w:val="22"/>
              </w:rPr>
            </w:pPr>
            <w:r w:rsidRPr="00E66F80">
              <w:rPr>
                <w:color w:val="000000"/>
                <w:sz w:val="22"/>
                <w:szCs w:val="22"/>
              </w:rPr>
              <w:t>-5%</w:t>
            </w:r>
          </w:p>
        </w:tc>
      </w:tr>
      <w:tr w:rsidR="003E14CD" w:rsidRPr="0050767D" w14:paraId="1EBFEEB3" w14:textId="77777777" w:rsidTr="00591F00">
        <w:trPr>
          <w:trHeight w:val="207"/>
        </w:trPr>
        <w:tc>
          <w:tcPr>
            <w:tcW w:w="4371" w:type="dxa"/>
            <w:shd w:val="clear" w:color="auto" w:fill="auto"/>
            <w:vAlign w:val="center"/>
            <w:hideMark/>
          </w:tcPr>
          <w:p w14:paraId="5381720B" w14:textId="77777777" w:rsidR="003E14CD" w:rsidRPr="00E66F80" w:rsidRDefault="003E14CD" w:rsidP="00591F00">
            <w:pPr>
              <w:spacing w:after="120"/>
              <w:jc w:val="both"/>
              <w:rPr>
                <w:color w:val="000000"/>
                <w:sz w:val="22"/>
                <w:szCs w:val="22"/>
              </w:rPr>
            </w:pPr>
            <w:r w:rsidRPr="00E66F80">
              <w:rPr>
                <w:color w:val="000000"/>
                <w:sz w:val="22"/>
                <w:szCs w:val="22"/>
              </w:rPr>
              <w:t xml:space="preserve">   - в т.ч. РА за осигурителни вноски</w:t>
            </w:r>
          </w:p>
        </w:tc>
        <w:tc>
          <w:tcPr>
            <w:tcW w:w="1139" w:type="dxa"/>
            <w:shd w:val="clear" w:color="auto" w:fill="auto"/>
            <w:vAlign w:val="center"/>
            <w:hideMark/>
          </w:tcPr>
          <w:p w14:paraId="2800E63E" w14:textId="77777777" w:rsidR="003E14CD" w:rsidRPr="00E66F80" w:rsidRDefault="003E14CD" w:rsidP="00591F00">
            <w:pPr>
              <w:spacing w:after="120"/>
              <w:jc w:val="both"/>
              <w:rPr>
                <w:color w:val="000000"/>
                <w:sz w:val="22"/>
                <w:szCs w:val="22"/>
              </w:rPr>
            </w:pPr>
            <w:r w:rsidRPr="00E66F80">
              <w:rPr>
                <w:color w:val="000000"/>
                <w:sz w:val="22"/>
                <w:szCs w:val="22"/>
              </w:rPr>
              <w:t>брой</w:t>
            </w:r>
          </w:p>
        </w:tc>
        <w:tc>
          <w:tcPr>
            <w:tcW w:w="1016" w:type="dxa"/>
            <w:shd w:val="clear" w:color="auto" w:fill="auto"/>
            <w:vAlign w:val="center"/>
            <w:hideMark/>
          </w:tcPr>
          <w:p w14:paraId="458D8E9F" w14:textId="77777777" w:rsidR="003E14CD" w:rsidRPr="00E66F80" w:rsidRDefault="003E14CD" w:rsidP="00591F00">
            <w:pPr>
              <w:spacing w:after="120"/>
              <w:jc w:val="right"/>
              <w:rPr>
                <w:color w:val="000000"/>
                <w:sz w:val="22"/>
                <w:szCs w:val="22"/>
              </w:rPr>
            </w:pPr>
            <w:r w:rsidRPr="00E66F80">
              <w:rPr>
                <w:color w:val="000000"/>
                <w:sz w:val="22"/>
                <w:szCs w:val="22"/>
              </w:rPr>
              <w:t>1 115</w:t>
            </w:r>
          </w:p>
        </w:tc>
        <w:tc>
          <w:tcPr>
            <w:tcW w:w="1224" w:type="dxa"/>
            <w:shd w:val="clear" w:color="auto" w:fill="auto"/>
            <w:vAlign w:val="center"/>
          </w:tcPr>
          <w:p w14:paraId="62A54925" w14:textId="77777777" w:rsidR="003E14CD" w:rsidRPr="00E66F80" w:rsidRDefault="003E14CD" w:rsidP="00591F00">
            <w:pPr>
              <w:spacing w:after="120"/>
              <w:jc w:val="right"/>
              <w:rPr>
                <w:color w:val="000000"/>
                <w:sz w:val="22"/>
                <w:szCs w:val="22"/>
              </w:rPr>
            </w:pPr>
            <w:r w:rsidRPr="00E66F80">
              <w:rPr>
                <w:color w:val="000000"/>
                <w:sz w:val="22"/>
                <w:szCs w:val="22"/>
              </w:rPr>
              <w:t>1 061</w:t>
            </w:r>
          </w:p>
        </w:tc>
        <w:tc>
          <w:tcPr>
            <w:tcW w:w="1434" w:type="dxa"/>
            <w:shd w:val="clear" w:color="auto" w:fill="auto"/>
            <w:vAlign w:val="center"/>
          </w:tcPr>
          <w:p w14:paraId="79F3F30B" w14:textId="77777777" w:rsidR="003E14CD" w:rsidRPr="00E66F80" w:rsidRDefault="003E14CD" w:rsidP="00591F00">
            <w:pPr>
              <w:spacing w:after="120"/>
              <w:jc w:val="right"/>
              <w:rPr>
                <w:color w:val="000000"/>
                <w:sz w:val="22"/>
                <w:szCs w:val="22"/>
              </w:rPr>
            </w:pPr>
            <w:r w:rsidRPr="00E66F80">
              <w:rPr>
                <w:color w:val="000000"/>
                <w:sz w:val="22"/>
                <w:szCs w:val="22"/>
              </w:rPr>
              <w:t>-5%</w:t>
            </w:r>
          </w:p>
        </w:tc>
      </w:tr>
      <w:tr w:rsidR="003E14CD" w:rsidRPr="0050767D" w14:paraId="62CEE839" w14:textId="77777777" w:rsidTr="00591F00">
        <w:trPr>
          <w:trHeight w:val="304"/>
        </w:trPr>
        <w:tc>
          <w:tcPr>
            <w:tcW w:w="4371" w:type="dxa"/>
            <w:shd w:val="clear" w:color="auto" w:fill="auto"/>
            <w:vAlign w:val="center"/>
            <w:hideMark/>
          </w:tcPr>
          <w:p w14:paraId="44350CB0" w14:textId="77777777" w:rsidR="003E14CD" w:rsidRPr="00E66F80" w:rsidRDefault="003E14CD" w:rsidP="00591F00">
            <w:pPr>
              <w:spacing w:after="120"/>
              <w:jc w:val="both"/>
              <w:rPr>
                <w:color w:val="000000"/>
                <w:sz w:val="22"/>
                <w:szCs w:val="22"/>
              </w:rPr>
            </w:pPr>
            <w:r w:rsidRPr="00E66F80">
              <w:rPr>
                <w:color w:val="000000"/>
                <w:sz w:val="22"/>
                <w:szCs w:val="22"/>
              </w:rPr>
              <w:t xml:space="preserve">   - в т.ч. РА , в които е използван софтуер за анализ на данни в електронен вид</w:t>
            </w:r>
          </w:p>
        </w:tc>
        <w:tc>
          <w:tcPr>
            <w:tcW w:w="1139" w:type="dxa"/>
            <w:shd w:val="clear" w:color="auto" w:fill="auto"/>
            <w:vAlign w:val="center"/>
            <w:hideMark/>
          </w:tcPr>
          <w:p w14:paraId="4234969A" w14:textId="77777777" w:rsidR="003E14CD" w:rsidRPr="00E66F80" w:rsidRDefault="003E14CD" w:rsidP="00591F00">
            <w:pPr>
              <w:spacing w:after="120"/>
              <w:jc w:val="both"/>
              <w:rPr>
                <w:color w:val="000000"/>
                <w:sz w:val="22"/>
                <w:szCs w:val="22"/>
              </w:rPr>
            </w:pPr>
            <w:r w:rsidRPr="00E66F80">
              <w:rPr>
                <w:color w:val="000000"/>
                <w:sz w:val="22"/>
                <w:szCs w:val="22"/>
              </w:rPr>
              <w:t>брой</w:t>
            </w:r>
          </w:p>
        </w:tc>
        <w:tc>
          <w:tcPr>
            <w:tcW w:w="1016" w:type="dxa"/>
            <w:shd w:val="clear" w:color="auto" w:fill="auto"/>
            <w:vAlign w:val="center"/>
            <w:hideMark/>
          </w:tcPr>
          <w:p w14:paraId="7682638A" w14:textId="77777777" w:rsidR="003E14CD" w:rsidRPr="00E66F80" w:rsidRDefault="003E14CD" w:rsidP="00591F00">
            <w:pPr>
              <w:spacing w:after="120"/>
              <w:jc w:val="right"/>
              <w:rPr>
                <w:color w:val="000000"/>
                <w:sz w:val="22"/>
                <w:szCs w:val="22"/>
              </w:rPr>
            </w:pPr>
            <w:r w:rsidRPr="00E66F80">
              <w:rPr>
                <w:color w:val="000000"/>
                <w:sz w:val="22"/>
                <w:szCs w:val="22"/>
              </w:rPr>
              <w:t>148</w:t>
            </w:r>
          </w:p>
        </w:tc>
        <w:tc>
          <w:tcPr>
            <w:tcW w:w="1224" w:type="dxa"/>
            <w:shd w:val="clear" w:color="auto" w:fill="auto"/>
            <w:vAlign w:val="center"/>
          </w:tcPr>
          <w:p w14:paraId="03319DEC" w14:textId="77777777" w:rsidR="003E14CD" w:rsidRPr="00E66F80" w:rsidRDefault="003E14CD" w:rsidP="00591F00">
            <w:pPr>
              <w:spacing w:after="120"/>
              <w:jc w:val="right"/>
              <w:rPr>
                <w:color w:val="000000"/>
                <w:sz w:val="22"/>
                <w:szCs w:val="22"/>
              </w:rPr>
            </w:pPr>
            <w:r w:rsidRPr="00E66F80">
              <w:rPr>
                <w:color w:val="000000"/>
                <w:sz w:val="22"/>
                <w:szCs w:val="22"/>
              </w:rPr>
              <w:t>177</w:t>
            </w:r>
          </w:p>
        </w:tc>
        <w:tc>
          <w:tcPr>
            <w:tcW w:w="1434" w:type="dxa"/>
            <w:shd w:val="clear" w:color="auto" w:fill="auto"/>
            <w:vAlign w:val="center"/>
          </w:tcPr>
          <w:p w14:paraId="218412B8" w14:textId="77777777" w:rsidR="003E14CD" w:rsidRPr="00E66F80" w:rsidRDefault="003E14CD" w:rsidP="00591F00">
            <w:pPr>
              <w:spacing w:after="120"/>
              <w:jc w:val="right"/>
              <w:rPr>
                <w:color w:val="000000"/>
                <w:sz w:val="22"/>
                <w:szCs w:val="22"/>
              </w:rPr>
            </w:pPr>
            <w:r w:rsidRPr="00E66F80">
              <w:rPr>
                <w:color w:val="000000"/>
                <w:sz w:val="22"/>
                <w:szCs w:val="22"/>
              </w:rPr>
              <w:t>20%</w:t>
            </w:r>
          </w:p>
        </w:tc>
      </w:tr>
      <w:tr w:rsidR="003E14CD" w:rsidRPr="0050767D" w14:paraId="1F5FADCE" w14:textId="77777777" w:rsidTr="00591F00">
        <w:trPr>
          <w:trHeight w:val="268"/>
        </w:trPr>
        <w:tc>
          <w:tcPr>
            <w:tcW w:w="4371" w:type="dxa"/>
            <w:shd w:val="clear" w:color="auto" w:fill="auto"/>
            <w:vAlign w:val="center"/>
            <w:hideMark/>
          </w:tcPr>
          <w:p w14:paraId="36AFB936" w14:textId="77777777" w:rsidR="003E14CD" w:rsidRPr="00E66F80" w:rsidRDefault="003E14CD" w:rsidP="00591F00">
            <w:pPr>
              <w:spacing w:after="120"/>
              <w:jc w:val="both"/>
              <w:rPr>
                <w:color w:val="000000"/>
                <w:sz w:val="22"/>
                <w:szCs w:val="22"/>
              </w:rPr>
            </w:pPr>
            <w:r w:rsidRPr="00E66F80">
              <w:rPr>
                <w:color w:val="000000"/>
                <w:sz w:val="22"/>
                <w:szCs w:val="22"/>
              </w:rPr>
              <w:t>Допълнително установени задължения</w:t>
            </w:r>
          </w:p>
        </w:tc>
        <w:tc>
          <w:tcPr>
            <w:tcW w:w="1139" w:type="dxa"/>
            <w:shd w:val="clear" w:color="auto" w:fill="auto"/>
            <w:vAlign w:val="center"/>
            <w:hideMark/>
          </w:tcPr>
          <w:p w14:paraId="0E6112AE" w14:textId="77777777" w:rsidR="003E14CD" w:rsidRPr="00E66F80" w:rsidRDefault="003E14CD" w:rsidP="00591F00">
            <w:pPr>
              <w:spacing w:after="120"/>
              <w:jc w:val="both"/>
              <w:rPr>
                <w:color w:val="000000"/>
                <w:sz w:val="22"/>
                <w:szCs w:val="22"/>
              </w:rPr>
            </w:pPr>
            <w:r w:rsidRPr="00E66F80">
              <w:rPr>
                <w:color w:val="000000"/>
                <w:sz w:val="22"/>
                <w:szCs w:val="22"/>
              </w:rPr>
              <w:t>хил. лв.</w:t>
            </w:r>
          </w:p>
        </w:tc>
        <w:tc>
          <w:tcPr>
            <w:tcW w:w="1016" w:type="dxa"/>
            <w:shd w:val="clear" w:color="auto" w:fill="auto"/>
            <w:vAlign w:val="center"/>
            <w:hideMark/>
          </w:tcPr>
          <w:p w14:paraId="3D164A51" w14:textId="77777777" w:rsidR="003E14CD" w:rsidRPr="00E66F80" w:rsidRDefault="003E14CD" w:rsidP="00591F00">
            <w:pPr>
              <w:spacing w:after="120"/>
              <w:jc w:val="right"/>
              <w:rPr>
                <w:color w:val="000000"/>
                <w:sz w:val="22"/>
                <w:szCs w:val="22"/>
              </w:rPr>
            </w:pPr>
            <w:r w:rsidRPr="00E66F80">
              <w:rPr>
                <w:color w:val="000000"/>
                <w:sz w:val="22"/>
                <w:szCs w:val="22"/>
              </w:rPr>
              <w:t>916 068</w:t>
            </w:r>
          </w:p>
        </w:tc>
        <w:tc>
          <w:tcPr>
            <w:tcW w:w="1224" w:type="dxa"/>
            <w:shd w:val="clear" w:color="auto" w:fill="auto"/>
            <w:vAlign w:val="center"/>
          </w:tcPr>
          <w:p w14:paraId="1B2DEC9B" w14:textId="77777777" w:rsidR="003E14CD" w:rsidRPr="00E66F80" w:rsidRDefault="003E14CD" w:rsidP="00591F00">
            <w:pPr>
              <w:spacing w:after="120"/>
              <w:jc w:val="right"/>
              <w:rPr>
                <w:color w:val="000000"/>
                <w:sz w:val="22"/>
                <w:szCs w:val="22"/>
              </w:rPr>
            </w:pPr>
            <w:r w:rsidRPr="00E66F80">
              <w:rPr>
                <w:color w:val="000000"/>
                <w:sz w:val="22"/>
                <w:szCs w:val="22"/>
              </w:rPr>
              <w:t>1 097 710</w:t>
            </w:r>
          </w:p>
        </w:tc>
        <w:tc>
          <w:tcPr>
            <w:tcW w:w="1434" w:type="dxa"/>
            <w:shd w:val="clear" w:color="auto" w:fill="auto"/>
            <w:vAlign w:val="center"/>
          </w:tcPr>
          <w:p w14:paraId="4BDAAE5B" w14:textId="77777777" w:rsidR="003E14CD" w:rsidRPr="00E66F80" w:rsidRDefault="003E14CD" w:rsidP="00591F00">
            <w:pPr>
              <w:spacing w:after="120"/>
              <w:jc w:val="right"/>
              <w:rPr>
                <w:color w:val="000000"/>
                <w:sz w:val="22"/>
                <w:szCs w:val="22"/>
              </w:rPr>
            </w:pPr>
            <w:r w:rsidRPr="00E66F80">
              <w:rPr>
                <w:color w:val="000000"/>
                <w:sz w:val="22"/>
                <w:szCs w:val="22"/>
              </w:rPr>
              <w:t>20%</w:t>
            </w:r>
          </w:p>
        </w:tc>
      </w:tr>
      <w:tr w:rsidR="003E14CD" w:rsidRPr="0050767D" w14:paraId="05815635" w14:textId="77777777" w:rsidTr="00591F00">
        <w:trPr>
          <w:trHeight w:val="207"/>
        </w:trPr>
        <w:tc>
          <w:tcPr>
            <w:tcW w:w="4371" w:type="dxa"/>
            <w:shd w:val="clear" w:color="auto" w:fill="auto"/>
            <w:vAlign w:val="center"/>
            <w:hideMark/>
          </w:tcPr>
          <w:p w14:paraId="349B7C06" w14:textId="77777777" w:rsidR="003E14CD" w:rsidRPr="00E66F80" w:rsidRDefault="003E14CD" w:rsidP="00591F00">
            <w:pPr>
              <w:spacing w:after="120"/>
              <w:jc w:val="both"/>
              <w:rPr>
                <w:color w:val="000000"/>
                <w:sz w:val="22"/>
                <w:szCs w:val="22"/>
              </w:rPr>
            </w:pPr>
            <w:r w:rsidRPr="00E66F80">
              <w:rPr>
                <w:color w:val="000000"/>
                <w:sz w:val="22"/>
                <w:szCs w:val="22"/>
              </w:rPr>
              <w:t xml:space="preserve">   - в т.ч. по осигурителни вноски</w:t>
            </w:r>
          </w:p>
        </w:tc>
        <w:tc>
          <w:tcPr>
            <w:tcW w:w="1139" w:type="dxa"/>
            <w:shd w:val="clear" w:color="auto" w:fill="auto"/>
            <w:vAlign w:val="center"/>
            <w:hideMark/>
          </w:tcPr>
          <w:p w14:paraId="4BF1B0E5" w14:textId="77777777" w:rsidR="003E14CD" w:rsidRPr="00E66F80" w:rsidRDefault="003E14CD" w:rsidP="00591F00">
            <w:pPr>
              <w:spacing w:after="120"/>
              <w:jc w:val="both"/>
              <w:rPr>
                <w:color w:val="000000"/>
                <w:sz w:val="22"/>
                <w:szCs w:val="22"/>
              </w:rPr>
            </w:pPr>
            <w:r w:rsidRPr="00E66F80">
              <w:rPr>
                <w:color w:val="000000"/>
                <w:sz w:val="22"/>
                <w:szCs w:val="22"/>
              </w:rPr>
              <w:t>хил. лв.</w:t>
            </w:r>
          </w:p>
        </w:tc>
        <w:tc>
          <w:tcPr>
            <w:tcW w:w="1016" w:type="dxa"/>
            <w:shd w:val="clear" w:color="auto" w:fill="auto"/>
            <w:vAlign w:val="center"/>
          </w:tcPr>
          <w:p w14:paraId="121C1C4F" w14:textId="77777777" w:rsidR="003E14CD" w:rsidRPr="00E66F80" w:rsidRDefault="003E14CD" w:rsidP="00591F00">
            <w:pPr>
              <w:spacing w:after="120"/>
              <w:jc w:val="right"/>
              <w:rPr>
                <w:color w:val="000000"/>
                <w:sz w:val="22"/>
                <w:szCs w:val="22"/>
              </w:rPr>
            </w:pPr>
            <w:r w:rsidRPr="00E66F80">
              <w:rPr>
                <w:color w:val="000000"/>
                <w:sz w:val="22"/>
                <w:szCs w:val="22"/>
              </w:rPr>
              <w:t>11 257</w:t>
            </w:r>
          </w:p>
        </w:tc>
        <w:tc>
          <w:tcPr>
            <w:tcW w:w="1224" w:type="dxa"/>
            <w:shd w:val="clear" w:color="auto" w:fill="auto"/>
            <w:vAlign w:val="center"/>
          </w:tcPr>
          <w:p w14:paraId="5B76B161" w14:textId="77777777" w:rsidR="003E14CD" w:rsidRPr="00E66F80" w:rsidRDefault="003E14CD" w:rsidP="00591F00">
            <w:pPr>
              <w:spacing w:after="120"/>
              <w:jc w:val="right"/>
              <w:rPr>
                <w:color w:val="000000"/>
                <w:sz w:val="22"/>
                <w:szCs w:val="22"/>
              </w:rPr>
            </w:pPr>
            <w:r w:rsidRPr="00E66F80">
              <w:rPr>
                <w:color w:val="000000"/>
                <w:sz w:val="22"/>
                <w:szCs w:val="22"/>
              </w:rPr>
              <w:t>14 399</w:t>
            </w:r>
          </w:p>
        </w:tc>
        <w:tc>
          <w:tcPr>
            <w:tcW w:w="1434" w:type="dxa"/>
            <w:shd w:val="clear" w:color="auto" w:fill="auto"/>
            <w:vAlign w:val="center"/>
          </w:tcPr>
          <w:p w14:paraId="737FB64B" w14:textId="77777777" w:rsidR="003E14CD" w:rsidRPr="00E66F80" w:rsidRDefault="003E14CD" w:rsidP="00591F00">
            <w:pPr>
              <w:spacing w:after="120"/>
              <w:jc w:val="right"/>
              <w:rPr>
                <w:color w:val="000000"/>
                <w:sz w:val="22"/>
                <w:szCs w:val="22"/>
              </w:rPr>
            </w:pPr>
            <w:r w:rsidRPr="00E66F80">
              <w:rPr>
                <w:color w:val="000000"/>
                <w:sz w:val="22"/>
                <w:szCs w:val="22"/>
              </w:rPr>
              <w:t>28%</w:t>
            </w:r>
          </w:p>
        </w:tc>
      </w:tr>
      <w:tr w:rsidR="003E14CD" w:rsidRPr="0050767D" w14:paraId="05818877" w14:textId="77777777" w:rsidTr="00591F00">
        <w:trPr>
          <w:trHeight w:val="191"/>
        </w:trPr>
        <w:tc>
          <w:tcPr>
            <w:tcW w:w="4371" w:type="dxa"/>
            <w:shd w:val="clear" w:color="auto" w:fill="auto"/>
            <w:vAlign w:val="center"/>
            <w:hideMark/>
          </w:tcPr>
          <w:p w14:paraId="4DD4E594" w14:textId="77777777" w:rsidR="003E14CD" w:rsidRPr="00E66F80" w:rsidRDefault="003E14CD" w:rsidP="00591F00">
            <w:pPr>
              <w:spacing w:after="120"/>
              <w:jc w:val="both"/>
              <w:rPr>
                <w:color w:val="000000"/>
                <w:sz w:val="22"/>
                <w:szCs w:val="22"/>
              </w:rPr>
            </w:pPr>
            <w:r w:rsidRPr="00E66F80">
              <w:rPr>
                <w:color w:val="000000"/>
                <w:sz w:val="22"/>
                <w:szCs w:val="22"/>
              </w:rPr>
              <w:t>Намалена данъчна загуба</w:t>
            </w:r>
          </w:p>
        </w:tc>
        <w:tc>
          <w:tcPr>
            <w:tcW w:w="1139" w:type="dxa"/>
            <w:shd w:val="clear" w:color="auto" w:fill="auto"/>
            <w:vAlign w:val="center"/>
            <w:hideMark/>
          </w:tcPr>
          <w:p w14:paraId="7B782CB0" w14:textId="77777777" w:rsidR="003E14CD" w:rsidRPr="00E66F80" w:rsidRDefault="003E14CD" w:rsidP="00591F00">
            <w:pPr>
              <w:spacing w:after="120"/>
              <w:jc w:val="both"/>
              <w:rPr>
                <w:color w:val="000000"/>
                <w:sz w:val="22"/>
                <w:szCs w:val="22"/>
              </w:rPr>
            </w:pPr>
            <w:r w:rsidRPr="00E66F80">
              <w:rPr>
                <w:color w:val="000000"/>
                <w:sz w:val="22"/>
                <w:szCs w:val="22"/>
              </w:rPr>
              <w:t>хил. лв.</w:t>
            </w:r>
          </w:p>
        </w:tc>
        <w:tc>
          <w:tcPr>
            <w:tcW w:w="1016" w:type="dxa"/>
            <w:shd w:val="clear" w:color="auto" w:fill="auto"/>
            <w:vAlign w:val="center"/>
            <w:hideMark/>
          </w:tcPr>
          <w:p w14:paraId="4C57588B" w14:textId="77777777" w:rsidR="003E14CD" w:rsidRPr="00E66F80" w:rsidRDefault="003E14CD" w:rsidP="00591F00">
            <w:pPr>
              <w:spacing w:after="120"/>
              <w:jc w:val="right"/>
              <w:rPr>
                <w:color w:val="000000"/>
                <w:sz w:val="22"/>
                <w:szCs w:val="22"/>
              </w:rPr>
            </w:pPr>
            <w:r w:rsidRPr="00E66F80">
              <w:rPr>
                <w:color w:val="000000"/>
                <w:sz w:val="22"/>
                <w:szCs w:val="22"/>
              </w:rPr>
              <w:t>54 776</w:t>
            </w:r>
          </w:p>
        </w:tc>
        <w:tc>
          <w:tcPr>
            <w:tcW w:w="1224" w:type="dxa"/>
            <w:shd w:val="clear" w:color="auto" w:fill="auto"/>
            <w:vAlign w:val="center"/>
          </w:tcPr>
          <w:p w14:paraId="4DECA908" w14:textId="77777777" w:rsidR="003E14CD" w:rsidRPr="00E66F80" w:rsidRDefault="003E14CD" w:rsidP="00591F00">
            <w:pPr>
              <w:spacing w:after="120"/>
              <w:jc w:val="right"/>
              <w:rPr>
                <w:color w:val="000000"/>
                <w:sz w:val="22"/>
                <w:szCs w:val="22"/>
              </w:rPr>
            </w:pPr>
            <w:r w:rsidRPr="00E66F80">
              <w:rPr>
                <w:color w:val="000000"/>
                <w:sz w:val="22"/>
                <w:szCs w:val="22"/>
              </w:rPr>
              <w:t>79 266</w:t>
            </w:r>
          </w:p>
        </w:tc>
        <w:tc>
          <w:tcPr>
            <w:tcW w:w="1434" w:type="dxa"/>
            <w:shd w:val="clear" w:color="auto" w:fill="auto"/>
            <w:vAlign w:val="center"/>
          </w:tcPr>
          <w:p w14:paraId="0B1D7E43" w14:textId="77777777" w:rsidR="003E14CD" w:rsidRPr="00E66F80" w:rsidRDefault="003E14CD" w:rsidP="00591F00">
            <w:pPr>
              <w:spacing w:after="120"/>
              <w:jc w:val="right"/>
              <w:rPr>
                <w:color w:val="000000"/>
                <w:sz w:val="22"/>
                <w:szCs w:val="22"/>
              </w:rPr>
            </w:pPr>
            <w:r w:rsidRPr="00E66F80">
              <w:rPr>
                <w:color w:val="000000"/>
                <w:sz w:val="22"/>
                <w:szCs w:val="22"/>
              </w:rPr>
              <w:t>45%</w:t>
            </w:r>
          </w:p>
        </w:tc>
      </w:tr>
      <w:tr w:rsidR="003E14CD" w:rsidRPr="0050767D" w14:paraId="472E413B" w14:textId="77777777" w:rsidTr="00591F00">
        <w:trPr>
          <w:trHeight w:val="309"/>
        </w:trPr>
        <w:tc>
          <w:tcPr>
            <w:tcW w:w="4371" w:type="dxa"/>
            <w:shd w:val="clear" w:color="auto" w:fill="auto"/>
            <w:vAlign w:val="center"/>
            <w:hideMark/>
          </w:tcPr>
          <w:p w14:paraId="555CF294" w14:textId="77777777" w:rsidR="003E14CD" w:rsidRPr="00E66F80" w:rsidRDefault="003E14CD" w:rsidP="00591F00">
            <w:pPr>
              <w:spacing w:after="120"/>
              <w:jc w:val="both"/>
              <w:rPr>
                <w:color w:val="000000"/>
                <w:sz w:val="22"/>
                <w:szCs w:val="22"/>
              </w:rPr>
            </w:pPr>
            <w:r w:rsidRPr="00E66F80">
              <w:rPr>
                <w:color w:val="000000"/>
                <w:sz w:val="22"/>
                <w:szCs w:val="22"/>
              </w:rPr>
              <w:t xml:space="preserve">Отн. дял на РА с допълнително установени  задължения над 10 000 лв. </w:t>
            </w:r>
          </w:p>
        </w:tc>
        <w:tc>
          <w:tcPr>
            <w:tcW w:w="1139" w:type="dxa"/>
            <w:shd w:val="clear" w:color="auto" w:fill="auto"/>
            <w:vAlign w:val="center"/>
            <w:hideMark/>
          </w:tcPr>
          <w:p w14:paraId="69D2FE31" w14:textId="77777777" w:rsidR="003E14CD" w:rsidRPr="00E66F80" w:rsidRDefault="003E14CD" w:rsidP="00591F00">
            <w:pPr>
              <w:spacing w:after="120"/>
              <w:jc w:val="both"/>
              <w:rPr>
                <w:color w:val="000000"/>
                <w:sz w:val="22"/>
                <w:szCs w:val="22"/>
              </w:rPr>
            </w:pPr>
            <w:r w:rsidRPr="00E66F80">
              <w:rPr>
                <w:color w:val="000000"/>
                <w:sz w:val="22"/>
                <w:szCs w:val="22"/>
              </w:rPr>
              <w:t>%</w:t>
            </w:r>
          </w:p>
        </w:tc>
        <w:tc>
          <w:tcPr>
            <w:tcW w:w="1016" w:type="dxa"/>
            <w:shd w:val="clear" w:color="auto" w:fill="auto"/>
            <w:vAlign w:val="center"/>
            <w:hideMark/>
          </w:tcPr>
          <w:p w14:paraId="5E6E8341" w14:textId="77777777" w:rsidR="003E14CD" w:rsidRPr="00E66F80" w:rsidRDefault="003E14CD" w:rsidP="00591F00">
            <w:pPr>
              <w:spacing w:after="120"/>
              <w:jc w:val="right"/>
              <w:rPr>
                <w:color w:val="000000"/>
                <w:sz w:val="22"/>
                <w:szCs w:val="22"/>
              </w:rPr>
            </w:pPr>
            <w:r w:rsidRPr="00E66F80">
              <w:rPr>
                <w:color w:val="000000"/>
                <w:sz w:val="22"/>
                <w:szCs w:val="22"/>
              </w:rPr>
              <w:t>56%</w:t>
            </w:r>
          </w:p>
        </w:tc>
        <w:tc>
          <w:tcPr>
            <w:tcW w:w="1224" w:type="dxa"/>
            <w:shd w:val="clear" w:color="auto" w:fill="auto"/>
            <w:vAlign w:val="center"/>
          </w:tcPr>
          <w:p w14:paraId="50AE2C34" w14:textId="77777777" w:rsidR="003E14CD" w:rsidRPr="00E66F80" w:rsidRDefault="003E14CD" w:rsidP="00591F00">
            <w:pPr>
              <w:spacing w:after="120"/>
              <w:jc w:val="right"/>
              <w:rPr>
                <w:color w:val="000000"/>
                <w:sz w:val="22"/>
                <w:szCs w:val="22"/>
              </w:rPr>
            </w:pPr>
            <w:r w:rsidRPr="00E66F80">
              <w:rPr>
                <w:color w:val="000000"/>
                <w:sz w:val="22"/>
                <w:szCs w:val="22"/>
              </w:rPr>
              <w:t>59%</w:t>
            </w:r>
          </w:p>
        </w:tc>
        <w:tc>
          <w:tcPr>
            <w:tcW w:w="1434" w:type="dxa"/>
            <w:shd w:val="clear" w:color="auto" w:fill="auto"/>
            <w:vAlign w:val="center"/>
          </w:tcPr>
          <w:p w14:paraId="44E2ADB1" w14:textId="77777777" w:rsidR="003E14CD" w:rsidRPr="00E66F80" w:rsidRDefault="003E14CD" w:rsidP="00591F00">
            <w:pPr>
              <w:spacing w:after="120"/>
              <w:jc w:val="right"/>
              <w:rPr>
                <w:color w:val="000000"/>
                <w:sz w:val="22"/>
                <w:szCs w:val="22"/>
              </w:rPr>
            </w:pPr>
            <w:r w:rsidRPr="00E66F80">
              <w:rPr>
                <w:color w:val="000000"/>
                <w:sz w:val="22"/>
                <w:szCs w:val="22"/>
              </w:rPr>
              <w:t>3%</w:t>
            </w:r>
          </w:p>
        </w:tc>
      </w:tr>
      <w:tr w:rsidR="003E14CD" w:rsidRPr="0050767D" w14:paraId="7A38ED70" w14:textId="77777777" w:rsidTr="00591F00">
        <w:trPr>
          <w:trHeight w:val="282"/>
        </w:trPr>
        <w:tc>
          <w:tcPr>
            <w:tcW w:w="4371" w:type="dxa"/>
            <w:shd w:val="clear" w:color="auto" w:fill="auto"/>
            <w:vAlign w:val="center"/>
            <w:hideMark/>
          </w:tcPr>
          <w:p w14:paraId="54895DC8" w14:textId="77777777" w:rsidR="003E14CD" w:rsidRPr="00E66F80" w:rsidRDefault="003E14CD" w:rsidP="00591F00">
            <w:pPr>
              <w:spacing w:after="120"/>
              <w:jc w:val="both"/>
              <w:rPr>
                <w:color w:val="000000"/>
                <w:sz w:val="22"/>
                <w:szCs w:val="22"/>
              </w:rPr>
            </w:pPr>
            <w:r w:rsidRPr="00E66F80">
              <w:rPr>
                <w:color w:val="000000"/>
                <w:sz w:val="22"/>
                <w:szCs w:val="22"/>
              </w:rPr>
              <w:t>Среден размер на допълнително установени задължения на един  РА</w:t>
            </w:r>
          </w:p>
        </w:tc>
        <w:tc>
          <w:tcPr>
            <w:tcW w:w="1139" w:type="dxa"/>
            <w:shd w:val="clear" w:color="auto" w:fill="auto"/>
            <w:vAlign w:val="center"/>
            <w:hideMark/>
          </w:tcPr>
          <w:p w14:paraId="34DFAA55" w14:textId="77777777" w:rsidR="003E14CD" w:rsidRPr="00E66F80" w:rsidRDefault="003E14CD" w:rsidP="00591F00">
            <w:pPr>
              <w:spacing w:after="120"/>
              <w:jc w:val="both"/>
              <w:rPr>
                <w:color w:val="000000"/>
                <w:sz w:val="22"/>
                <w:szCs w:val="22"/>
              </w:rPr>
            </w:pPr>
            <w:r w:rsidRPr="00E66F80">
              <w:rPr>
                <w:color w:val="000000"/>
                <w:sz w:val="22"/>
                <w:szCs w:val="22"/>
              </w:rPr>
              <w:t>хил. лв.</w:t>
            </w:r>
          </w:p>
        </w:tc>
        <w:tc>
          <w:tcPr>
            <w:tcW w:w="1016" w:type="dxa"/>
            <w:shd w:val="clear" w:color="auto" w:fill="auto"/>
            <w:vAlign w:val="center"/>
            <w:hideMark/>
          </w:tcPr>
          <w:p w14:paraId="03964F35" w14:textId="77777777" w:rsidR="003E14CD" w:rsidRPr="00E66F80" w:rsidRDefault="003E14CD" w:rsidP="00591F00">
            <w:pPr>
              <w:spacing w:after="120"/>
              <w:jc w:val="right"/>
              <w:rPr>
                <w:color w:val="000000"/>
                <w:sz w:val="22"/>
                <w:szCs w:val="22"/>
              </w:rPr>
            </w:pPr>
            <w:r w:rsidRPr="00E66F80">
              <w:rPr>
                <w:color w:val="000000"/>
                <w:sz w:val="22"/>
                <w:szCs w:val="22"/>
              </w:rPr>
              <w:t>111</w:t>
            </w:r>
          </w:p>
        </w:tc>
        <w:tc>
          <w:tcPr>
            <w:tcW w:w="1224" w:type="dxa"/>
            <w:shd w:val="clear" w:color="auto" w:fill="auto"/>
            <w:vAlign w:val="center"/>
          </w:tcPr>
          <w:p w14:paraId="38694CF1" w14:textId="77777777" w:rsidR="003E14CD" w:rsidRPr="00E66F80" w:rsidRDefault="003E14CD" w:rsidP="00591F00">
            <w:pPr>
              <w:spacing w:after="120"/>
              <w:jc w:val="right"/>
              <w:rPr>
                <w:color w:val="000000"/>
                <w:sz w:val="22"/>
                <w:szCs w:val="22"/>
              </w:rPr>
            </w:pPr>
            <w:r w:rsidRPr="00E66F80">
              <w:rPr>
                <w:color w:val="000000"/>
                <w:sz w:val="22"/>
                <w:szCs w:val="22"/>
              </w:rPr>
              <w:t>129</w:t>
            </w:r>
          </w:p>
        </w:tc>
        <w:tc>
          <w:tcPr>
            <w:tcW w:w="1434" w:type="dxa"/>
            <w:shd w:val="clear" w:color="auto" w:fill="auto"/>
            <w:vAlign w:val="center"/>
          </w:tcPr>
          <w:p w14:paraId="3AB9853B" w14:textId="77777777" w:rsidR="003E14CD" w:rsidRPr="00E66F80" w:rsidRDefault="003E14CD" w:rsidP="00591F00">
            <w:pPr>
              <w:spacing w:after="120"/>
              <w:jc w:val="right"/>
              <w:rPr>
                <w:color w:val="000000"/>
                <w:sz w:val="22"/>
                <w:szCs w:val="22"/>
              </w:rPr>
            </w:pPr>
            <w:r w:rsidRPr="00E66F80">
              <w:rPr>
                <w:color w:val="000000"/>
                <w:sz w:val="22"/>
                <w:szCs w:val="22"/>
              </w:rPr>
              <w:t>16%</w:t>
            </w:r>
          </w:p>
        </w:tc>
      </w:tr>
      <w:tr w:rsidR="003E14CD" w:rsidRPr="0050767D" w14:paraId="3E5EC658" w14:textId="77777777" w:rsidTr="00591F00">
        <w:trPr>
          <w:trHeight w:val="259"/>
        </w:trPr>
        <w:tc>
          <w:tcPr>
            <w:tcW w:w="4371" w:type="dxa"/>
            <w:shd w:val="clear" w:color="auto" w:fill="auto"/>
            <w:vAlign w:val="center"/>
            <w:hideMark/>
          </w:tcPr>
          <w:p w14:paraId="74F9ED0D" w14:textId="77777777" w:rsidR="003E14CD" w:rsidRPr="00E66F80" w:rsidRDefault="003E14CD" w:rsidP="00591F00">
            <w:pPr>
              <w:spacing w:after="120"/>
              <w:jc w:val="both"/>
              <w:rPr>
                <w:color w:val="000000"/>
                <w:sz w:val="22"/>
                <w:szCs w:val="22"/>
              </w:rPr>
            </w:pPr>
            <w:r w:rsidRPr="00E66F80">
              <w:rPr>
                <w:color w:val="000000"/>
                <w:sz w:val="22"/>
                <w:szCs w:val="22"/>
              </w:rPr>
              <w:t>Относителен дял на обжалваните РА</w:t>
            </w:r>
          </w:p>
        </w:tc>
        <w:tc>
          <w:tcPr>
            <w:tcW w:w="1139" w:type="dxa"/>
            <w:shd w:val="clear" w:color="auto" w:fill="auto"/>
            <w:vAlign w:val="center"/>
            <w:hideMark/>
          </w:tcPr>
          <w:p w14:paraId="3308063B" w14:textId="77777777" w:rsidR="003E14CD" w:rsidRPr="00E66F80" w:rsidRDefault="003E14CD" w:rsidP="00591F00">
            <w:pPr>
              <w:spacing w:after="120"/>
              <w:jc w:val="both"/>
              <w:rPr>
                <w:color w:val="000000"/>
                <w:sz w:val="22"/>
                <w:szCs w:val="22"/>
              </w:rPr>
            </w:pPr>
            <w:r w:rsidRPr="00E66F80">
              <w:rPr>
                <w:color w:val="000000"/>
                <w:sz w:val="22"/>
                <w:szCs w:val="22"/>
              </w:rPr>
              <w:t>%</w:t>
            </w:r>
          </w:p>
        </w:tc>
        <w:tc>
          <w:tcPr>
            <w:tcW w:w="1016" w:type="dxa"/>
            <w:shd w:val="clear" w:color="auto" w:fill="auto"/>
            <w:vAlign w:val="center"/>
            <w:hideMark/>
          </w:tcPr>
          <w:p w14:paraId="55E3DEAC" w14:textId="77777777" w:rsidR="003E14CD" w:rsidRPr="00E66F80" w:rsidRDefault="003E14CD" w:rsidP="00591F00">
            <w:pPr>
              <w:spacing w:after="120"/>
              <w:jc w:val="right"/>
              <w:rPr>
                <w:color w:val="000000"/>
                <w:sz w:val="22"/>
                <w:szCs w:val="22"/>
              </w:rPr>
            </w:pPr>
            <w:r w:rsidRPr="00E66F80">
              <w:rPr>
                <w:color w:val="000000"/>
                <w:sz w:val="22"/>
                <w:szCs w:val="22"/>
              </w:rPr>
              <w:t>33%</w:t>
            </w:r>
          </w:p>
        </w:tc>
        <w:tc>
          <w:tcPr>
            <w:tcW w:w="1224" w:type="dxa"/>
            <w:shd w:val="clear" w:color="auto" w:fill="auto"/>
            <w:vAlign w:val="center"/>
          </w:tcPr>
          <w:p w14:paraId="21E25323" w14:textId="77777777" w:rsidR="003E14CD" w:rsidRPr="00E66F80" w:rsidRDefault="003E14CD" w:rsidP="00591F00">
            <w:pPr>
              <w:spacing w:after="120"/>
              <w:jc w:val="right"/>
              <w:rPr>
                <w:color w:val="000000"/>
                <w:sz w:val="22"/>
                <w:szCs w:val="22"/>
              </w:rPr>
            </w:pPr>
            <w:r w:rsidRPr="00E66F80">
              <w:rPr>
                <w:color w:val="000000"/>
                <w:sz w:val="22"/>
                <w:szCs w:val="22"/>
              </w:rPr>
              <w:t>32%</w:t>
            </w:r>
          </w:p>
        </w:tc>
        <w:tc>
          <w:tcPr>
            <w:tcW w:w="1434" w:type="dxa"/>
            <w:shd w:val="clear" w:color="auto" w:fill="auto"/>
            <w:vAlign w:val="center"/>
          </w:tcPr>
          <w:p w14:paraId="029C39B7" w14:textId="77777777" w:rsidR="003E14CD" w:rsidRPr="00E66F80" w:rsidRDefault="003E14CD" w:rsidP="00591F00">
            <w:pPr>
              <w:spacing w:after="120"/>
              <w:jc w:val="right"/>
              <w:rPr>
                <w:color w:val="000000"/>
                <w:sz w:val="22"/>
                <w:szCs w:val="22"/>
              </w:rPr>
            </w:pPr>
            <w:r w:rsidRPr="00E66F80">
              <w:rPr>
                <w:color w:val="000000"/>
                <w:sz w:val="22"/>
                <w:szCs w:val="22"/>
              </w:rPr>
              <w:t>-1%</w:t>
            </w:r>
          </w:p>
        </w:tc>
      </w:tr>
    </w:tbl>
    <w:p w14:paraId="54EC05E5" w14:textId="77777777" w:rsidR="003E14CD" w:rsidRPr="0050767D" w:rsidRDefault="003E14CD" w:rsidP="003E14CD">
      <w:pPr>
        <w:spacing w:after="120"/>
        <w:jc w:val="both"/>
        <w:rPr>
          <w:i/>
          <w:color w:val="FF0000"/>
          <w:lang w:eastAsia="en-US"/>
        </w:rPr>
      </w:pPr>
      <w:r w:rsidRPr="0050767D">
        <w:rPr>
          <w:color w:val="FF0000"/>
          <w:lang w:eastAsia="en-US"/>
        </w:rPr>
        <w:tab/>
      </w:r>
      <w:r w:rsidRPr="0050767D">
        <w:rPr>
          <w:color w:val="FF0000"/>
          <w:lang w:eastAsia="en-US"/>
        </w:rPr>
        <w:tab/>
      </w:r>
      <w:r w:rsidRPr="0050767D">
        <w:rPr>
          <w:color w:val="FF0000"/>
          <w:lang w:eastAsia="en-US"/>
        </w:rPr>
        <w:tab/>
      </w:r>
      <w:r w:rsidRPr="0050767D">
        <w:rPr>
          <w:color w:val="FF0000"/>
          <w:lang w:eastAsia="en-US"/>
        </w:rPr>
        <w:tab/>
      </w:r>
      <w:r w:rsidRPr="0050767D">
        <w:rPr>
          <w:color w:val="FF0000"/>
          <w:lang w:eastAsia="en-US"/>
        </w:rPr>
        <w:tab/>
      </w:r>
      <w:r w:rsidRPr="0050767D">
        <w:rPr>
          <w:color w:val="FF0000"/>
          <w:lang w:eastAsia="en-US"/>
        </w:rPr>
        <w:tab/>
        <w:t xml:space="preserve">      </w:t>
      </w:r>
      <w:r w:rsidRPr="0050767D">
        <w:rPr>
          <w:color w:val="FF0000"/>
          <w:lang w:eastAsia="en-US"/>
        </w:rPr>
        <w:tab/>
      </w:r>
      <w:r w:rsidRPr="0050767D">
        <w:rPr>
          <w:color w:val="FF0000"/>
          <w:lang w:eastAsia="en-US"/>
        </w:rPr>
        <w:tab/>
      </w:r>
      <w:r w:rsidRPr="0050767D">
        <w:rPr>
          <w:color w:val="FF0000"/>
          <w:lang w:eastAsia="en-US"/>
        </w:rPr>
        <w:tab/>
      </w:r>
      <w:r w:rsidRPr="0050767D">
        <w:rPr>
          <w:color w:val="FF0000"/>
          <w:lang w:eastAsia="en-US"/>
        </w:rPr>
        <w:tab/>
        <w:t xml:space="preserve">        </w:t>
      </w:r>
      <w:r w:rsidRPr="0050767D">
        <w:rPr>
          <w:i/>
          <w:lang w:eastAsia="en-US"/>
        </w:rPr>
        <w:t>Източник: НАП</w:t>
      </w:r>
    </w:p>
    <w:p w14:paraId="7DAB108F" w14:textId="77777777" w:rsidR="003E14CD" w:rsidRPr="00E66F80" w:rsidRDefault="003E14CD" w:rsidP="00440EF1">
      <w:pPr>
        <w:ind w:right="-6" w:firstLine="709"/>
        <w:jc w:val="both"/>
      </w:pPr>
      <w:r w:rsidRPr="00E66F80">
        <w:t xml:space="preserve">Независимо от спада в общия брой извършени ревизии, останалите показатели за изпълнението на ревизионната дейност показват подобрение. През 2022 г. се запазва практиката за извършване на ревизии за установяване на отговорност за неплатени задължения на трети лица. </w:t>
      </w:r>
      <w:r w:rsidRPr="0050767D">
        <w:rPr>
          <w:lang w:eastAsia="en-US"/>
        </w:rPr>
        <w:t>През отчетния период са п</w:t>
      </w:r>
      <w:r w:rsidRPr="00E66F80">
        <w:t>риключили 428 ревизии с установена солидарна отговорност на трети лица в размер на 92 268 хил. лева. От приключилите през 2022 г. ревизии 342 броя ревизии са за установяване на отговорност по чл. 19 от ДОПК на органи на управление на ЮЛ и 86 броя ревизии са за установяване на отговорност по чл. 177 от ЗДДС за случаи на злоупотреби с ДДС. При първия тип ревизии в 265 производства е установена отговорност за 77 702 хил. лв., а при втория в 69 производства за 14 566 хил. лева.</w:t>
      </w:r>
    </w:p>
    <w:p w14:paraId="26A72D25" w14:textId="77777777" w:rsidR="003E14CD" w:rsidRPr="00E66F80" w:rsidRDefault="003E14CD" w:rsidP="00440EF1">
      <w:pPr>
        <w:ind w:right="-6" w:firstLine="709"/>
        <w:jc w:val="both"/>
        <w:rPr>
          <w:bCs/>
        </w:rPr>
      </w:pPr>
      <w:r w:rsidRPr="00E66F80">
        <w:rPr>
          <w:bCs/>
        </w:rPr>
        <w:t xml:space="preserve">През 2022 г. продължава тенденцията за намаляване дела на обжалваните ревизионни актове. Относителният дял на обжалваните ревизионни актове е 36,0 % през 2019 г., 35,0 % през 2020 г., 33,0 % през 2021 г. и 32,0 % през 2022 година. Във връзка с решения на дирекции „Обжалване и данъчно-осигурителна практика“ (ОДОП) за отмяна на ревизионни актове по реда на чл. 155, ал. 4 от ДОПК през 2022 г. са възложени общо 475 ревизионни производства. Издадените през 2022 г. ревизионни актове (РА) по чл. 155, ал. 4 от ДОПК са 536 броя с допълнително установени задължения в размер на 123 292 хил. лева. </w:t>
      </w:r>
    </w:p>
    <w:p w14:paraId="767BAD32" w14:textId="77777777" w:rsidR="003E14CD" w:rsidRPr="00E66F80" w:rsidRDefault="003E14CD" w:rsidP="00440EF1">
      <w:pPr>
        <w:ind w:right="-6" w:firstLine="709"/>
        <w:jc w:val="both"/>
        <w:rPr>
          <w:bCs/>
        </w:rPr>
      </w:pPr>
      <w:r w:rsidRPr="00E66F80">
        <w:rPr>
          <w:bCs/>
        </w:rPr>
        <w:t>Допълнително установените задължения по РА, издадени след решение по чл. 155, ал. 4 от ДОПК на директор на дирекция ОДОП през 2022 г. са с 35 211 хил. лева по-малко от установените задължения с РА преди отмяната им, като най-голямо е намалението на задълженията в производствата за установяване на ДДС – 20 242 хил. лева.</w:t>
      </w:r>
    </w:p>
    <w:p w14:paraId="01B03F52" w14:textId="77777777" w:rsidR="003E14CD" w:rsidRPr="0050767D" w:rsidRDefault="003E14CD" w:rsidP="00440EF1">
      <w:pPr>
        <w:ind w:right="-6" w:firstLine="709"/>
        <w:jc w:val="both"/>
        <w:rPr>
          <w:bCs/>
        </w:rPr>
      </w:pPr>
      <w:r w:rsidRPr="00E66F80">
        <w:rPr>
          <w:bCs/>
        </w:rPr>
        <w:t>Отменените допълнително установени задължения по приключени в предходни периоди производства, за които са издадени РА по чл. 155, ал. 4 от ДОПК през 2022 г., са както следва: 3 475 хил. лв. за приключени през 2019 г.; 48 432 хил. лв. за приключени през 2020 г. и 97 838 хил. лв. за приключени през 2021 г. производства.</w:t>
      </w:r>
    </w:p>
    <w:p w14:paraId="6179CC7B" w14:textId="77777777" w:rsidR="003E14CD" w:rsidRPr="0050767D" w:rsidRDefault="003E14CD" w:rsidP="001A4A09">
      <w:pPr>
        <w:spacing w:before="120" w:after="120"/>
        <w:ind w:firstLine="709"/>
        <w:jc w:val="both"/>
        <w:rPr>
          <w:rFonts w:eastAsiaTheme="minorHAnsi"/>
          <w:b/>
          <w:lang w:eastAsia="en-US"/>
        </w:rPr>
      </w:pPr>
      <w:r w:rsidRPr="0050767D">
        <w:rPr>
          <w:rFonts w:eastAsiaTheme="minorHAnsi"/>
          <w:b/>
          <w:lang w:eastAsia="en-US"/>
        </w:rPr>
        <w:t>1.1.1. Електронни ревизии и проверки и контролни производства на лица, извършващи електронна търговия</w:t>
      </w:r>
    </w:p>
    <w:p w14:paraId="18A68486" w14:textId="77777777" w:rsidR="003E14CD" w:rsidRPr="00E66F80" w:rsidRDefault="003E14CD" w:rsidP="00440EF1">
      <w:pPr>
        <w:ind w:firstLine="709"/>
        <w:jc w:val="both"/>
      </w:pPr>
      <w:r w:rsidRPr="00E66F80">
        <w:t xml:space="preserve">През 2022 г. органите по приходите на агенцията са използвали специализиран софтуер за анализ на данни в хода на 387 производства. Размерът на допълнително установените задължения в приключилите ревизионни производствата, в които е използван софтуерът, е над 23,0 млн. лева. Въпреки увеличението през 2022 г. на броя на приключилите ревизионни производства, в които е използва софтуер за анализ на данни в електронен формат, предизвикателство е повишаване на капацитета на органите по приходите на агенцията за осъществяване на контрол в цифрова среда. В тази връзка през 2022 г. е осъществен мониторинг на е-одита в териториалните структури на агенцията и са планирани мерки за преодоляване на установените проблеми. </w:t>
      </w:r>
    </w:p>
    <w:p w14:paraId="4736BA22" w14:textId="77777777" w:rsidR="003E14CD" w:rsidRPr="00E66F80" w:rsidRDefault="003E14CD" w:rsidP="00440EF1">
      <w:pPr>
        <w:ind w:firstLine="709"/>
        <w:jc w:val="both"/>
        <w:rPr>
          <w:bCs/>
        </w:rPr>
      </w:pPr>
      <w:r w:rsidRPr="00E66F80">
        <w:t>Отчитайки увеличаването на обемите на продажбите в интернет, през 2022 г. НАП продължава да засилва контрола върху лицата, извършващи електронна търговия, като се предприемат  контролни  действия спрямо лица</w:t>
      </w:r>
      <w:r w:rsidRPr="00E66F80">
        <w:rPr>
          <w:bCs/>
        </w:rPr>
        <w:t>, недекларирали доходи от тази дейност - възложени са 666 ревизионни производства и 2 696 проверки. В резултат на приключилите през годината 546 ревизии са установени допълнително данъчни и осигурителни задължения в размер</w:t>
      </w:r>
      <w:r>
        <w:rPr>
          <w:bCs/>
        </w:rPr>
        <w:t xml:space="preserve"> на</w:t>
      </w:r>
      <w:r w:rsidRPr="00E66F80">
        <w:rPr>
          <w:bCs/>
        </w:rPr>
        <w:t xml:space="preserve"> повече от 38,0 млн. лева. В хода на контролните производства са направени доброволни корекции на подадени декларации и са внесени допълнително в бюджета 1 140 хил. лева. </w:t>
      </w:r>
    </w:p>
    <w:p w14:paraId="198F7FB3" w14:textId="77777777" w:rsidR="003E14CD" w:rsidRPr="00E66F80" w:rsidRDefault="003E14CD" w:rsidP="00440EF1">
      <w:pPr>
        <w:ind w:firstLine="709"/>
        <w:jc w:val="both"/>
      </w:pPr>
      <w:r w:rsidRPr="00E66F80">
        <w:t xml:space="preserve">За поредна година в предварително попълнените годишни данъчни декларации </w:t>
      </w:r>
      <w:r w:rsidRPr="004F15D1">
        <w:t>(</w:t>
      </w:r>
      <w:r w:rsidRPr="00E66F80">
        <w:t>ГДД</w:t>
      </w:r>
      <w:r w:rsidRPr="004F15D1">
        <w:t>)</w:t>
      </w:r>
      <w:r w:rsidRPr="00E66F80">
        <w:t xml:space="preserve"> по чл. 50 от ЗДДФЛ са включени суми от получен от лицата наложен платеж за изпратени пощенски пратки, за които НАП получава информация от лицензираните пощенски оператори. След приключване на кампанията за подаване на декларациите е направен анализ, при който е установено, че 8 159 лица са декларирали в подадените декларации доход, съответстващ изцяло на размера на предварително попълнената в декларациите им сума на получения от тях наложен платеж, като общата сума на декларираната данъчна основа е в размер на 31 910 хил. лв., съответно общият размер на данъка е в размер на 3 830 хил. лева. Това дава основание да се предположи, че размерът на декларирания от лицата облагаем доход, дължащ се на предварителното попълване в данъчните декларации на сумите от получен от лицата наложен платеж, е значително по-голям, но точна оценка не може да бъде направена предвид факта, че голяма част от лицата, освен продажби в интернет, извършват продажби и във физически търговски обекти, имат доходи и от друга търговска дейност.</w:t>
      </w:r>
    </w:p>
    <w:p w14:paraId="3122A53C" w14:textId="77777777" w:rsidR="003E14CD" w:rsidRPr="0050767D" w:rsidRDefault="003E14CD" w:rsidP="003E14CD">
      <w:pPr>
        <w:spacing w:after="120"/>
        <w:ind w:firstLine="709"/>
        <w:jc w:val="both"/>
        <w:rPr>
          <w:bCs/>
        </w:rPr>
      </w:pPr>
      <w:r w:rsidRPr="00E66F80">
        <w:t>По отношение на лица, за които НАП разполага с информация, че са извършвали търговска дейност в интернет и съответно са реализирали приходи/доходи от нея през 2022 г., са проведени две информационни телефонни кампании. В резултат на това 2 782 лица са подали нови или коригиращи декларации, като декларираният доход е в размер над 54,0 млн. лв., а дължимият данък – 2,8 млн. лева. Юридическите лица, коригирали финансовия си резултат са 103, като са декларирали 31,0 млн. лв. приходи и данъчна печалба в размер на 3,8 млн. лева. Спрямо физическите лица, с които не е бил установен контакт, или не са се отзовали на поканата да подадат доброволно данъчни декларации са възложени контролни производства</w:t>
      </w:r>
      <w:r w:rsidRPr="00E66F80">
        <w:rPr>
          <w:bCs/>
        </w:rPr>
        <w:t>.</w:t>
      </w:r>
    </w:p>
    <w:p w14:paraId="1929B2E9" w14:textId="77777777" w:rsidR="003E14CD" w:rsidRPr="0050767D" w:rsidRDefault="003E14CD" w:rsidP="003E14CD">
      <w:pPr>
        <w:tabs>
          <w:tab w:val="left" w:pos="12825"/>
        </w:tabs>
        <w:spacing w:after="120"/>
        <w:ind w:firstLine="709"/>
        <w:jc w:val="both"/>
        <w:rPr>
          <w:rFonts w:eastAsiaTheme="minorHAnsi"/>
          <w:b/>
          <w:lang w:eastAsia="en-US"/>
        </w:rPr>
      </w:pPr>
      <w:r w:rsidRPr="0050767D">
        <w:rPr>
          <w:rFonts w:eastAsiaTheme="minorHAnsi"/>
          <w:lang w:eastAsia="en-US"/>
        </w:rPr>
        <w:t xml:space="preserve">  </w:t>
      </w:r>
      <w:r w:rsidRPr="0050767D">
        <w:rPr>
          <w:rFonts w:eastAsiaTheme="minorHAnsi"/>
          <w:b/>
          <w:lang w:eastAsia="en-US"/>
        </w:rPr>
        <w:t>1.1.2. Многостранни ревизии</w:t>
      </w:r>
    </w:p>
    <w:p w14:paraId="6FC14C63" w14:textId="77777777" w:rsidR="003E14CD" w:rsidRPr="00E66F80" w:rsidRDefault="003E14CD" w:rsidP="000A3636">
      <w:pPr>
        <w:tabs>
          <w:tab w:val="left" w:pos="12825"/>
        </w:tabs>
        <w:ind w:firstLine="709"/>
        <w:jc w:val="both"/>
      </w:pPr>
      <w:r w:rsidRPr="00E66F80">
        <w:t xml:space="preserve">През 2022 година НАП инициира една многостранна ревизия с участваща държава Гърция и обхват ДДС, като освен това участва в 4 проекта за многостранни ревизии по инициатива на друга страна-членка. Във всички многостранни ревизии обект на разглеждане е ДДС. </w:t>
      </w:r>
    </w:p>
    <w:p w14:paraId="659C778F" w14:textId="77777777" w:rsidR="003E14CD" w:rsidRPr="0050767D" w:rsidRDefault="003E14CD" w:rsidP="000A3636">
      <w:pPr>
        <w:tabs>
          <w:tab w:val="left" w:pos="12825"/>
        </w:tabs>
        <w:ind w:firstLine="709"/>
        <w:jc w:val="both"/>
      </w:pPr>
      <w:r w:rsidRPr="00E66F80">
        <w:t>През 2022 г. на етап окончателен доклад са приключили 2 проекта, в които участва НАП, с косвен ефект, който се изразява в дерегистрация по ЗДДС на задължени лица, участващи в международни схеми за измами</w:t>
      </w:r>
      <w:r w:rsidRPr="0050767D">
        <w:t xml:space="preserve">. </w:t>
      </w:r>
    </w:p>
    <w:p w14:paraId="3EA3A40F" w14:textId="77777777" w:rsidR="003E14CD" w:rsidRPr="0050767D" w:rsidRDefault="003E14CD" w:rsidP="003E14CD">
      <w:pPr>
        <w:spacing w:after="120"/>
        <w:ind w:firstLine="709"/>
        <w:jc w:val="both"/>
        <w:rPr>
          <w:rFonts w:eastAsiaTheme="minorHAnsi"/>
          <w:b/>
          <w:lang w:eastAsia="en-US"/>
        </w:rPr>
      </w:pPr>
      <w:r w:rsidRPr="0050767D">
        <w:rPr>
          <w:rFonts w:eastAsiaTheme="minorHAnsi"/>
          <w:b/>
          <w:lang w:eastAsia="en-US"/>
        </w:rPr>
        <w:t xml:space="preserve">1.2. Проверки </w:t>
      </w:r>
    </w:p>
    <w:p w14:paraId="26D997A3" w14:textId="77777777" w:rsidR="003E14CD" w:rsidRPr="0050767D" w:rsidRDefault="003E14CD" w:rsidP="003E14CD">
      <w:pPr>
        <w:tabs>
          <w:tab w:val="left" w:pos="12825"/>
        </w:tabs>
        <w:spacing w:after="120"/>
        <w:ind w:firstLine="709"/>
        <w:jc w:val="both"/>
        <w:rPr>
          <w:kern w:val="28"/>
          <w:lang w:eastAsia="en-US"/>
        </w:rPr>
      </w:pPr>
      <w:r w:rsidRPr="0050767D">
        <w:rPr>
          <w:kern w:val="28"/>
          <w:lang w:eastAsia="en-US"/>
        </w:rPr>
        <w:t>В рамките на контролната дейност на НАП се извършват няколко основни вида проверки, специфични от гледна точка на повода, целите и резултатите от извършването им:</w:t>
      </w:r>
    </w:p>
    <w:p w14:paraId="049B06EF" w14:textId="77777777" w:rsidR="003E14CD" w:rsidRPr="0050767D" w:rsidRDefault="003E14CD" w:rsidP="000A3636">
      <w:pPr>
        <w:pStyle w:val="ListParagraph"/>
        <w:numPr>
          <w:ilvl w:val="0"/>
          <w:numId w:val="40"/>
        </w:numPr>
        <w:spacing w:after="120"/>
        <w:ind w:firstLine="709"/>
        <w:jc w:val="both"/>
        <w:rPr>
          <w:rFonts w:eastAsia="Calibri"/>
          <w:lang w:eastAsia="en-US"/>
        </w:rPr>
      </w:pPr>
      <w:r w:rsidRPr="0050767D">
        <w:rPr>
          <w:rFonts w:eastAsia="Calibri"/>
          <w:lang w:eastAsia="en-US"/>
        </w:rPr>
        <w:t>Проверки по прихващане и възстановяване (ППВ) се извършват при наличие на декларирани за възстановяване данъци или осигурителни вноски, както и други недължимо внесени суми;</w:t>
      </w:r>
    </w:p>
    <w:p w14:paraId="4A65B393" w14:textId="77777777" w:rsidR="003E14CD" w:rsidRPr="0050767D" w:rsidRDefault="003E14CD" w:rsidP="00BD39E0">
      <w:pPr>
        <w:pStyle w:val="ListParagraph"/>
        <w:numPr>
          <w:ilvl w:val="0"/>
          <w:numId w:val="40"/>
        </w:numPr>
        <w:spacing w:after="120"/>
        <w:ind w:firstLine="709"/>
        <w:jc w:val="both"/>
        <w:rPr>
          <w:rFonts w:eastAsia="Calibri"/>
          <w:lang w:eastAsia="en-US"/>
        </w:rPr>
      </w:pPr>
      <w:r w:rsidRPr="0050767D">
        <w:rPr>
          <w:rFonts w:eastAsia="Calibri"/>
          <w:lang w:eastAsia="en-US"/>
        </w:rPr>
        <w:t>Насрещните проверки и проверките по делегация имат за цел да съберат годни доказателства и доказателствени средства, необходими за други проверки или ревизии;</w:t>
      </w:r>
    </w:p>
    <w:p w14:paraId="3AA6E372" w14:textId="77777777" w:rsidR="003E14CD" w:rsidRPr="0050767D" w:rsidRDefault="003E14CD" w:rsidP="00BD39E0">
      <w:pPr>
        <w:pStyle w:val="ListParagraph"/>
        <w:numPr>
          <w:ilvl w:val="0"/>
          <w:numId w:val="40"/>
        </w:numPr>
        <w:spacing w:after="120"/>
        <w:ind w:firstLine="709"/>
        <w:contextualSpacing w:val="0"/>
        <w:jc w:val="both"/>
        <w:rPr>
          <w:rFonts w:eastAsia="Calibri"/>
          <w:lang w:eastAsia="en-US"/>
        </w:rPr>
      </w:pPr>
      <w:r w:rsidRPr="0050767D">
        <w:rPr>
          <w:rFonts w:eastAsia="Calibri"/>
          <w:lang w:eastAsia="en-US"/>
        </w:rPr>
        <w:t xml:space="preserve">Проверките за установяване на факти и обстоятелства </w:t>
      </w:r>
      <w:r w:rsidRPr="0050767D">
        <w:t>(ПУФО)</w:t>
      </w:r>
      <w:r w:rsidRPr="0050767D">
        <w:rPr>
          <w:rFonts w:eastAsia="Calibri"/>
          <w:lang w:eastAsia="en-US"/>
        </w:rPr>
        <w:t>, в т.ч. и проверки за съпоставка на имущество и доходи на физически лица, са от значение за установяване на задълженията на лицата, както и за спазване на законодателството.</w:t>
      </w:r>
    </w:p>
    <w:p w14:paraId="2F706C79" w14:textId="77777777" w:rsidR="003E14CD" w:rsidRPr="0050767D" w:rsidRDefault="003E14CD" w:rsidP="003E14CD">
      <w:pPr>
        <w:spacing w:after="120"/>
        <w:jc w:val="center"/>
        <w:rPr>
          <w:rFonts w:eastAsia="Calibri"/>
          <w:lang w:eastAsia="en-US"/>
        </w:rPr>
      </w:pPr>
      <w:r w:rsidRPr="0050767D">
        <w:rPr>
          <w:b/>
          <w:lang w:eastAsia="en-US"/>
        </w:rPr>
        <w:t>Извършени проверки по видове за периода 202</w:t>
      </w:r>
      <w:r w:rsidRPr="004F15D1">
        <w:rPr>
          <w:b/>
          <w:lang w:eastAsia="en-US"/>
        </w:rPr>
        <w:t>1</w:t>
      </w:r>
      <w:r w:rsidRPr="0050767D">
        <w:rPr>
          <w:b/>
          <w:lang w:eastAsia="en-US"/>
        </w:rPr>
        <w:t>-202</w:t>
      </w:r>
      <w:r w:rsidRPr="004F15D1">
        <w:rPr>
          <w:b/>
          <w:lang w:eastAsia="en-US"/>
        </w:rPr>
        <w:t>2</w:t>
      </w:r>
      <w:r w:rsidRPr="0050767D">
        <w:rPr>
          <w:b/>
          <w:lang w:eastAsia="en-US"/>
        </w:rPr>
        <w:t xml:space="preserve"> г.</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63"/>
        <w:gridCol w:w="1115"/>
        <w:gridCol w:w="1031"/>
        <w:gridCol w:w="1056"/>
        <w:gridCol w:w="1693"/>
      </w:tblGrid>
      <w:tr w:rsidR="003E14CD" w:rsidRPr="0050767D" w14:paraId="7466E127" w14:textId="77777777" w:rsidTr="00591F00">
        <w:trPr>
          <w:trHeight w:val="455"/>
          <w:jc w:val="center"/>
        </w:trPr>
        <w:tc>
          <w:tcPr>
            <w:tcW w:w="4663" w:type="dxa"/>
            <w:shd w:val="clear" w:color="auto" w:fill="004A99"/>
            <w:vAlign w:val="center"/>
            <w:hideMark/>
          </w:tcPr>
          <w:p w14:paraId="06FE328E" w14:textId="77777777" w:rsidR="003E14CD" w:rsidRPr="00E66F80" w:rsidRDefault="003E14CD" w:rsidP="00591F00">
            <w:pPr>
              <w:spacing w:after="120"/>
              <w:jc w:val="center"/>
              <w:rPr>
                <w:b/>
                <w:bCs/>
                <w:color w:val="FFFFFF" w:themeColor="background1"/>
              </w:rPr>
            </w:pPr>
            <w:r w:rsidRPr="00E66F80">
              <w:rPr>
                <w:b/>
                <w:bCs/>
                <w:color w:val="FFFFFF" w:themeColor="background1"/>
              </w:rPr>
              <w:t>Видове проверки</w:t>
            </w:r>
          </w:p>
        </w:tc>
        <w:tc>
          <w:tcPr>
            <w:tcW w:w="1115" w:type="dxa"/>
            <w:shd w:val="clear" w:color="auto" w:fill="004A99"/>
            <w:vAlign w:val="center"/>
            <w:hideMark/>
          </w:tcPr>
          <w:p w14:paraId="60E627D5" w14:textId="77777777" w:rsidR="003E14CD" w:rsidRPr="00E66F80" w:rsidRDefault="003E14CD" w:rsidP="00591F00">
            <w:pPr>
              <w:spacing w:after="120"/>
              <w:jc w:val="center"/>
              <w:rPr>
                <w:b/>
                <w:bCs/>
                <w:color w:val="FFFFFF" w:themeColor="background1"/>
              </w:rPr>
            </w:pPr>
            <w:r w:rsidRPr="00E66F80">
              <w:rPr>
                <w:b/>
                <w:bCs/>
                <w:color w:val="FFFFFF" w:themeColor="background1"/>
              </w:rPr>
              <w:t>Мерна единица</w:t>
            </w:r>
          </w:p>
        </w:tc>
        <w:tc>
          <w:tcPr>
            <w:tcW w:w="1031" w:type="dxa"/>
            <w:shd w:val="clear" w:color="auto" w:fill="004A99"/>
            <w:vAlign w:val="center"/>
            <w:hideMark/>
          </w:tcPr>
          <w:p w14:paraId="789303B2" w14:textId="77777777" w:rsidR="003E14CD" w:rsidRPr="00E66F80" w:rsidRDefault="003E14CD" w:rsidP="00591F00">
            <w:pPr>
              <w:spacing w:after="120"/>
              <w:jc w:val="center"/>
              <w:rPr>
                <w:b/>
                <w:bCs/>
                <w:color w:val="FFFFFF" w:themeColor="background1"/>
              </w:rPr>
            </w:pPr>
            <w:r w:rsidRPr="00E66F80">
              <w:rPr>
                <w:b/>
                <w:bCs/>
                <w:color w:val="FFFFFF" w:themeColor="background1"/>
              </w:rPr>
              <w:t>Отчет 2021 г.</w:t>
            </w:r>
          </w:p>
        </w:tc>
        <w:tc>
          <w:tcPr>
            <w:tcW w:w="1056" w:type="dxa"/>
            <w:shd w:val="clear" w:color="auto" w:fill="004A99"/>
            <w:vAlign w:val="center"/>
            <w:hideMark/>
          </w:tcPr>
          <w:p w14:paraId="3B01C464" w14:textId="77777777" w:rsidR="003E14CD" w:rsidRPr="00E66F80" w:rsidRDefault="003E14CD" w:rsidP="00591F00">
            <w:pPr>
              <w:spacing w:after="120"/>
              <w:jc w:val="center"/>
              <w:rPr>
                <w:b/>
                <w:bCs/>
                <w:color w:val="FFFFFF" w:themeColor="background1"/>
              </w:rPr>
            </w:pPr>
            <w:r w:rsidRPr="00E66F80">
              <w:rPr>
                <w:b/>
                <w:bCs/>
                <w:color w:val="FFFFFF" w:themeColor="background1"/>
              </w:rPr>
              <w:t>Отчет 2022 г.</w:t>
            </w:r>
          </w:p>
        </w:tc>
        <w:tc>
          <w:tcPr>
            <w:tcW w:w="1693" w:type="dxa"/>
            <w:shd w:val="clear" w:color="auto" w:fill="004A99"/>
            <w:vAlign w:val="center"/>
            <w:hideMark/>
          </w:tcPr>
          <w:p w14:paraId="4DD80C90" w14:textId="77777777" w:rsidR="003E14CD" w:rsidRPr="00E66F80" w:rsidRDefault="003E14CD" w:rsidP="00591F00">
            <w:pPr>
              <w:spacing w:after="120"/>
              <w:jc w:val="center"/>
              <w:rPr>
                <w:b/>
                <w:bCs/>
                <w:color w:val="FFFFFF" w:themeColor="background1"/>
              </w:rPr>
            </w:pPr>
            <w:r w:rsidRPr="00E66F80">
              <w:rPr>
                <w:b/>
                <w:bCs/>
                <w:color w:val="FFFFFF" w:themeColor="background1"/>
              </w:rPr>
              <w:t>Изменение 2022/ 2021 г.</w:t>
            </w:r>
          </w:p>
        </w:tc>
      </w:tr>
      <w:tr w:rsidR="003E14CD" w:rsidRPr="0050767D" w14:paraId="48E2BCD7" w14:textId="77777777" w:rsidTr="00591F00">
        <w:trPr>
          <w:trHeight w:val="132"/>
          <w:jc w:val="center"/>
        </w:trPr>
        <w:tc>
          <w:tcPr>
            <w:tcW w:w="4663" w:type="dxa"/>
            <w:shd w:val="clear" w:color="auto" w:fill="auto"/>
            <w:vAlign w:val="center"/>
            <w:hideMark/>
          </w:tcPr>
          <w:p w14:paraId="29D88423" w14:textId="77777777" w:rsidR="003E14CD" w:rsidRPr="00E66F80" w:rsidRDefault="003E14CD" w:rsidP="00591F00">
            <w:pPr>
              <w:rPr>
                <w:sz w:val="22"/>
                <w:szCs w:val="22"/>
              </w:rPr>
            </w:pPr>
            <w:r w:rsidRPr="00E66F80">
              <w:rPr>
                <w:sz w:val="22"/>
                <w:szCs w:val="22"/>
              </w:rPr>
              <w:t>Общо извършени проверки, в т.ч. :</w:t>
            </w:r>
          </w:p>
        </w:tc>
        <w:tc>
          <w:tcPr>
            <w:tcW w:w="1115" w:type="dxa"/>
            <w:shd w:val="clear" w:color="auto" w:fill="auto"/>
            <w:vAlign w:val="center"/>
            <w:hideMark/>
          </w:tcPr>
          <w:p w14:paraId="72520D00" w14:textId="77777777" w:rsidR="003E14CD" w:rsidRPr="00E66F80" w:rsidRDefault="003E14CD" w:rsidP="00591F00">
            <w:pPr>
              <w:jc w:val="center"/>
              <w:rPr>
                <w:sz w:val="22"/>
                <w:szCs w:val="22"/>
              </w:rPr>
            </w:pPr>
            <w:r w:rsidRPr="00E66F80">
              <w:rPr>
                <w:sz w:val="22"/>
                <w:szCs w:val="22"/>
              </w:rPr>
              <w:t>брой</w:t>
            </w:r>
          </w:p>
        </w:tc>
        <w:tc>
          <w:tcPr>
            <w:tcW w:w="1031" w:type="dxa"/>
            <w:shd w:val="clear" w:color="auto" w:fill="auto"/>
            <w:vAlign w:val="center"/>
          </w:tcPr>
          <w:p w14:paraId="50C9B47B" w14:textId="77777777" w:rsidR="003E14CD" w:rsidRPr="00E66F80" w:rsidRDefault="003E14CD" w:rsidP="00591F00">
            <w:pPr>
              <w:jc w:val="right"/>
              <w:rPr>
                <w:sz w:val="22"/>
                <w:szCs w:val="22"/>
              </w:rPr>
            </w:pPr>
            <w:r w:rsidRPr="00E66F80">
              <w:rPr>
                <w:sz w:val="22"/>
                <w:szCs w:val="22"/>
              </w:rPr>
              <w:t>239 221</w:t>
            </w:r>
          </w:p>
        </w:tc>
        <w:tc>
          <w:tcPr>
            <w:tcW w:w="1056" w:type="dxa"/>
            <w:shd w:val="clear" w:color="auto" w:fill="auto"/>
            <w:vAlign w:val="center"/>
          </w:tcPr>
          <w:p w14:paraId="651DB9B5" w14:textId="77777777" w:rsidR="003E14CD" w:rsidRPr="00E66F80" w:rsidRDefault="003E14CD" w:rsidP="00591F00">
            <w:pPr>
              <w:jc w:val="right"/>
              <w:rPr>
                <w:sz w:val="22"/>
                <w:szCs w:val="22"/>
              </w:rPr>
            </w:pPr>
            <w:r w:rsidRPr="00E66F80">
              <w:rPr>
                <w:sz w:val="22"/>
                <w:szCs w:val="22"/>
              </w:rPr>
              <w:t>231 321</w:t>
            </w:r>
          </w:p>
        </w:tc>
        <w:tc>
          <w:tcPr>
            <w:tcW w:w="1693" w:type="dxa"/>
            <w:shd w:val="clear" w:color="auto" w:fill="auto"/>
            <w:vAlign w:val="center"/>
          </w:tcPr>
          <w:p w14:paraId="406A4B97" w14:textId="77777777" w:rsidR="003E14CD" w:rsidRPr="00E66F80" w:rsidRDefault="003E14CD" w:rsidP="00591F00">
            <w:pPr>
              <w:jc w:val="right"/>
              <w:rPr>
                <w:sz w:val="22"/>
                <w:szCs w:val="22"/>
              </w:rPr>
            </w:pPr>
            <w:r w:rsidRPr="00E66F80">
              <w:rPr>
                <w:sz w:val="22"/>
                <w:szCs w:val="22"/>
              </w:rPr>
              <w:t xml:space="preserve"> -3%</w:t>
            </w:r>
          </w:p>
        </w:tc>
      </w:tr>
      <w:tr w:rsidR="003E14CD" w:rsidRPr="0050767D" w14:paraId="03B9511F" w14:textId="77777777" w:rsidTr="00591F00">
        <w:trPr>
          <w:trHeight w:val="167"/>
          <w:jc w:val="center"/>
        </w:trPr>
        <w:tc>
          <w:tcPr>
            <w:tcW w:w="4663" w:type="dxa"/>
            <w:shd w:val="clear" w:color="auto" w:fill="auto"/>
            <w:vAlign w:val="center"/>
            <w:hideMark/>
          </w:tcPr>
          <w:p w14:paraId="3D736DE8" w14:textId="77777777" w:rsidR="003E14CD" w:rsidRPr="00E66F80" w:rsidRDefault="003E14CD" w:rsidP="00591F00">
            <w:pPr>
              <w:rPr>
                <w:sz w:val="22"/>
                <w:szCs w:val="22"/>
              </w:rPr>
            </w:pPr>
            <w:r w:rsidRPr="00E66F80">
              <w:rPr>
                <w:sz w:val="22"/>
                <w:szCs w:val="22"/>
              </w:rPr>
              <w:t>Проверки за прихващане и възстановяване (ППВ)</w:t>
            </w:r>
          </w:p>
        </w:tc>
        <w:tc>
          <w:tcPr>
            <w:tcW w:w="1115" w:type="dxa"/>
            <w:shd w:val="clear" w:color="auto" w:fill="auto"/>
            <w:vAlign w:val="center"/>
            <w:hideMark/>
          </w:tcPr>
          <w:p w14:paraId="104C230B" w14:textId="77777777" w:rsidR="003E14CD" w:rsidRPr="00E66F80" w:rsidRDefault="003E14CD" w:rsidP="00591F00">
            <w:pPr>
              <w:jc w:val="center"/>
              <w:rPr>
                <w:sz w:val="22"/>
                <w:szCs w:val="22"/>
              </w:rPr>
            </w:pPr>
            <w:r w:rsidRPr="00E66F80">
              <w:rPr>
                <w:sz w:val="22"/>
                <w:szCs w:val="22"/>
              </w:rPr>
              <w:t>брой</w:t>
            </w:r>
          </w:p>
        </w:tc>
        <w:tc>
          <w:tcPr>
            <w:tcW w:w="1031" w:type="dxa"/>
            <w:shd w:val="clear" w:color="auto" w:fill="auto"/>
            <w:vAlign w:val="center"/>
          </w:tcPr>
          <w:p w14:paraId="53E91498" w14:textId="77777777" w:rsidR="003E14CD" w:rsidRPr="00E66F80" w:rsidRDefault="003E14CD" w:rsidP="00591F00">
            <w:pPr>
              <w:jc w:val="right"/>
              <w:rPr>
                <w:sz w:val="22"/>
                <w:szCs w:val="22"/>
              </w:rPr>
            </w:pPr>
            <w:r w:rsidRPr="00E66F80">
              <w:rPr>
                <w:sz w:val="22"/>
                <w:szCs w:val="22"/>
              </w:rPr>
              <w:t>148 961</w:t>
            </w:r>
          </w:p>
        </w:tc>
        <w:tc>
          <w:tcPr>
            <w:tcW w:w="1056" w:type="dxa"/>
            <w:shd w:val="clear" w:color="auto" w:fill="auto"/>
            <w:vAlign w:val="center"/>
          </w:tcPr>
          <w:p w14:paraId="2FC7DC84" w14:textId="77777777" w:rsidR="003E14CD" w:rsidRPr="00E66F80" w:rsidRDefault="003E14CD" w:rsidP="00591F00">
            <w:pPr>
              <w:jc w:val="right"/>
              <w:rPr>
                <w:sz w:val="22"/>
                <w:szCs w:val="22"/>
              </w:rPr>
            </w:pPr>
            <w:r w:rsidRPr="00E66F80">
              <w:rPr>
                <w:sz w:val="22"/>
                <w:szCs w:val="22"/>
              </w:rPr>
              <w:t>154 468</w:t>
            </w:r>
          </w:p>
        </w:tc>
        <w:tc>
          <w:tcPr>
            <w:tcW w:w="1693" w:type="dxa"/>
            <w:shd w:val="clear" w:color="auto" w:fill="auto"/>
            <w:vAlign w:val="center"/>
          </w:tcPr>
          <w:p w14:paraId="216390DE" w14:textId="77777777" w:rsidR="003E14CD" w:rsidRPr="00E66F80" w:rsidRDefault="003E14CD" w:rsidP="00591F00">
            <w:pPr>
              <w:jc w:val="right"/>
              <w:rPr>
                <w:sz w:val="22"/>
                <w:szCs w:val="22"/>
              </w:rPr>
            </w:pPr>
            <w:r w:rsidRPr="00E66F80">
              <w:rPr>
                <w:sz w:val="22"/>
                <w:szCs w:val="22"/>
              </w:rPr>
              <w:t>4%</w:t>
            </w:r>
          </w:p>
        </w:tc>
      </w:tr>
      <w:tr w:rsidR="003E14CD" w:rsidRPr="0050767D" w14:paraId="412B761C" w14:textId="77777777" w:rsidTr="00591F00">
        <w:trPr>
          <w:trHeight w:val="311"/>
          <w:jc w:val="center"/>
        </w:trPr>
        <w:tc>
          <w:tcPr>
            <w:tcW w:w="4663" w:type="dxa"/>
            <w:shd w:val="clear" w:color="auto" w:fill="auto"/>
            <w:vAlign w:val="center"/>
            <w:hideMark/>
          </w:tcPr>
          <w:p w14:paraId="7769B5C6" w14:textId="77777777" w:rsidR="003E14CD" w:rsidRPr="00E66F80" w:rsidRDefault="003E14CD" w:rsidP="00591F00">
            <w:pPr>
              <w:rPr>
                <w:sz w:val="22"/>
                <w:szCs w:val="22"/>
              </w:rPr>
            </w:pPr>
            <w:r w:rsidRPr="00E66F80">
              <w:rPr>
                <w:sz w:val="22"/>
                <w:szCs w:val="22"/>
              </w:rPr>
              <w:t>Проверки за установяване на факти и обстоятелства (ПУФО), в т.ч. в обекти</w:t>
            </w:r>
          </w:p>
        </w:tc>
        <w:tc>
          <w:tcPr>
            <w:tcW w:w="1115" w:type="dxa"/>
            <w:shd w:val="clear" w:color="auto" w:fill="auto"/>
            <w:vAlign w:val="center"/>
            <w:hideMark/>
          </w:tcPr>
          <w:p w14:paraId="2D6F70E1" w14:textId="77777777" w:rsidR="003E14CD" w:rsidRPr="00E66F80" w:rsidRDefault="003E14CD" w:rsidP="00591F00">
            <w:pPr>
              <w:jc w:val="center"/>
              <w:rPr>
                <w:sz w:val="22"/>
                <w:szCs w:val="22"/>
              </w:rPr>
            </w:pPr>
            <w:r w:rsidRPr="00E66F80">
              <w:rPr>
                <w:sz w:val="22"/>
                <w:szCs w:val="22"/>
              </w:rPr>
              <w:t>брой</w:t>
            </w:r>
          </w:p>
        </w:tc>
        <w:tc>
          <w:tcPr>
            <w:tcW w:w="1031" w:type="dxa"/>
            <w:shd w:val="clear" w:color="auto" w:fill="auto"/>
            <w:vAlign w:val="center"/>
          </w:tcPr>
          <w:p w14:paraId="274A3CA2" w14:textId="77777777" w:rsidR="003E14CD" w:rsidRPr="00E66F80" w:rsidRDefault="003E14CD" w:rsidP="00591F00">
            <w:pPr>
              <w:jc w:val="right"/>
              <w:rPr>
                <w:sz w:val="22"/>
                <w:szCs w:val="22"/>
              </w:rPr>
            </w:pPr>
            <w:r w:rsidRPr="00E66F80">
              <w:rPr>
                <w:sz w:val="22"/>
                <w:szCs w:val="22"/>
              </w:rPr>
              <w:t>41 336</w:t>
            </w:r>
          </w:p>
        </w:tc>
        <w:tc>
          <w:tcPr>
            <w:tcW w:w="1056" w:type="dxa"/>
            <w:shd w:val="clear" w:color="auto" w:fill="auto"/>
            <w:vAlign w:val="center"/>
          </w:tcPr>
          <w:p w14:paraId="6604E4F9" w14:textId="77777777" w:rsidR="003E14CD" w:rsidRPr="00E66F80" w:rsidRDefault="003E14CD" w:rsidP="00591F00">
            <w:pPr>
              <w:jc w:val="right"/>
              <w:rPr>
                <w:sz w:val="22"/>
                <w:szCs w:val="22"/>
              </w:rPr>
            </w:pPr>
            <w:r w:rsidRPr="00E66F80">
              <w:rPr>
                <w:sz w:val="22"/>
                <w:szCs w:val="22"/>
              </w:rPr>
              <w:t>37 647</w:t>
            </w:r>
          </w:p>
        </w:tc>
        <w:tc>
          <w:tcPr>
            <w:tcW w:w="1693" w:type="dxa"/>
            <w:shd w:val="clear" w:color="auto" w:fill="auto"/>
            <w:vAlign w:val="center"/>
          </w:tcPr>
          <w:p w14:paraId="64D1014B" w14:textId="77777777" w:rsidR="003E14CD" w:rsidRPr="00E66F80" w:rsidRDefault="003E14CD" w:rsidP="00591F00">
            <w:pPr>
              <w:jc w:val="right"/>
              <w:rPr>
                <w:sz w:val="22"/>
                <w:szCs w:val="22"/>
              </w:rPr>
            </w:pPr>
            <w:r w:rsidRPr="00E66F80">
              <w:rPr>
                <w:sz w:val="22"/>
                <w:szCs w:val="22"/>
              </w:rPr>
              <w:t>-9%</w:t>
            </w:r>
          </w:p>
        </w:tc>
      </w:tr>
      <w:tr w:rsidR="003E14CD" w:rsidRPr="0050767D" w14:paraId="2A018291" w14:textId="77777777" w:rsidTr="00591F00">
        <w:trPr>
          <w:trHeight w:val="56"/>
          <w:jc w:val="center"/>
        </w:trPr>
        <w:tc>
          <w:tcPr>
            <w:tcW w:w="4663" w:type="dxa"/>
            <w:shd w:val="clear" w:color="auto" w:fill="auto"/>
            <w:vAlign w:val="center"/>
            <w:hideMark/>
          </w:tcPr>
          <w:p w14:paraId="3B5EDE2C" w14:textId="77777777" w:rsidR="003E14CD" w:rsidRPr="00E66F80" w:rsidRDefault="003E14CD" w:rsidP="00591F00">
            <w:pPr>
              <w:rPr>
                <w:sz w:val="22"/>
                <w:szCs w:val="22"/>
              </w:rPr>
            </w:pPr>
            <w:r w:rsidRPr="00E66F80">
              <w:rPr>
                <w:sz w:val="22"/>
                <w:szCs w:val="22"/>
              </w:rPr>
              <w:t>Насрещни проверки и проверки по делегация</w:t>
            </w:r>
          </w:p>
        </w:tc>
        <w:tc>
          <w:tcPr>
            <w:tcW w:w="1115" w:type="dxa"/>
            <w:shd w:val="clear" w:color="auto" w:fill="auto"/>
            <w:vAlign w:val="center"/>
            <w:hideMark/>
          </w:tcPr>
          <w:p w14:paraId="417E1B32" w14:textId="77777777" w:rsidR="003E14CD" w:rsidRPr="00E66F80" w:rsidRDefault="003E14CD" w:rsidP="00591F00">
            <w:pPr>
              <w:jc w:val="center"/>
              <w:rPr>
                <w:sz w:val="22"/>
                <w:szCs w:val="22"/>
              </w:rPr>
            </w:pPr>
            <w:r w:rsidRPr="00E66F80">
              <w:rPr>
                <w:sz w:val="22"/>
                <w:szCs w:val="22"/>
              </w:rPr>
              <w:t>брой</w:t>
            </w:r>
          </w:p>
        </w:tc>
        <w:tc>
          <w:tcPr>
            <w:tcW w:w="1031" w:type="dxa"/>
            <w:shd w:val="clear" w:color="auto" w:fill="auto"/>
            <w:vAlign w:val="center"/>
          </w:tcPr>
          <w:p w14:paraId="1DE62582" w14:textId="77777777" w:rsidR="003E14CD" w:rsidRPr="00E66F80" w:rsidRDefault="003E14CD" w:rsidP="00591F00">
            <w:pPr>
              <w:jc w:val="right"/>
              <w:rPr>
                <w:sz w:val="22"/>
                <w:szCs w:val="22"/>
              </w:rPr>
            </w:pPr>
            <w:r w:rsidRPr="00E66F80">
              <w:rPr>
                <w:sz w:val="22"/>
                <w:szCs w:val="22"/>
              </w:rPr>
              <w:t>48 206</w:t>
            </w:r>
          </w:p>
        </w:tc>
        <w:tc>
          <w:tcPr>
            <w:tcW w:w="1056" w:type="dxa"/>
            <w:shd w:val="clear" w:color="auto" w:fill="auto"/>
            <w:vAlign w:val="center"/>
          </w:tcPr>
          <w:p w14:paraId="2139A5A0" w14:textId="77777777" w:rsidR="003E14CD" w:rsidRPr="00E66F80" w:rsidRDefault="003E14CD" w:rsidP="00591F00">
            <w:pPr>
              <w:jc w:val="right"/>
              <w:rPr>
                <w:sz w:val="22"/>
                <w:szCs w:val="22"/>
              </w:rPr>
            </w:pPr>
            <w:r w:rsidRPr="00E66F80">
              <w:rPr>
                <w:sz w:val="22"/>
                <w:szCs w:val="22"/>
              </w:rPr>
              <w:t>38 498</w:t>
            </w:r>
          </w:p>
        </w:tc>
        <w:tc>
          <w:tcPr>
            <w:tcW w:w="1693" w:type="dxa"/>
            <w:shd w:val="clear" w:color="auto" w:fill="auto"/>
            <w:vAlign w:val="center"/>
          </w:tcPr>
          <w:p w14:paraId="3B93A3D9" w14:textId="77777777" w:rsidR="003E14CD" w:rsidRPr="00E66F80" w:rsidRDefault="003E14CD" w:rsidP="00591F00">
            <w:pPr>
              <w:jc w:val="right"/>
              <w:rPr>
                <w:sz w:val="22"/>
                <w:szCs w:val="22"/>
              </w:rPr>
            </w:pPr>
            <w:r w:rsidRPr="00E66F80">
              <w:rPr>
                <w:sz w:val="22"/>
                <w:szCs w:val="22"/>
              </w:rPr>
              <w:t>-20%</w:t>
            </w:r>
          </w:p>
        </w:tc>
      </w:tr>
      <w:tr w:rsidR="003E14CD" w:rsidRPr="0050767D" w14:paraId="4846FEA8" w14:textId="77777777" w:rsidTr="00591F00">
        <w:trPr>
          <w:trHeight w:val="411"/>
          <w:jc w:val="center"/>
        </w:trPr>
        <w:tc>
          <w:tcPr>
            <w:tcW w:w="4663" w:type="dxa"/>
            <w:shd w:val="clear" w:color="auto" w:fill="auto"/>
            <w:vAlign w:val="center"/>
            <w:hideMark/>
          </w:tcPr>
          <w:p w14:paraId="16FABA23" w14:textId="77777777" w:rsidR="003E14CD" w:rsidRPr="00E66F80" w:rsidRDefault="003E14CD" w:rsidP="00591F00">
            <w:pPr>
              <w:rPr>
                <w:sz w:val="22"/>
                <w:szCs w:val="22"/>
              </w:rPr>
            </w:pPr>
            <w:r w:rsidRPr="00E66F80">
              <w:rPr>
                <w:sz w:val="22"/>
                <w:szCs w:val="22"/>
              </w:rPr>
              <w:t>Проверки за съпоставка на имущество и доходи на физически лица (ПСИДФЛ)</w:t>
            </w:r>
          </w:p>
        </w:tc>
        <w:tc>
          <w:tcPr>
            <w:tcW w:w="1115" w:type="dxa"/>
            <w:shd w:val="clear" w:color="auto" w:fill="auto"/>
            <w:vAlign w:val="center"/>
            <w:hideMark/>
          </w:tcPr>
          <w:p w14:paraId="2BC392CE" w14:textId="77777777" w:rsidR="003E14CD" w:rsidRPr="00E66F80" w:rsidRDefault="003E14CD" w:rsidP="00591F00">
            <w:pPr>
              <w:jc w:val="center"/>
              <w:rPr>
                <w:sz w:val="22"/>
                <w:szCs w:val="22"/>
              </w:rPr>
            </w:pPr>
            <w:r w:rsidRPr="00E66F80">
              <w:rPr>
                <w:sz w:val="22"/>
                <w:szCs w:val="22"/>
              </w:rPr>
              <w:t>брой</w:t>
            </w:r>
          </w:p>
        </w:tc>
        <w:tc>
          <w:tcPr>
            <w:tcW w:w="1031" w:type="dxa"/>
            <w:shd w:val="clear" w:color="auto" w:fill="auto"/>
            <w:vAlign w:val="center"/>
          </w:tcPr>
          <w:p w14:paraId="08E3A442" w14:textId="77777777" w:rsidR="003E14CD" w:rsidRPr="00E66F80" w:rsidRDefault="003E14CD" w:rsidP="00591F00">
            <w:pPr>
              <w:jc w:val="right"/>
              <w:rPr>
                <w:sz w:val="22"/>
                <w:szCs w:val="22"/>
              </w:rPr>
            </w:pPr>
            <w:r w:rsidRPr="00E66F80">
              <w:rPr>
                <w:sz w:val="22"/>
                <w:szCs w:val="22"/>
              </w:rPr>
              <w:t>718</w:t>
            </w:r>
          </w:p>
        </w:tc>
        <w:tc>
          <w:tcPr>
            <w:tcW w:w="1056" w:type="dxa"/>
            <w:shd w:val="clear" w:color="auto" w:fill="auto"/>
            <w:vAlign w:val="center"/>
          </w:tcPr>
          <w:p w14:paraId="20212D07" w14:textId="77777777" w:rsidR="003E14CD" w:rsidRPr="00E66F80" w:rsidRDefault="003E14CD" w:rsidP="00591F00">
            <w:pPr>
              <w:jc w:val="right"/>
              <w:rPr>
                <w:sz w:val="22"/>
                <w:szCs w:val="22"/>
              </w:rPr>
            </w:pPr>
            <w:r w:rsidRPr="00E66F80">
              <w:rPr>
                <w:sz w:val="22"/>
                <w:szCs w:val="22"/>
              </w:rPr>
              <w:t>708</w:t>
            </w:r>
          </w:p>
        </w:tc>
        <w:tc>
          <w:tcPr>
            <w:tcW w:w="1693" w:type="dxa"/>
            <w:shd w:val="clear" w:color="auto" w:fill="auto"/>
            <w:vAlign w:val="center"/>
          </w:tcPr>
          <w:p w14:paraId="33C93019" w14:textId="77777777" w:rsidR="003E14CD" w:rsidRPr="00E66F80" w:rsidRDefault="003E14CD" w:rsidP="00591F00">
            <w:pPr>
              <w:jc w:val="right"/>
              <w:rPr>
                <w:sz w:val="22"/>
                <w:szCs w:val="22"/>
              </w:rPr>
            </w:pPr>
            <w:r w:rsidRPr="00E66F80">
              <w:rPr>
                <w:sz w:val="22"/>
                <w:szCs w:val="22"/>
              </w:rPr>
              <w:t>-1%</w:t>
            </w:r>
          </w:p>
        </w:tc>
      </w:tr>
      <w:tr w:rsidR="003E14CD" w:rsidRPr="0050767D" w14:paraId="4683D222" w14:textId="77777777" w:rsidTr="00591F00">
        <w:trPr>
          <w:trHeight w:val="108"/>
          <w:jc w:val="center"/>
        </w:trPr>
        <w:tc>
          <w:tcPr>
            <w:tcW w:w="4663" w:type="dxa"/>
            <w:shd w:val="clear" w:color="auto" w:fill="auto"/>
            <w:vAlign w:val="center"/>
            <w:hideMark/>
          </w:tcPr>
          <w:p w14:paraId="66A4491F" w14:textId="77777777" w:rsidR="003E14CD" w:rsidRPr="00E66F80" w:rsidRDefault="003E14CD" w:rsidP="00591F00">
            <w:pPr>
              <w:rPr>
                <w:sz w:val="22"/>
                <w:szCs w:val="22"/>
              </w:rPr>
            </w:pPr>
            <w:r w:rsidRPr="00E66F80">
              <w:rPr>
                <w:sz w:val="22"/>
                <w:szCs w:val="22"/>
              </w:rPr>
              <w:t>Относителен дял на обжалваните АПВ</w:t>
            </w:r>
          </w:p>
        </w:tc>
        <w:tc>
          <w:tcPr>
            <w:tcW w:w="1115" w:type="dxa"/>
            <w:shd w:val="clear" w:color="auto" w:fill="auto"/>
            <w:vAlign w:val="center"/>
            <w:hideMark/>
          </w:tcPr>
          <w:p w14:paraId="47961F26" w14:textId="77777777" w:rsidR="003E14CD" w:rsidRPr="00E66F80" w:rsidRDefault="003E14CD" w:rsidP="00591F00">
            <w:pPr>
              <w:jc w:val="center"/>
              <w:rPr>
                <w:sz w:val="22"/>
                <w:szCs w:val="22"/>
              </w:rPr>
            </w:pPr>
            <w:r w:rsidRPr="00E66F80">
              <w:rPr>
                <w:sz w:val="22"/>
                <w:szCs w:val="22"/>
              </w:rPr>
              <w:t>%</w:t>
            </w:r>
          </w:p>
        </w:tc>
        <w:tc>
          <w:tcPr>
            <w:tcW w:w="1031" w:type="dxa"/>
            <w:shd w:val="clear" w:color="auto" w:fill="auto"/>
            <w:vAlign w:val="center"/>
          </w:tcPr>
          <w:p w14:paraId="6535DC6E" w14:textId="77777777" w:rsidR="003E14CD" w:rsidRPr="00E66F80" w:rsidRDefault="003E14CD" w:rsidP="00591F00">
            <w:pPr>
              <w:jc w:val="right"/>
              <w:rPr>
                <w:sz w:val="22"/>
                <w:szCs w:val="22"/>
              </w:rPr>
            </w:pPr>
            <w:r w:rsidRPr="00E66F80">
              <w:rPr>
                <w:sz w:val="22"/>
                <w:szCs w:val="22"/>
              </w:rPr>
              <w:t>0,1%</w:t>
            </w:r>
          </w:p>
        </w:tc>
        <w:tc>
          <w:tcPr>
            <w:tcW w:w="1056" w:type="dxa"/>
            <w:shd w:val="clear" w:color="auto" w:fill="auto"/>
            <w:vAlign w:val="center"/>
          </w:tcPr>
          <w:p w14:paraId="5E5649D1" w14:textId="77777777" w:rsidR="003E14CD" w:rsidRPr="00E66F80" w:rsidRDefault="003E14CD" w:rsidP="00591F00">
            <w:pPr>
              <w:jc w:val="right"/>
              <w:rPr>
                <w:sz w:val="22"/>
                <w:szCs w:val="22"/>
              </w:rPr>
            </w:pPr>
            <w:r w:rsidRPr="00E66F80">
              <w:rPr>
                <w:sz w:val="22"/>
                <w:szCs w:val="22"/>
              </w:rPr>
              <w:t>0,1%</w:t>
            </w:r>
          </w:p>
        </w:tc>
        <w:tc>
          <w:tcPr>
            <w:tcW w:w="1693" w:type="dxa"/>
            <w:shd w:val="clear" w:color="auto" w:fill="auto"/>
            <w:vAlign w:val="center"/>
          </w:tcPr>
          <w:p w14:paraId="2F5AB94F" w14:textId="77777777" w:rsidR="003E14CD" w:rsidRPr="00E66F80" w:rsidRDefault="003E14CD" w:rsidP="00591F00">
            <w:pPr>
              <w:jc w:val="right"/>
              <w:rPr>
                <w:sz w:val="22"/>
                <w:szCs w:val="22"/>
              </w:rPr>
            </w:pPr>
            <w:r w:rsidRPr="00E66F80">
              <w:rPr>
                <w:sz w:val="22"/>
                <w:szCs w:val="22"/>
              </w:rPr>
              <w:t>0%</w:t>
            </w:r>
          </w:p>
        </w:tc>
      </w:tr>
      <w:tr w:rsidR="003E14CD" w:rsidRPr="0050767D" w14:paraId="5A2E949B" w14:textId="77777777" w:rsidTr="00591F00">
        <w:trPr>
          <w:trHeight w:val="251"/>
          <w:jc w:val="center"/>
        </w:trPr>
        <w:tc>
          <w:tcPr>
            <w:tcW w:w="4663" w:type="dxa"/>
            <w:shd w:val="clear" w:color="auto" w:fill="auto"/>
            <w:vAlign w:val="center"/>
            <w:hideMark/>
          </w:tcPr>
          <w:p w14:paraId="4A21324D" w14:textId="77777777" w:rsidR="003E14CD" w:rsidRPr="00E66F80" w:rsidRDefault="003E14CD" w:rsidP="00591F00">
            <w:pPr>
              <w:rPr>
                <w:sz w:val="22"/>
                <w:szCs w:val="22"/>
              </w:rPr>
            </w:pPr>
            <w:r w:rsidRPr="00E66F80">
              <w:rPr>
                <w:sz w:val="22"/>
                <w:szCs w:val="22"/>
              </w:rPr>
              <w:t>Относителен дял на проверките по ППВ, приключили в първоначално определения срок</w:t>
            </w:r>
          </w:p>
        </w:tc>
        <w:tc>
          <w:tcPr>
            <w:tcW w:w="1115" w:type="dxa"/>
            <w:shd w:val="clear" w:color="auto" w:fill="auto"/>
            <w:vAlign w:val="center"/>
            <w:hideMark/>
          </w:tcPr>
          <w:p w14:paraId="7693868A" w14:textId="77777777" w:rsidR="003E14CD" w:rsidRPr="00E66F80" w:rsidRDefault="003E14CD" w:rsidP="00591F00">
            <w:pPr>
              <w:jc w:val="center"/>
              <w:rPr>
                <w:sz w:val="22"/>
                <w:szCs w:val="22"/>
              </w:rPr>
            </w:pPr>
            <w:r w:rsidRPr="00E66F80">
              <w:rPr>
                <w:sz w:val="22"/>
                <w:szCs w:val="22"/>
              </w:rPr>
              <w:t>%</w:t>
            </w:r>
          </w:p>
        </w:tc>
        <w:tc>
          <w:tcPr>
            <w:tcW w:w="1031" w:type="dxa"/>
            <w:shd w:val="clear" w:color="auto" w:fill="auto"/>
            <w:vAlign w:val="center"/>
          </w:tcPr>
          <w:p w14:paraId="149D62C8" w14:textId="77777777" w:rsidR="003E14CD" w:rsidRPr="00E66F80" w:rsidRDefault="003E14CD" w:rsidP="00591F00">
            <w:pPr>
              <w:jc w:val="right"/>
              <w:rPr>
                <w:sz w:val="22"/>
                <w:szCs w:val="22"/>
              </w:rPr>
            </w:pPr>
            <w:r w:rsidRPr="00E66F80">
              <w:rPr>
                <w:sz w:val="22"/>
                <w:szCs w:val="22"/>
              </w:rPr>
              <w:t>87%</w:t>
            </w:r>
          </w:p>
        </w:tc>
        <w:tc>
          <w:tcPr>
            <w:tcW w:w="1056" w:type="dxa"/>
            <w:shd w:val="clear" w:color="auto" w:fill="auto"/>
            <w:vAlign w:val="center"/>
          </w:tcPr>
          <w:p w14:paraId="74E355DD" w14:textId="77777777" w:rsidR="003E14CD" w:rsidRPr="00E66F80" w:rsidRDefault="003E14CD" w:rsidP="00591F00">
            <w:pPr>
              <w:jc w:val="right"/>
              <w:rPr>
                <w:sz w:val="22"/>
                <w:szCs w:val="22"/>
              </w:rPr>
            </w:pPr>
            <w:r w:rsidRPr="00E66F80">
              <w:rPr>
                <w:sz w:val="22"/>
                <w:szCs w:val="22"/>
              </w:rPr>
              <w:t>88%</w:t>
            </w:r>
          </w:p>
        </w:tc>
        <w:tc>
          <w:tcPr>
            <w:tcW w:w="1693" w:type="dxa"/>
            <w:shd w:val="clear" w:color="auto" w:fill="auto"/>
            <w:vAlign w:val="center"/>
          </w:tcPr>
          <w:p w14:paraId="5061FCDD" w14:textId="77777777" w:rsidR="003E14CD" w:rsidRPr="00E66F80" w:rsidRDefault="003E14CD" w:rsidP="00591F00">
            <w:pPr>
              <w:jc w:val="right"/>
              <w:rPr>
                <w:sz w:val="22"/>
                <w:szCs w:val="22"/>
              </w:rPr>
            </w:pPr>
            <w:r w:rsidRPr="00E66F80">
              <w:rPr>
                <w:sz w:val="22"/>
                <w:szCs w:val="22"/>
              </w:rPr>
              <w:t>1%</w:t>
            </w:r>
          </w:p>
        </w:tc>
      </w:tr>
      <w:tr w:rsidR="003E14CD" w:rsidRPr="0050767D" w14:paraId="302D115A" w14:textId="77777777" w:rsidTr="00591F00">
        <w:trPr>
          <w:trHeight w:val="213"/>
          <w:jc w:val="center"/>
        </w:trPr>
        <w:tc>
          <w:tcPr>
            <w:tcW w:w="4663" w:type="dxa"/>
            <w:shd w:val="clear" w:color="auto" w:fill="auto"/>
            <w:vAlign w:val="center"/>
            <w:hideMark/>
          </w:tcPr>
          <w:p w14:paraId="4807F4D8" w14:textId="77777777" w:rsidR="003E14CD" w:rsidRPr="00E66F80" w:rsidRDefault="003E14CD" w:rsidP="00591F00">
            <w:pPr>
              <w:rPr>
                <w:sz w:val="22"/>
                <w:szCs w:val="22"/>
              </w:rPr>
            </w:pPr>
            <w:r w:rsidRPr="00E66F80">
              <w:rPr>
                <w:sz w:val="22"/>
                <w:szCs w:val="22"/>
              </w:rPr>
              <w:t>Относителен дял на проверките без ППВ, приключили в първоначално определения срок</w:t>
            </w:r>
          </w:p>
        </w:tc>
        <w:tc>
          <w:tcPr>
            <w:tcW w:w="1115" w:type="dxa"/>
            <w:shd w:val="clear" w:color="auto" w:fill="auto"/>
            <w:vAlign w:val="center"/>
            <w:hideMark/>
          </w:tcPr>
          <w:p w14:paraId="7448E9F1" w14:textId="77777777" w:rsidR="003E14CD" w:rsidRPr="00E66F80" w:rsidRDefault="003E14CD" w:rsidP="00591F00">
            <w:pPr>
              <w:jc w:val="center"/>
              <w:rPr>
                <w:sz w:val="22"/>
                <w:szCs w:val="22"/>
              </w:rPr>
            </w:pPr>
            <w:r w:rsidRPr="00E66F80">
              <w:rPr>
                <w:sz w:val="22"/>
                <w:szCs w:val="22"/>
              </w:rPr>
              <w:t>%</w:t>
            </w:r>
          </w:p>
        </w:tc>
        <w:tc>
          <w:tcPr>
            <w:tcW w:w="1031" w:type="dxa"/>
            <w:shd w:val="clear" w:color="auto" w:fill="auto"/>
            <w:vAlign w:val="center"/>
          </w:tcPr>
          <w:p w14:paraId="2C43BCD6" w14:textId="77777777" w:rsidR="003E14CD" w:rsidRPr="00E66F80" w:rsidRDefault="003E14CD" w:rsidP="00591F00">
            <w:pPr>
              <w:jc w:val="right"/>
              <w:rPr>
                <w:sz w:val="22"/>
                <w:szCs w:val="22"/>
              </w:rPr>
            </w:pPr>
            <w:r w:rsidRPr="00E66F80">
              <w:rPr>
                <w:sz w:val="22"/>
                <w:szCs w:val="22"/>
              </w:rPr>
              <w:t>85%</w:t>
            </w:r>
          </w:p>
        </w:tc>
        <w:tc>
          <w:tcPr>
            <w:tcW w:w="1056" w:type="dxa"/>
            <w:shd w:val="clear" w:color="auto" w:fill="auto"/>
            <w:vAlign w:val="center"/>
          </w:tcPr>
          <w:p w14:paraId="3DB02201" w14:textId="77777777" w:rsidR="003E14CD" w:rsidRPr="00E66F80" w:rsidRDefault="003E14CD" w:rsidP="00591F00">
            <w:pPr>
              <w:jc w:val="right"/>
              <w:rPr>
                <w:sz w:val="22"/>
                <w:szCs w:val="22"/>
              </w:rPr>
            </w:pPr>
            <w:r w:rsidRPr="00E66F80">
              <w:rPr>
                <w:sz w:val="22"/>
                <w:szCs w:val="22"/>
              </w:rPr>
              <w:t>83%</w:t>
            </w:r>
          </w:p>
        </w:tc>
        <w:tc>
          <w:tcPr>
            <w:tcW w:w="1693" w:type="dxa"/>
            <w:shd w:val="clear" w:color="auto" w:fill="auto"/>
            <w:vAlign w:val="center"/>
            <w:hideMark/>
          </w:tcPr>
          <w:p w14:paraId="2915460C" w14:textId="77777777" w:rsidR="003E14CD" w:rsidRPr="00E66F80" w:rsidRDefault="003E14CD" w:rsidP="00591F00">
            <w:pPr>
              <w:jc w:val="right"/>
              <w:rPr>
                <w:sz w:val="22"/>
                <w:szCs w:val="22"/>
              </w:rPr>
            </w:pPr>
            <w:r w:rsidRPr="00E66F80">
              <w:rPr>
                <w:sz w:val="22"/>
                <w:szCs w:val="22"/>
              </w:rPr>
              <w:t>-2%</w:t>
            </w:r>
          </w:p>
        </w:tc>
      </w:tr>
    </w:tbl>
    <w:p w14:paraId="4BFF7F1D" w14:textId="0699F4F7" w:rsidR="003E14CD" w:rsidRPr="0050767D" w:rsidRDefault="00701E95" w:rsidP="00701E95">
      <w:pPr>
        <w:ind w:left="6372" w:firstLine="708"/>
        <w:jc w:val="both"/>
        <w:rPr>
          <w:rFonts w:eastAsia="Calibri"/>
          <w:lang w:eastAsia="en-US"/>
        </w:rPr>
      </w:pPr>
      <w:r>
        <w:rPr>
          <w:i/>
          <w:lang w:val="en-US" w:eastAsia="en-US"/>
        </w:rPr>
        <w:t xml:space="preserve">          </w:t>
      </w:r>
      <w:r w:rsidR="003E14CD" w:rsidRPr="0050767D">
        <w:rPr>
          <w:i/>
          <w:lang w:eastAsia="en-US"/>
        </w:rPr>
        <w:t>Източник: НАП</w:t>
      </w:r>
    </w:p>
    <w:p w14:paraId="23BC5813" w14:textId="77777777" w:rsidR="003E14CD" w:rsidRPr="00E66F80" w:rsidRDefault="003E14CD" w:rsidP="00701E95">
      <w:pPr>
        <w:ind w:right="-6" w:firstLine="709"/>
        <w:jc w:val="both"/>
        <w:rPr>
          <w:lang w:eastAsia="en-US"/>
        </w:rPr>
      </w:pPr>
      <w:r w:rsidRPr="00E66F80">
        <w:rPr>
          <w:lang w:eastAsia="en-US"/>
        </w:rPr>
        <w:t xml:space="preserve">Броят на всички извършени през 2022 г. проверки е намалял незначително спрямо 2021 г., но структурата на извършените проверки е много променена. Значително са намалели извършваните насрещни проверки, проверките по делегация и проверките за установяване на факти и обстоятелства. Ръст с 4,0 % бележат проверките по прихващане и възстановяване, като чрез процедурата за опростено възстановяване на ДДС са възстановени 602,3 млн. лв. в над 23 400 случая на деклариран ДДС за възстановяване (за сравнение през 2021 г. са възстановени над 606,5 млн. лв. в над 28 000 случая на деклариран ДДС за възстановяване). </w:t>
      </w:r>
    </w:p>
    <w:p w14:paraId="0B8B90E5" w14:textId="77777777" w:rsidR="003E14CD" w:rsidRPr="0050767D" w:rsidRDefault="003E14CD" w:rsidP="003E14CD">
      <w:pPr>
        <w:spacing w:after="120"/>
        <w:ind w:right="-6" w:firstLine="709"/>
        <w:jc w:val="both"/>
      </w:pPr>
      <w:r w:rsidRPr="00E66F80">
        <w:rPr>
          <w:lang w:eastAsia="en-US"/>
        </w:rPr>
        <w:t>През 2022 г. се наблюдава леко увеличение (с 1,0 %) на относителният дял на ППВ, приключили в първоначално определения срок и леко намаление (с 2,0 %) на делът на проверките, различни от ППВ, приключили в първоначално определения срок спрямо 2021 година. Относителният</w:t>
      </w:r>
      <w:r w:rsidRPr="00E66F80">
        <w:t xml:space="preserve"> дял на обжалваните </w:t>
      </w:r>
      <w:r w:rsidRPr="0050767D">
        <w:t>актовете за прихващане или възстановяване</w:t>
      </w:r>
      <w:r w:rsidRPr="0050767D">
        <w:rPr>
          <w:lang w:eastAsia="en-US"/>
        </w:rPr>
        <w:t xml:space="preserve"> (АПВ)</w:t>
      </w:r>
      <w:r w:rsidRPr="00E66F80">
        <w:t xml:space="preserve"> е останал непроменен спрямо 2021 година.</w:t>
      </w:r>
      <w:r w:rsidRPr="0050767D">
        <w:t xml:space="preserve"> </w:t>
      </w:r>
    </w:p>
    <w:p w14:paraId="04425951" w14:textId="77777777" w:rsidR="003E14CD" w:rsidRPr="0050767D" w:rsidRDefault="003E14CD" w:rsidP="003E14CD">
      <w:pPr>
        <w:spacing w:after="120"/>
        <w:ind w:firstLine="709"/>
        <w:jc w:val="both"/>
      </w:pPr>
      <w:r w:rsidRPr="0050767D">
        <w:t xml:space="preserve">През 2022 г. от НАП са проведени следните тематични кампании за контрол: </w:t>
      </w:r>
    </w:p>
    <w:p w14:paraId="00692DC7" w14:textId="77777777" w:rsidR="003E14CD" w:rsidRPr="00E66F80" w:rsidRDefault="003E14CD" w:rsidP="00BD39E0">
      <w:pPr>
        <w:pStyle w:val="ListParagraph"/>
        <w:numPr>
          <w:ilvl w:val="0"/>
          <w:numId w:val="41"/>
        </w:numPr>
        <w:jc w:val="both"/>
        <w:rPr>
          <w:lang w:eastAsia="en-US"/>
        </w:rPr>
      </w:pPr>
      <w:r w:rsidRPr="0050767D">
        <w:rPr>
          <w:lang w:eastAsia="en-US"/>
        </w:rPr>
        <w:t xml:space="preserve">Проверки на лица, при които е идентифициран риск от неспазване на данъчното законодателство и/или намаляване на дължимите данъчни задължения, във връзка с отчетени в годишните финансови отчети </w:t>
      </w:r>
      <w:r w:rsidRPr="00E66F80">
        <w:rPr>
          <w:lang w:eastAsia="en-US"/>
        </w:rPr>
        <w:t>за 2020 г. значителни спрямо обема на извършваната дейност стойности на наличните материални запаси (МЗ)</w:t>
      </w:r>
      <w:r w:rsidRPr="0050767D">
        <w:rPr>
          <w:lang w:eastAsia="en-US"/>
        </w:rPr>
        <w:t>.</w:t>
      </w:r>
      <w:r w:rsidRPr="00E66F80">
        <w:rPr>
          <w:lang w:eastAsia="en-US"/>
        </w:rPr>
        <w:t xml:space="preserve"> Във връзка с това до 8 349 лица са изпратени писма, с които са уведомени за контролните действия, които НАП ще извърши за установяване на действителните наличности на материални запаси, а с 1 467 лица са проведени телефонни разговори. В резултат на проведените мерки от 263 лица са извършени корекции, като е доначислен ДДС за липси и брак на обща стойност 1 300 хил. лева. През 2022 са възложени 1 828 контролни производства на лица със значителни материални запаси, като от тях са приключили</w:t>
      </w:r>
      <w:r w:rsidRPr="004F15D1">
        <w:rPr>
          <w:lang w:eastAsia="en-US"/>
        </w:rPr>
        <w:t xml:space="preserve"> </w:t>
      </w:r>
      <w:r w:rsidRPr="00E66F80">
        <w:rPr>
          <w:lang w:eastAsia="en-US"/>
        </w:rPr>
        <w:t xml:space="preserve">1 806 проверки. В хода на производствата 649 от лицата са извършили корекции, като са начислили допълнително ДДС в размер на 6 125 хил. лева. В резултат на извършените проверки е инициирано възлагането на 155 ревизии, от които 22 са приключили към края на 2022 г. с допълнително установени задължения на обща стойност 430,0 хил. лева. </w:t>
      </w:r>
    </w:p>
    <w:p w14:paraId="5E0DEB5B" w14:textId="77777777" w:rsidR="003E14CD" w:rsidRPr="00E66F80" w:rsidRDefault="003E14CD" w:rsidP="00BD39E0">
      <w:pPr>
        <w:pStyle w:val="ListParagraph"/>
        <w:numPr>
          <w:ilvl w:val="0"/>
          <w:numId w:val="41"/>
        </w:numPr>
        <w:jc w:val="both"/>
      </w:pPr>
      <w:r w:rsidRPr="0050767D">
        <w:rPr>
          <w:bCs/>
          <w:lang w:eastAsia="en-US"/>
        </w:rPr>
        <w:t xml:space="preserve"> </w:t>
      </w:r>
      <w:r w:rsidRPr="00E66F80">
        <w:t>Във връзка с информация за отчетната 2016 година, получена от Република Гърция по линия на автоматичния обмен, през октомври 2022 г., НАП стартира кампания за извършване на контролни действия спрямо физически лица, придобили и/или продали през 2016 г. недвижими имоти, находящи се на територията на Република Гърция. Извършена е селекция на 1 896 лица, като на 767 от тях са възложени ревизии. Контролните производства продължават и през 2023 година.</w:t>
      </w:r>
    </w:p>
    <w:p w14:paraId="570AE783" w14:textId="77777777" w:rsidR="003E14CD" w:rsidRPr="0050767D" w:rsidRDefault="003E14CD" w:rsidP="00BD39E0">
      <w:pPr>
        <w:numPr>
          <w:ilvl w:val="0"/>
          <w:numId w:val="41"/>
        </w:numPr>
        <w:spacing w:after="120"/>
        <w:ind w:firstLine="709"/>
        <w:contextualSpacing/>
        <w:jc w:val="both"/>
      </w:pPr>
      <w:r w:rsidRPr="0050767D">
        <w:t xml:space="preserve">Проверки за касови наличности: </w:t>
      </w:r>
      <w:r w:rsidRPr="00E66F80">
        <w:t>През 2022 г. стартира кампания за предприемане на контролни действия спрямо лица, посочили в счетоводните си баланси за 2020 г. касови наличности над 100 000 лева. Възложени са 1 014 проверки и 5 ревизии на дружества. В резултат на възложените проверки са констатирани несъответствия в касовата наличност при 485 лица, като стойността на разминаването между документално отразените парични средства в брой към датата на проверката и посочените в счетоводния баланс е 74 213 хил. лева. От 197 дружества е декларирано разпределение на дивидент в размер на 70 109 хил. лева. До края на 2022 г. са приключили 100 проверки от възложените. За 2 лица са изготвени доклади за иницииране на селекция за възлагане на ревизии. През 2022 г. продължи извършването на проверките, възложени по кампания за касови наличности през 2021 година. От възложените през 2021 г. проверки за установяване на факти и обстоятелства на 2 114 лица, през 2022 г. са приключени 686 производства. За продължилата в рамките на периода м.06.2021 г. – м.06.2022 г. кампания за третиране на високи касови наличности, проверяваните задължени лица са подали декларации по чл. 55, ал. 1 от ЗДДФЛ и чл. 201, ал. 1 от ЗКПО за дължими данъци, като са декларирани 38 984 хил. лева дължим данък за доходи от дивиденти</w:t>
      </w:r>
      <w:r w:rsidRPr="0050767D">
        <w:t xml:space="preserve">. </w:t>
      </w:r>
    </w:p>
    <w:p w14:paraId="58607291" w14:textId="77777777" w:rsidR="003E14CD" w:rsidRPr="00E66F80" w:rsidRDefault="003E14CD" w:rsidP="00BD39E0">
      <w:pPr>
        <w:pStyle w:val="ListParagraph"/>
        <w:numPr>
          <w:ilvl w:val="0"/>
          <w:numId w:val="41"/>
        </w:numPr>
        <w:jc w:val="both"/>
      </w:pPr>
      <w:r w:rsidRPr="00E66F80">
        <w:rPr>
          <w:i/>
        </w:rPr>
        <w:t>Проверки на физически лица, които притежават имоти в ОАЕ – Дубай:</w:t>
      </w:r>
      <w:r w:rsidRPr="00E66F80">
        <w:t xml:space="preserve"> през 2022 г. са приключили 18 проверки за установяване на факти и обстоятелства, като в хода на проверките са подадени 6 коригиращи декларации и е съставен един акт за установяване на административно нарушение. В резултат на проверките през 2022 г. са възложени 4 ревизии, като са приключили 3 от тях. Допълнително установените задължения са в размер на 131 хил. лева.</w:t>
      </w:r>
    </w:p>
    <w:p w14:paraId="071806B0" w14:textId="77777777" w:rsidR="003E14CD" w:rsidRPr="0050767D" w:rsidRDefault="003E14CD" w:rsidP="00BD39E0">
      <w:pPr>
        <w:numPr>
          <w:ilvl w:val="0"/>
          <w:numId w:val="41"/>
        </w:numPr>
        <w:spacing w:after="120"/>
        <w:ind w:firstLine="709"/>
        <w:jc w:val="both"/>
      </w:pPr>
      <w:r w:rsidRPr="0050767D">
        <w:t xml:space="preserve">Проверки на лица във връзка с данни, получени по линия на автоматичния обмен на информация за финансови сметки: </w:t>
      </w:r>
      <w:r w:rsidRPr="00E66F80">
        <w:t>през 2022 г. са приключили 8 проверки с декларирани от лицата доходи в хода на проверките на обща стойност 4 527 хил. лева. През отчетния период са приключили и 11 ревизии с общо допълнително установени задължения  - 1 949 хил. лева.</w:t>
      </w:r>
    </w:p>
    <w:p w14:paraId="3FC53187" w14:textId="77777777" w:rsidR="003E14CD" w:rsidRPr="00E66F80" w:rsidRDefault="003E14CD" w:rsidP="00BD39E0">
      <w:pPr>
        <w:pStyle w:val="ListParagraph"/>
        <w:numPr>
          <w:ilvl w:val="0"/>
          <w:numId w:val="41"/>
        </w:numPr>
        <w:jc w:val="both"/>
      </w:pPr>
      <w:r w:rsidRPr="00E66F80">
        <w:rPr>
          <w:i/>
        </w:rPr>
        <w:t>Проверки на лица, осъществяващи дейност в пунктове за годишни технически прегледи на моторни превозни средства:</w:t>
      </w:r>
      <w:r w:rsidRPr="00E66F80">
        <w:t xml:space="preserve"> през 2022 г. са проведени съвместни проверки със служители на Изпълнителна агенция „Автомобилна администрация“ и на Министерство на вътрешните работи  в 76 обекта -  пунктове за годишни технически прегледи, и са възложени 65 проверки за установяване на факти и обстоятелства. Към 31.12.2022 г. са приключили 49 ПУФО. В хода на проверките са подадени 31 коригиращи декларации, с които са декларирани допълнително данъци в размер на 69,0 хил. лева. Възложени са 12 ревизии, от които през отчетния период са приключили 3 ревизии с допълнително установени задължения на обща стойност 101,0 хил. лева.</w:t>
      </w:r>
    </w:p>
    <w:p w14:paraId="0B09EC9A" w14:textId="77777777" w:rsidR="003E14CD" w:rsidRPr="00E66F80" w:rsidRDefault="003E14CD" w:rsidP="00BD39E0">
      <w:pPr>
        <w:pStyle w:val="ListParagraph"/>
        <w:numPr>
          <w:ilvl w:val="0"/>
          <w:numId w:val="41"/>
        </w:numPr>
        <w:jc w:val="both"/>
      </w:pPr>
      <w:r w:rsidRPr="00E66F80">
        <w:rPr>
          <w:i/>
        </w:rPr>
        <w:t>Контролни действия във връзка с получен обмен на информация между държавите-членки на ЕС по чл. 3, т. 2 от Регламент 79/2012, подкатегория нови превозни средства:</w:t>
      </w:r>
      <w:r w:rsidRPr="00E66F80">
        <w:t xml:space="preserve"> Извършени са проверки на 19 нерегистрирани по ЗДДС лица, придобили нови превозни средства. Съставени са 5 акта за установени административни нарушения. Във връзка с проверките е извършена една ревизия, която е приключила през 2022 г. с допълнително установени задължения – 435,0 хил. лева.</w:t>
      </w:r>
    </w:p>
    <w:p w14:paraId="16C67A48" w14:textId="77777777" w:rsidR="003E14CD" w:rsidRPr="00E66F80" w:rsidRDefault="003E14CD" w:rsidP="00BD39E0">
      <w:pPr>
        <w:pStyle w:val="ListParagraph"/>
        <w:numPr>
          <w:ilvl w:val="0"/>
          <w:numId w:val="41"/>
        </w:numPr>
        <w:jc w:val="both"/>
      </w:pPr>
      <w:r w:rsidRPr="0050767D">
        <w:t xml:space="preserve">Във връзка с осъществяване на контрол по спазване на </w:t>
      </w:r>
      <w:r w:rsidRPr="0050767D">
        <w:rPr>
          <w:b/>
          <w:i/>
        </w:rPr>
        <w:t>Закона за хазарта</w:t>
      </w:r>
      <w:r w:rsidRPr="0050767D">
        <w:t xml:space="preserve"> (ЗХ) е създадена организация за възлагане на контролни действия по чл. 89, ал. 3 от ЗХ. П</w:t>
      </w:r>
      <w:r w:rsidRPr="00E66F80">
        <w:t>рез 2022 г. са възложени проверки на 289 лица, получили лицензи за осъществяване на дейност по ЗХ - организатори на хазартни игри и организатори на дейности по производство, разпространение и сервиз и по внос, разпространение и сервиз на игрално оборудване. Към 31.12.2022 г.</w:t>
      </w:r>
      <w:r w:rsidRPr="004F15D1">
        <w:t xml:space="preserve"> -</w:t>
      </w:r>
      <w:r w:rsidRPr="00E66F80">
        <w:t xml:space="preserve"> 254 от проверките са приключени. В резултат на извършените контролни действия при 9 от проверяваните лица са установени несъответствия в размер на 49 150,0 лева. Във връзка с установените несъответствия са подадени 8 коригиращи декларации</w:t>
      </w:r>
      <w:r w:rsidRPr="004F15D1">
        <w:t>,</w:t>
      </w:r>
      <w:r w:rsidRPr="00E66F80">
        <w:t xml:space="preserve"> като общият размер на направените корекции по подадените декларации е 49 120,0 лева. За установени при проверките извършени нарушения, от органите по приходите са съставени 2 акта за установяване на административно нарушение, като за едно лице е изготвен доклад за иницииране на последващи действия, в резултат на което на лицето е възложена ревизия.</w:t>
      </w:r>
    </w:p>
    <w:p w14:paraId="574DE7AF" w14:textId="77777777" w:rsidR="003E14CD" w:rsidRPr="0050767D" w:rsidRDefault="003E14CD" w:rsidP="00BD39E0">
      <w:pPr>
        <w:pStyle w:val="ListParagraph"/>
        <w:numPr>
          <w:ilvl w:val="0"/>
          <w:numId w:val="41"/>
        </w:numPr>
        <w:jc w:val="both"/>
      </w:pPr>
      <w:r w:rsidRPr="00E66F80">
        <w:t xml:space="preserve">Приключиха проверките във връзка с изпълнението на дейност 4 „Извършване на проверки при необходимост и по преценка на НАП върху предоставената подкрепа на малки и средни предприятия </w:t>
      </w:r>
      <w:r w:rsidRPr="004F15D1">
        <w:t>(</w:t>
      </w:r>
      <w:r w:rsidRPr="00E66F80">
        <w:t>МСП</w:t>
      </w:r>
      <w:r w:rsidRPr="004F15D1">
        <w:t>)</w:t>
      </w:r>
      <w:r w:rsidRPr="00E66F80">
        <w:t xml:space="preserve">, засегнати от временните противоепидемични мерки“ по проект „Подкрепа чрез оборотен капитал за МСП, засегнати от временните противоепидемични мерки, чрез прилагане на схема за подпомагане от </w:t>
      </w:r>
      <w:r w:rsidRPr="0050767D">
        <w:t>Национална агенция за приходите (НАП)</w:t>
      </w:r>
      <w:r w:rsidRPr="00E66F80">
        <w:t>“, изпълняван по Договор за предоставяне на безвъзмездна финансова помощ № BG16RFOP002-2.094-0006-С01/ 19.01.2021 г., сключен между НАП и Управляващия орган на Оперативна програма „Иновации и конкурентоспособност“ 2014-2020. През 2022 г. са извършени 962 проверки по реда на Административно-процесуалния кодекс. Издадени са 126 акта за установяване на публично държавно вземане за възстановяване на изплатена безвъзмездна финансова помощ общо в размер на 2 656,0 хил. лева. Възстановената от проверените лица обща сума на получената помощ е 2 584,0 хил. лева.</w:t>
      </w:r>
    </w:p>
    <w:p w14:paraId="62BE0202" w14:textId="77777777" w:rsidR="003E14CD" w:rsidRPr="0050767D" w:rsidRDefault="003E14CD" w:rsidP="003E14CD">
      <w:pPr>
        <w:spacing w:after="120"/>
        <w:ind w:firstLine="709"/>
        <w:jc w:val="both"/>
        <w:rPr>
          <w:b/>
          <w:lang w:eastAsia="en-US"/>
        </w:rPr>
      </w:pPr>
      <w:r w:rsidRPr="0050767D">
        <w:rPr>
          <w:b/>
          <w:lang w:eastAsia="en-US"/>
        </w:rPr>
        <w:t xml:space="preserve">Проверки в </w:t>
      </w:r>
      <w:r w:rsidRPr="0050767D">
        <w:rPr>
          <w:b/>
        </w:rPr>
        <w:t>търговски</w:t>
      </w:r>
      <w:r w:rsidRPr="0050767D">
        <w:rPr>
          <w:b/>
          <w:lang w:eastAsia="en-US"/>
        </w:rPr>
        <w:t xml:space="preserve"> обекти </w:t>
      </w:r>
    </w:p>
    <w:p w14:paraId="2E5FF3F9" w14:textId="77777777" w:rsidR="003E14CD" w:rsidRPr="0050767D" w:rsidRDefault="003E14CD" w:rsidP="003E14CD">
      <w:pPr>
        <w:tabs>
          <w:tab w:val="left" w:pos="993"/>
        </w:tabs>
        <w:spacing w:after="120"/>
        <w:ind w:firstLine="709"/>
        <w:jc w:val="both"/>
      </w:pPr>
      <w:r w:rsidRPr="0050767D">
        <w:t>В рамките на контролната дейност на Главна дирекция „Фискален контрол“ (ГДФК), целогодишно се извършват проверки в търговски обекти по спазването на изискванията за отчитане на продажбите, съгласно разпоредбите на Закона за данък върху добавената стойност (ЗДДС) и Наредба № Н-18.</w:t>
      </w:r>
    </w:p>
    <w:p w14:paraId="321F6ADA" w14:textId="77777777" w:rsidR="003E14CD" w:rsidRPr="0050767D" w:rsidRDefault="003E14CD" w:rsidP="003E14CD">
      <w:pPr>
        <w:tabs>
          <w:tab w:val="left" w:pos="993"/>
        </w:tabs>
        <w:ind w:firstLine="709"/>
        <w:jc w:val="both"/>
      </w:pPr>
      <w:r w:rsidRPr="0050767D">
        <w:t xml:space="preserve">Резултатите от извършените контролни действия при проверки в търговски обекти са: </w:t>
      </w:r>
    </w:p>
    <w:p w14:paraId="7A530D66" w14:textId="77777777" w:rsidR="003E14CD" w:rsidRPr="00E66F80" w:rsidRDefault="003E14CD" w:rsidP="00BD39E0">
      <w:pPr>
        <w:pStyle w:val="ListParagraph"/>
        <w:numPr>
          <w:ilvl w:val="0"/>
          <w:numId w:val="57"/>
        </w:numPr>
        <w:tabs>
          <w:tab w:val="left" w:pos="993"/>
        </w:tabs>
        <w:spacing w:line="276" w:lineRule="auto"/>
        <w:jc w:val="both"/>
      </w:pPr>
      <w:r w:rsidRPr="00E66F80">
        <w:rPr>
          <w:lang w:val="en-029"/>
        </w:rPr>
        <w:t>21 848</w:t>
      </w:r>
      <w:r w:rsidRPr="00E66F80">
        <w:t xml:space="preserve"> бр. проверени обекти;</w:t>
      </w:r>
    </w:p>
    <w:p w14:paraId="5F360AF2" w14:textId="77777777" w:rsidR="003E14CD" w:rsidRPr="00E66F80" w:rsidRDefault="003E14CD" w:rsidP="00BD39E0">
      <w:pPr>
        <w:pStyle w:val="ListParagraph"/>
        <w:numPr>
          <w:ilvl w:val="0"/>
          <w:numId w:val="57"/>
        </w:numPr>
        <w:tabs>
          <w:tab w:val="left" w:pos="993"/>
        </w:tabs>
        <w:spacing w:line="276" w:lineRule="auto"/>
        <w:jc w:val="both"/>
      </w:pPr>
      <w:r w:rsidRPr="00E66F80">
        <w:rPr>
          <w:lang w:val="en-US"/>
        </w:rPr>
        <w:t>21 329</w:t>
      </w:r>
      <w:r w:rsidRPr="00E66F80">
        <w:t xml:space="preserve"> бр. проверени лица;</w:t>
      </w:r>
    </w:p>
    <w:p w14:paraId="374EE0B9" w14:textId="77777777" w:rsidR="003E14CD" w:rsidRPr="00E66F80" w:rsidRDefault="003E14CD" w:rsidP="00BD39E0">
      <w:pPr>
        <w:pStyle w:val="ListParagraph"/>
        <w:numPr>
          <w:ilvl w:val="0"/>
          <w:numId w:val="57"/>
        </w:numPr>
        <w:tabs>
          <w:tab w:val="left" w:pos="993"/>
        </w:tabs>
        <w:spacing w:line="276" w:lineRule="auto"/>
        <w:jc w:val="both"/>
      </w:pPr>
      <w:r w:rsidRPr="00E66F80">
        <w:rPr>
          <w:lang w:val="en-US"/>
        </w:rPr>
        <w:t>5 443</w:t>
      </w:r>
      <w:r w:rsidRPr="00E66F80">
        <w:t xml:space="preserve"> бр. съставени АУАН;</w:t>
      </w:r>
    </w:p>
    <w:p w14:paraId="680FE7E1" w14:textId="77777777" w:rsidR="003E14CD" w:rsidRPr="00E66F80" w:rsidRDefault="003E14CD" w:rsidP="00BD39E0">
      <w:pPr>
        <w:pStyle w:val="ListParagraph"/>
        <w:numPr>
          <w:ilvl w:val="0"/>
          <w:numId w:val="57"/>
        </w:numPr>
        <w:tabs>
          <w:tab w:val="left" w:pos="993"/>
        </w:tabs>
        <w:spacing w:line="276" w:lineRule="auto"/>
        <w:jc w:val="both"/>
      </w:pPr>
      <w:r w:rsidRPr="004F15D1">
        <w:t>1</w:t>
      </w:r>
      <w:r w:rsidRPr="00E66F80">
        <w:t xml:space="preserve"> </w:t>
      </w:r>
      <w:r w:rsidRPr="004F15D1">
        <w:t xml:space="preserve">381 </w:t>
      </w:r>
      <w:r w:rsidRPr="00E66F80">
        <w:t xml:space="preserve">бр. наложени </w:t>
      </w:r>
      <w:r w:rsidRPr="0050767D">
        <w:t>Принудителна административна мярка запечатване на обект</w:t>
      </w:r>
      <w:r w:rsidRPr="00E66F80">
        <w:t xml:space="preserve"> </w:t>
      </w:r>
      <w:r w:rsidRPr="004F15D1">
        <w:t>(</w:t>
      </w:r>
      <w:r w:rsidRPr="00E66F80">
        <w:t>ПАМЗО</w:t>
      </w:r>
      <w:r w:rsidRPr="004F15D1">
        <w:t>)</w:t>
      </w:r>
      <w:r w:rsidRPr="00E66F80">
        <w:t xml:space="preserve"> </w:t>
      </w:r>
      <w:r w:rsidRPr="004F15D1">
        <w:t>(</w:t>
      </w:r>
      <w:r w:rsidRPr="00E66F80">
        <w:t>нарушения по Наредба № Н-18/ 2006 г.</w:t>
      </w:r>
      <w:r w:rsidRPr="004F15D1">
        <w:t>)</w:t>
      </w:r>
      <w:r w:rsidRPr="00E66F80">
        <w:t>;</w:t>
      </w:r>
    </w:p>
    <w:p w14:paraId="453F984D" w14:textId="77777777" w:rsidR="003E14CD" w:rsidRPr="00E66F80" w:rsidRDefault="003E14CD" w:rsidP="00BD39E0">
      <w:pPr>
        <w:pStyle w:val="ListParagraph"/>
        <w:numPr>
          <w:ilvl w:val="0"/>
          <w:numId w:val="57"/>
        </w:numPr>
        <w:tabs>
          <w:tab w:val="left" w:pos="993"/>
        </w:tabs>
        <w:spacing w:line="276" w:lineRule="auto"/>
        <w:jc w:val="both"/>
        <w:rPr>
          <w:lang w:val="en-US"/>
        </w:rPr>
      </w:pPr>
      <w:r w:rsidRPr="00E66F80">
        <w:rPr>
          <w:lang w:val="en-US"/>
        </w:rPr>
        <w:t xml:space="preserve">3 271 бр. издадени НП. </w:t>
      </w:r>
    </w:p>
    <w:p w14:paraId="33C29B97" w14:textId="77777777" w:rsidR="003E14CD" w:rsidRPr="00E66F80" w:rsidRDefault="003E14CD" w:rsidP="003E14CD">
      <w:pPr>
        <w:tabs>
          <w:tab w:val="left" w:pos="993"/>
        </w:tabs>
        <w:spacing w:after="120"/>
        <w:ind w:firstLine="709"/>
        <w:jc w:val="both"/>
      </w:pPr>
      <w:r w:rsidRPr="00E66F80">
        <w:t xml:space="preserve">Данните за наложените ПАМЗО (установено нарушение; причини за запечатване, отпечатване на обекти и др.) са вписвани в регистри и обобщавани ежедневно. Въз основа на тях е изготвян и „Списък на подлежащите на запечатване търговски обекти и тяхното местонахождение“ (чл. 187, ал. 1 от ЗДДС), публикуван на </w:t>
      </w:r>
      <w:hyperlink r:id="rId29" w:history="1">
        <w:r w:rsidRPr="00E66F80">
          <w:t>www.nap.bg</w:t>
        </w:r>
      </w:hyperlink>
      <w:r w:rsidRPr="00E66F80">
        <w:t xml:space="preserve">.              </w:t>
      </w:r>
    </w:p>
    <w:p w14:paraId="4BD7AC9F" w14:textId="77777777" w:rsidR="003E14CD" w:rsidRPr="0050767D" w:rsidRDefault="003E14CD" w:rsidP="003E14CD">
      <w:pPr>
        <w:tabs>
          <w:tab w:val="left" w:pos="993"/>
        </w:tabs>
        <w:spacing w:after="120"/>
        <w:ind w:firstLine="709"/>
        <w:jc w:val="both"/>
      </w:pPr>
      <w:r w:rsidRPr="00E66F80">
        <w:t xml:space="preserve"> По време на активните туристически сезони (зимен и летен), се проведоха ежегодните кампании за осигуряване на данъчен и осигурителен контрол в търговски обекти, находящи се в курортни комплекси, градове, селища.</w:t>
      </w:r>
      <w:r w:rsidRPr="0050767D">
        <w:t xml:space="preserve"> </w:t>
      </w:r>
    </w:p>
    <w:p w14:paraId="2C063584" w14:textId="77777777" w:rsidR="003E14CD" w:rsidRPr="0050767D" w:rsidRDefault="003E14CD" w:rsidP="009C209B">
      <w:pPr>
        <w:ind w:firstLine="709"/>
        <w:jc w:val="both"/>
        <w:rPr>
          <w:rFonts w:eastAsiaTheme="minorHAnsi"/>
          <w:b/>
          <w:lang w:eastAsia="en-US"/>
        </w:rPr>
      </w:pPr>
      <w:r w:rsidRPr="0050767D">
        <w:rPr>
          <w:rFonts w:eastAsiaTheme="minorHAnsi"/>
          <w:b/>
          <w:lang w:eastAsia="en-US"/>
        </w:rPr>
        <w:t xml:space="preserve">1.3. Осигурителен контрол </w:t>
      </w:r>
    </w:p>
    <w:p w14:paraId="053FD60F" w14:textId="77777777" w:rsidR="003E14CD" w:rsidRPr="00E66F80" w:rsidRDefault="003E14CD" w:rsidP="009C209B">
      <w:pPr>
        <w:ind w:right="-6" w:firstLine="709"/>
        <w:jc w:val="both"/>
        <w:rPr>
          <w:lang w:eastAsia="en-US"/>
        </w:rPr>
      </w:pPr>
      <w:r w:rsidRPr="00E66F80">
        <w:rPr>
          <w:lang w:eastAsia="en-US"/>
        </w:rPr>
        <w:t>През 2022 г. продължи извършването на проверки на задължени лица с висока степен на риск от неспазване на осигурителното законодателство. От юли 2022 г. стартира кампания от проверки на осигурители, които в справки по чл. 73 от ЗДДФЛ за 2020 г. и декларации обр. № 1 от Наредба Н-13 са посочили изплащане на доходи по извънтрудови и трудови правоотношения на едни и същи физически лица, като лицата не са декларирали доходите по извънтрудови правоотношения с декларации по чл. 50 от ЗДДФЛ. Освен това са възложени проверки и на осигурители, които са изплатили доходи по извънтрудови правоотношения на физически лица с общ размер на изплатените доходи над 100 000 лв. и лицата, на които са изплатени доходи не са подали годишни данъчни декларации (ГДД) по чл. 50 от ЗДДФЛ за 2020 година. Възложени са 236 проверки на осигурители, като до края на годината са приключени 199 проверки. В хода на контролните производства на лицата, които не са начислили и удържали задължителни осигурителни вноски (ЗОВ) върху изплатените суми по извънтрудови правоотношения са връчени 112 покани по чл. 103 от ДОПК за подаване на коригиращи декларации по Наредба № Н-13 от 17.12.2019 г. за съдържанието, сроковете, начина и реда за подаване и съхранение на данни от работодателите, осигурителите за осигурените при тях лица, както и от самоосигуряващите се лица. В резултат на извършените проверки и отправените покани, от страна на проверяваните лица са декларирани допълнително задължения за ЗОВ в размер на 425 580,0 лв. и задължения за данъци в размер на 73 962,0 лева. В хода на извършените проверки са съставени 4 акта за установяване на административни нарушения и за 18 е предложено извършване на ревизии.</w:t>
      </w:r>
    </w:p>
    <w:p w14:paraId="7D03AD66" w14:textId="77777777" w:rsidR="003E14CD" w:rsidRPr="0050767D" w:rsidRDefault="003E14CD" w:rsidP="009C209B">
      <w:pPr>
        <w:spacing w:before="120"/>
        <w:ind w:firstLine="709"/>
        <w:jc w:val="both"/>
        <w:rPr>
          <w:rFonts w:eastAsiaTheme="minorHAnsi"/>
          <w:b/>
          <w:lang w:eastAsia="en-US"/>
        </w:rPr>
      </w:pPr>
      <w:r w:rsidRPr="0050767D">
        <w:rPr>
          <w:rFonts w:eastAsiaTheme="minorHAnsi"/>
          <w:b/>
          <w:lang w:eastAsia="en-US"/>
        </w:rPr>
        <w:t xml:space="preserve">1.4. Контролни мерки във връзка с Програма за спазване на законодателството и намаляване на нивата на риск през </w:t>
      </w:r>
      <w:r w:rsidRPr="0050767D">
        <w:rPr>
          <w:b/>
          <w:lang w:eastAsia="en-US"/>
        </w:rPr>
        <w:t xml:space="preserve">2020 - 2021 </w:t>
      </w:r>
      <w:r w:rsidRPr="0050767D">
        <w:rPr>
          <w:rFonts w:eastAsiaTheme="minorHAnsi"/>
          <w:b/>
          <w:lang w:eastAsia="en-US"/>
        </w:rPr>
        <w:t xml:space="preserve"> година</w:t>
      </w:r>
    </w:p>
    <w:p w14:paraId="11202BDA" w14:textId="77777777" w:rsidR="003E14CD" w:rsidRPr="0050767D" w:rsidRDefault="003E14CD" w:rsidP="003E14CD">
      <w:pPr>
        <w:spacing w:after="120"/>
        <w:ind w:firstLine="709"/>
        <w:jc w:val="both"/>
        <w:rPr>
          <w:lang w:eastAsia="en-US"/>
        </w:rPr>
      </w:pPr>
      <w:r w:rsidRPr="0050767D">
        <w:rPr>
          <w:lang w:eastAsia="en-US"/>
        </w:rPr>
        <w:t>След налагането на ограничителни мерки и обявената в страната извънредна ситуация, свързана с COVID-19 беше отложено утвърждаването на Програмата за спазване на законодателството и намаляване на нивата на риск през 2020 и 2021 г. и същата беше утвърдена от изпълнителния директор на НАП през август 2020 година. Включени са 29 риска, от които за 22 риска е взето решение, че ще бъдат третирани с контролни мерки. Дирекция „Управление на риска“ в НАП извърши наблюдения за отражението на COVID-19 кризата върху бизнеса, както и прогнози за развитието на отделните икономически сектори до края на 2020 г., при реализирането на три потенциални сценария за развитие на кризата. Изготвени бяха и наблюдения и прогнози по тези три сценария на промените в основните характеристики на рисковете, управлявани от НАП. В началото на декември  2020 г. Програмата за спазване на законодателството през 2020 г.-2021 г. бе актуализирана. Мерките за третиране са редуцирани, като при 8 риска планираните контролни действия (ревизии или ПУФО) са намелени с общо 365 броя. В изпълнение на актуализираните планирани мерки са извършени следните контролни действия:</w:t>
      </w:r>
    </w:p>
    <w:p w14:paraId="1A3EFF2C" w14:textId="77777777" w:rsidR="003E14CD" w:rsidRPr="0050767D" w:rsidRDefault="003E14CD" w:rsidP="003E14CD">
      <w:pPr>
        <w:spacing w:after="120"/>
        <w:ind w:firstLine="709"/>
        <w:jc w:val="both"/>
        <w:rPr>
          <w:lang w:eastAsia="en-US"/>
        </w:rPr>
      </w:pPr>
    </w:p>
    <w:p w14:paraId="7DCFFE91" w14:textId="77777777" w:rsidR="003E14CD" w:rsidRPr="0050767D" w:rsidRDefault="003E14CD" w:rsidP="003E14CD">
      <w:pPr>
        <w:spacing w:after="120"/>
        <w:jc w:val="center"/>
        <w:rPr>
          <w:b/>
          <w:lang w:eastAsia="en-US"/>
        </w:rPr>
      </w:pPr>
      <w:r w:rsidRPr="0050767D">
        <w:rPr>
          <w:b/>
          <w:lang w:eastAsia="en-US"/>
        </w:rPr>
        <w:t>Планирани и изпълнени контролни действия въз основа на анализи на риска за периода 2020-2021 г.</w:t>
      </w:r>
    </w:p>
    <w:tbl>
      <w:tblPr>
        <w:tblW w:w="10457" w:type="dxa"/>
        <w:jc w:val="center"/>
        <w:tblLayout w:type="fixed"/>
        <w:tblCellMar>
          <w:left w:w="70" w:type="dxa"/>
          <w:right w:w="70" w:type="dxa"/>
        </w:tblCellMar>
        <w:tblLook w:val="04A0" w:firstRow="1" w:lastRow="0" w:firstColumn="1" w:lastColumn="0" w:noHBand="0" w:noVBand="1"/>
      </w:tblPr>
      <w:tblGrid>
        <w:gridCol w:w="2117"/>
        <w:gridCol w:w="1275"/>
        <w:gridCol w:w="993"/>
        <w:gridCol w:w="1559"/>
        <w:gridCol w:w="1417"/>
        <w:gridCol w:w="1534"/>
        <w:gridCol w:w="1562"/>
      </w:tblGrid>
      <w:tr w:rsidR="003E14CD" w:rsidRPr="0050767D" w14:paraId="21230B53" w14:textId="77777777" w:rsidTr="00591F00">
        <w:trPr>
          <w:trHeight w:val="1358"/>
          <w:jc w:val="center"/>
        </w:trPr>
        <w:tc>
          <w:tcPr>
            <w:tcW w:w="2117" w:type="dxa"/>
            <w:tcBorders>
              <w:top w:val="single" w:sz="8" w:space="0" w:color="auto"/>
              <w:left w:val="single" w:sz="8" w:space="0" w:color="auto"/>
              <w:bottom w:val="single" w:sz="8" w:space="0" w:color="auto"/>
              <w:right w:val="single" w:sz="8" w:space="0" w:color="auto"/>
            </w:tcBorders>
            <w:shd w:val="clear" w:color="auto" w:fill="004A99"/>
            <w:vAlign w:val="center"/>
            <w:hideMark/>
          </w:tcPr>
          <w:p w14:paraId="2F65FABC" w14:textId="77777777" w:rsidR="003E14CD" w:rsidRPr="0050767D" w:rsidRDefault="003E14CD" w:rsidP="00591F00">
            <w:pPr>
              <w:spacing w:after="120"/>
              <w:jc w:val="center"/>
              <w:rPr>
                <w:b/>
                <w:bCs/>
                <w:color w:val="FFFFFF"/>
                <w:sz w:val="22"/>
                <w:szCs w:val="22"/>
              </w:rPr>
            </w:pPr>
            <w:r w:rsidRPr="0050767D">
              <w:rPr>
                <w:b/>
                <w:bCs/>
                <w:color w:val="FFFFFF"/>
                <w:sz w:val="22"/>
                <w:szCs w:val="22"/>
              </w:rPr>
              <w:t>Контролни действия по Програма за спазване на законодателството 2020 – 2021 г.</w:t>
            </w:r>
          </w:p>
        </w:tc>
        <w:tc>
          <w:tcPr>
            <w:tcW w:w="1275" w:type="dxa"/>
            <w:tcBorders>
              <w:top w:val="single" w:sz="8" w:space="0" w:color="auto"/>
              <w:left w:val="nil"/>
              <w:bottom w:val="single" w:sz="8" w:space="0" w:color="auto"/>
              <w:right w:val="single" w:sz="8" w:space="0" w:color="auto"/>
            </w:tcBorders>
            <w:shd w:val="clear" w:color="auto" w:fill="004A99"/>
            <w:vAlign w:val="center"/>
            <w:hideMark/>
          </w:tcPr>
          <w:p w14:paraId="7650D416" w14:textId="77777777" w:rsidR="003E14CD" w:rsidRPr="0050767D" w:rsidRDefault="003E14CD" w:rsidP="00591F00">
            <w:pPr>
              <w:spacing w:after="120"/>
              <w:jc w:val="center"/>
              <w:rPr>
                <w:b/>
                <w:bCs/>
                <w:color w:val="FFFFFF"/>
                <w:sz w:val="22"/>
                <w:szCs w:val="22"/>
              </w:rPr>
            </w:pPr>
            <w:r w:rsidRPr="0050767D">
              <w:rPr>
                <w:b/>
                <w:bCs/>
                <w:color w:val="FFFFFF"/>
                <w:sz w:val="22"/>
                <w:szCs w:val="22"/>
              </w:rPr>
              <w:t>Общо планирани</w:t>
            </w:r>
          </w:p>
        </w:tc>
        <w:tc>
          <w:tcPr>
            <w:tcW w:w="993" w:type="dxa"/>
            <w:tcBorders>
              <w:top w:val="single" w:sz="8" w:space="0" w:color="auto"/>
              <w:left w:val="nil"/>
              <w:bottom w:val="single" w:sz="8" w:space="0" w:color="auto"/>
              <w:right w:val="single" w:sz="8" w:space="0" w:color="auto"/>
            </w:tcBorders>
            <w:shd w:val="clear" w:color="auto" w:fill="004A99"/>
            <w:vAlign w:val="center"/>
            <w:hideMark/>
          </w:tcPr>
          <w:p w14:paraId="15E54F60" w14:textId="77777777" w:rsidR="003E14CD" w:rsidRPr="0050767D" w:rsidRDefault="003E14CD" w:rsidP="00591F00">
            <w:pPr>
              <w:spacing w:after="120"/>
              <w:jc w:val="center"/>
              <w:rPr>
                <w:b/>
                <w:bCs/>
                <w:color w:val="FFFFFF"/>
                <w:sz w:val="22"/>
                <w:szCs w:val="22"/>
              </w:rPr>
            </w:pPr>
            <w:r w:rsidRPr="0050767D">
              <w:rPr>
                <w:b/>
                <w:bCs/>
                <w:color w:val="FFFFFF"/>
                <w:sz w:val="22"/>
                <w:szCs w:val="22"/>
              </w:rPr>
              <w:t>След актуализацията</w:t>
            </w:r>
          </w:p>
        </w:tc>
        <w:tc>
          <w:tcPr>
            <w:tcW w:w="1559" w:type="dxa"/>
            <w:tcBorders>
              <w:top w:val="single" w:sz="8" w:space="0" w:color="auto"/>
              <w:left w:val="nil"/>
              <w:bottom w:val="single" w:sz="8" w:space="0" w:color="auto"/>
              <w:right w:val="single" w:sz="8" w:space="0" w:color="auto"/>
            </w:tcBorders>
            <w:shd w:val="clear" w:color="auto" w:fill="004A99"/>
            <w:vAlign w:val="center"/>
            <w:hideMark/>
          </w:tcPr>
          <w:p w14:paraId="1922C143" w14:textId="77777777" w:rsidR="003E14CD" w:rsidRPr="0050767D" w:rsidRDefault="003E14CD" w:rsidP="00591F00">
            <w:pPr>
              <w:spacing w:after="120"/>
              <w:jc w:val="center"/>
              <w:rPr>
                <w:b/>
                <w:bCs/>
                <w:color w:val="FFFFFF"/>
                <w:sz w:val="22"/>
                <w:szCs w:val="22"/>
              </w:rPr>
            </w:pPr>
            <w:r w:rsidRPr="0050767D">
              <w:rPr>
                <w:b/>
                <w:bCs/>
                <w:color w:val="FFFFFF"/>
                <w:sz w:val="22"/>
                <w:szCs w:val="22"/>
              </w:rPr>
              <w:t>Възложени производства</w:t>
            </w:r>
          </w:p>
        </w:tc>
        <w:tc>
          <w:tcPr>
            <w:tcW w:w="1417" w:type="dxa"/>
            <w:tcBorders>
              <w:top w:val="single" w:sz="8" w:space="0" w:color="auto"/>
              <w:left w:val="nil"/>
              <w:bottom w:val="single" w:sz="8" w:space="0" w:color="auto"/>
              <w:right w:val="single" w:sz="8" w:space="0" w:color="auto"/>
            </w:tcBorders>
            <w:shd w:val="clear" w:color="auto" w:fill="004A99"/>
            <w:vAlign w:val="center"/>
            <w:hideMark/>
          </w:tcPr>
          <w:p w14:paraId="655CE155" w14:textId="77777777" w:rsidR="003E14CD" w:rsidRPr="0050767D" w:rsidRDefault="003E14CD" w:rsidP="00591F00">
            <w:pPr>
              <w:spacing w:after="120"/>
              <w:jc w:val="center"/>
              <w:rPr>
                <w:b/>
                <w:bCs/>
                <w:color w:val="FFFFFF"/>
                <w:sz w:val="22"/>
                <w:szCs w:val="22"/>
              </w:rPr>
            </w:pPr>
            <w:r w:rsidRPr="0050767D">
              <w:rPr>
                <w:b/>
                <w:bCs/>
                <w:color w:val="FFFFFF"/>
                <w:sz w:val="22"/>
                <w:szCs w:val="22"/>
              </w:rPr>
              <w:t>Приключени през 2021 г.</w:t>
            </w:r>
          </w:p>
        </w:tc>
        <w:tc>
          <w:tcPr>
            <w:tcW w:w="1534" w:type="dxa"/>
            <w:tcBorders>
              <w:top w:val="single" w:sz="8" w:space="0" w:color="auto"/>
              <w:left w:val="nil"/>
              <w:bottom w:val="single" w:sz="8" w:space="0" w:color="auto"/>
              <w:right w:val="single" w:sz="8" w:space="0" w:color="auto"/>
            </w:tcBorders>
            <w:shd w:val="clear" w:color="auto" w:fill="004A99"/>
            <w:vAlign w:val="center"/>
            <w:hideMark/>
          </w:tcPr>
          <w:p w14:paraId="373D6A59" w14:textId="77777777" w:rsidR="003E14CD" w:rsidRPr="0050767D" w:rsidRDefault="003E14CD" w:rsidP="00591F00">
            <w:pPr>
              <w:spacing w:after="120"/>
              <w:jc w:val="center"/>
              <w:rPr>
                <w:b/>
                <w:bCs/>
                <w:color w:val="FFFFFF"/>
                <w:sz w:val="22"/>
                <w:szCs w:val="22"/>
              </w:rPr>
            </w:pPr>
            <w:r w:rsidRPr="0050767D">
              <w:rPr>
                <w:b/>
                <w:bCs/>
                <w:color w:val="FFFFFF"/>
                <w:sz w:val="22"/>
                <w:szCs w:val="22"/>
              </w:rPr>
              <w:t>Общо приключени</w:t>
            </w:r>
          </w:p>
        </w:tc>
        <w:tc>
          <w:tcPr>
            <w:tcW w:w="1562" w:type="dxa"/>
            <w:tcBorders>
              <w:top w:val="single" w:sz="8" w:space="0" w:color="auto"/>
              <w:left w:val="nil"/>
              <w:bottom w:val="single" w:sz="8" w:space="0" w:color="auto"/>
              <w:right w:val="single" w:sz="8" w:space="0" w:color="auto"/>
            </w:tcBorders>
            <w:shd w:val="clear" w:color="auto" w:fill="004A99"/>
            <w:vAlign w:val="center"/>
            <w:hideMark/>
          </w:tcPr>
          <w:p w14:paraId="4A25A475" w14:textId="77777777" w:rsidR="003E14CD" w:rsidRPr="0050767D" w:rsidRDefault="003E14CD" w:rsidP="00591F00">
            <w:pPr>
              <w:spacing w:after="120"/>
              <w:jc w:val="center"/>
              <w:rPr>
                <w:b/>
                <w:bCs/>
                <w:color w:val="FFFFFF"/>
                <w:sz w:val="22"/>
                <w:szCs w:val="22"/>
              </w:rPr>
            </w:pPr>
            <w:r w:rsidRPr="0050767D">
              <w:rPr>
                <w:b/>
                <w:bCs/>
                <w:color w:val="FFFFFF"/>
                <w:sz w:val="22"/>
                <w:szCs w:val="22"/>
              </w:rPr>
              <w:t>Изпълнение на планираните действия от гл. т. на възложени действия</w:t>
            </w:r>
          </w:p>
        </w:tc>
      </w:tr>
      <w:tr w:rsidR="003E14CD" w:rsidRPr="0050767D" w14:paraId="37154929" w14:textId="77777777" w:rsidTr="00591F00">
        <w:trPr>
          <w:trHeight w:val="216"/>
          <w:jc w:val="center"/>
        </w:trPr>
        <w:tc>
          <w:tcPr>
            <w:tcW w:w="2117" w:type="dxa"/>
            <w:tcBorders>
              <w:top w:val="nil"/>
              <w:left w:val="single" w:sz="8" w:space="0" w:color="auto"/>
              <w:bottom w:val="single" w:sz="8" w:space="0" w:color="auto"/>
              <w:right w:val="single" w:sz="8" w:space="0" w:color="auto"/>
            </w:tcBorders>
            <w:vAlign w:val="center"/>
            <w:hideMark/>
          </w:tcPr>
          <w:p w14:paraId="58763B6E" w14:textId="77777777" w:rsidR="003E14CD" w:rsidRPr="0050767D" w:rsidRDefault="003E14CD" w:rsidP="00591F00">
            <w:pPr>
              <w:spacing w:after="120"/>
              <w:jc w:val="both"/>
              <w:rPr>
                <w:color w:val="000000"/>
                <w:sz w:val="22"/>
                <w:szCs w:val="22"/>
              </w:rPr>
            </w:pPr>
            <w:r w:rsidRPr="0050767D">
              <w:rPr>
                <w:color w:val="000000"/>
                <w:sz w:val="22"/>
                <w:szCs w:val="22"/>
              </w:rPr>
              <w:t>Ревизии и ПУФО, в т.ч. ПУФО в обект</w:t>
            </w:r>
          </w:p>
        </w:tc>
        <w:tc>
          <w:tcPr>
            <w:tcW w:w="1275" w:type="dxa"/>
            <w:tcBorders>
              <w:top w:val="nil"/>
              <w:left w:val="nil"/>
              <w:bottom w:val="single" w:sz="8" w:space="0" w:color="auto"/>
              <w:right w:val="single" w:sz="8" w:space="0" w:color="auto"/>
            </w:tcBorders>
            <w:vAlign w:val="center"/>
            <w:hideMark/>
          </w:tcPr>
          <w:p w14:paraId="4AD2C15A" w14:textId="77777777" w:rsidR="003E14CD" w:rsidRPr="0050767D" w:rsidRDefault="003E14CD" w:rsidP="00591F00">
            <w:pPr>
              <w:spacing w:after="120"/>
              <w:jc w:val="right"/>
              <w:rPr>
                <w:color w:val="000000"/>
                <w:sz w:val="22"/>
                <w:szCs w:val="22"/>
              </w:rPr>
            </w:pPr>
            <w:r w:rsidRPr="0050767D">
              <w:rPr>
                <w:color w:val="000000"/>
                <w:sz w:val="22"/>
                <w:szCs w:val="22"/>
              </w:rPr>
              <w:t>6 436</w:t>
            </w:r>
          </w:p>
        </w:tc>
        <w:tc>
          <w:tcPr>
            <w:tcW w:w="993" w:type="dxa"/>
            <w:tcBorders>
              <w:top w:val="nil"/>
              <w:left w:val="nil"/>
              <w:bottom w:val="single" w:sz="8" w:space="0" w:color="auto"/>
              <w:right w:val="single" w:sz="8" w:space="0" w:color="auto"/>
            </w:tcBorders>
            <w:vAlign w:val="center"/>
            <w:hideMark/>
          </w:tcPr>
          <w:p w14:paraId="12508419" w14:textId="77777777" w:rsidR="003E14CD" w:rsidRPr="0050767D" w:rsidRDefault="003E14CD" w:rsidP="00591F00">
            <w:pPr>
              <w:spacing w:after="120"/>
              <w:jc w:val="right"/>
              <w:rPr>
                <w:color w:val="000000"/>
                <w:sz w:val="22"/>
                <w:szCs w:val="22"/>
                <w:lang w:val="en-US"/>
              </w:rPr>
            </w:pPr>
            <w:r w:rsidRPr="0050767D">
              <w:rPr>
                <w:color w:val="000000"/>
                <w:sz w:val="22"/>
                <w:szCs w:val="22"/>
                <w:lang w:val="en-US"/>
              </w:rPr>
              <w:t>6</w:t>
            </w:r>
            <w:r w:rsidRPr="0050767D">
              <w:rPr>
                <w:color w:val="000000"/>
                <w:sz w:val="22"/>
                <w:szCs w:val="22"/>
              </w:rPr>
              <w:t xml:space="preserve"> </w:t>
            </w:r>
            <w:r w:rsidRPr="0050767D">
              <w:rPr>
                <w:color w:val="000000"/>
                <w:sz w:val="22"/>
                <w:szCs w:val="22"/>
                <w:lang w:val="en-US"/>
              </w:rPr>
              <w:t>071</w:t>
            </w:r>
          </w:p>
        </w:tc>
        <w:tc>
          <w:tcPr>
            <w:tcW w:w="1559" w:type="dxa"/>
            <w:tcBorders>
              <w:top w:val="nil"/>
              <w:left w:val="nil"/>
              <w:bottom w:val="single" w:sz="8" w:space="0" w:color="auto"/>
              <w:right w:val="single" w:sz="8" w:space="0" w:color="auto"/>
            </w:tcBorders>
            <w:vAlign w:val="center"/>
            <w:hideMark/>
          </w:tcPr>
          <w:p w14:paraId="35E863DC" w14:textId="77777777" w:rsidR="003E14CD" w:rsidRPr="0050767D" w:rsidRDefault="003E14CD" w:rsidP="00591F00">
            <w:pPr>
              <w:spacing w:after="120"/>
              <w:jc w:val="right"/>
              <w:rPr>
                <w:color w:val="000000"/>
                <w:sz w:val="22"/>
                <w:szCs w:val="22"/>
              </w:rPr>
            </w:pPr>
            <w:r w:rsidRPr="0050767D">
              <w:rPr>
                <w:color w:val="000000"/>
                <w:sz w:val="22"/>
                <w:szCs w:val="22"/>
              </w:rPr>
              <w:t>7 865</w:t>
            </w:r>
          </w:p>
        </w:tc>
        <w:tc>
          <w:tcPr>
            <w:tcW w:w="1417" w:type="dxa"/>
            <w:tcBorders>
              <w:top w:val="nil"/>
              <w:left w:val="nil"/>
              <w:bottom w:val="single" w:sz="8" w:space="0" w:color="auto"/>
              <w:right w:val="single" w:sz="8" w:space="0" w:color="auto"/>
            </w:tcBorders>
            <w:vAlign w:val="center"/>
            <w:hideMark/>
          </w:tcPr>
          <w:p w14:paraId="2F4BD247" w14:textId="77777777" w:rsidR="003E14CD" w:rsidRPr="0050767D" w:rsidRDefault="003E14CD" w:rsidP="00591F00">
            <w:pPr>
              <w:spacing w:after="120"/>
              <w:jc w:val="right"/>
              <w:rPr>
                <w:color w:val="000000"/>
                <w:sz w:val="22"/>
                <w:szCs w:val="22"/>
              </w:rPr>
            </w:pPr>
            <w:r w:rsidRPr="0050767D">
              <w:rPr>
                <w:color w:val="000000"/>
                <w:sz w:val="22"/>
                <w:szCs w:val="22"/>
              </w:rPr>
              <w:t>4 443 </w:t>
            </w:r>
          </w:p>
        </w:tc>
        <w:tc>
          <w:tcPr>
            <w:tcW w:w="1534" w:type="dxa"/>
            <w:tcBorders>
              <w:top w:val="nil"/>
              <w:left w:val="nil"/>
              <w:bottom w:val="single" w:sz="8" w:space="0" w:color="auto"/>
              <w:right w:val="single" w:sz="8" w:space="0" w:color="auto"/>
            </w:tcBorders>
            <w:vAlign w:val="center"/>
            <w:hideMark/>
          </w:tcPr>
          <w:p w14:paraId="0ACEC217" w14:textId="77777777" w:rsidR="003E14CD" w:rsidRPr="0050767D" w:rsidRDefault="003E14CD" w:rsidP="00591F00">
            <w:pPr>
              <w:spacing w:after="120"/>
              <w:jc w:val="right"/>
              <w:rPr>
                <w:color w:val="000000"/>
                <w:sz w:val="22"/>
                <w:szCs w:val="22"/>
              </w:rPr>
            </w:pPr>
            <w:r w:rsidRPr="0050767D">
              <w:rPr>
                <w:color w:val="000000"/>
                <w:sz w:val="22"/>
                <w:szCs w:val="22"/>
              </w:rPr>
              <w:t>5 551</w:t>
            </w:r>
          </w:p>
        </w:tc>
        <w:tc>
          <w:tcPr>
            <w:tcW w:w="1562" w:type="dxa"/>
            <w:tcBorders>
              <w:top w:val="nil"/>
              <w:left w:val="nil"/>
              <w:bottom w:val="single" w:sz="8" w:space="0" w:color="auto"/>
              <w:right w:val="single" w:sz="8" w:space="0" w:color="auto"/>
            </w:tcBorders>
            <w:vAlign w:val="center"/>
            <w:hideMark/>
          </w:tcPr>
          <w:p w14:paraId="38F8AD18" w14:textId="77777777" w:rsidR="003E14CD" w:rsidRPr="0050767D" w:rsidRDefault="003E14CD" w:rsidP="00591F00">
            <w:pPr>
              <w:spacing w:after="120"/>
              <w:jc w:val="right"/>
              <w:rPr>
                <w:color w:val="000000"/>
                <w:sz w:val="22"/>
                <w:szCs w:val="22"/>
              </w:rPr>
            </w:pPr>
            <w:r w:rsidRPr="0050767D">
              <w:rPr>
                <w:color w:val="000000"/>
                <w:sz w:val="22"/>
                <w:szCs w:val="22"/>
              </w:rPr>
              <w:t>130 %</w:t>
            </w:r>
          </w:p>
        </w:tc>
      </w:tr>
      <w:tr w:rsidR="003E14CD" w:rsidRPr="0050767D" w14:paraId="70D70B9B" w14:textId="77777777" w:rsidTr="00591F00">
        <w:trPr>
          <w:trHeight w:val="214"/>
          <w:jc w:val="center"/>
        </w:trPr>
        <w:tc>
          <w:tcPr>
            <w:tcW w:w="2117" w:type="dxa"/>
            <w:tcBorders>
              <w:top w:val="nil"/>
              <w:left w:val="single" w:sz="8" w:space="0" w:color="auto"/>
              <w:bottom w:val="single" w:sz="8" w:space="0" w:color="auto"/>
              <w:right w:val="single" w:sz="8" w:space="0" w:color="auto"/>
            </w:tcBorders>
            <w:shd w:val="clear" w:color="auto" w:fill="FFFFFF"/>
            <w:vAlign w:val="center"/>
            <w:hideMark/>
          </w:tcPr>
          <w:p w14:paraId="46A482C2" w14:textId="77777777" w:rsidR="003E14CD" w:rsidRPr="0050767D" w:rsidRDefault="003E14CD" w:rsidP="00591F00">
            <w:pPr>
              <w:spacing w:after="120"/>
              <w:jc w:val="both"/>
              <w:rPr>
                <w:color w:val="000000"/>
                <w:sz w:val="22"/>
                <w:szCs w:val="22"/>
              </w:rPr>
            </w:pPr>
            <w:r w:rsidRPr="0050767D">
              <w:rPr>
                <w:color w:val="000000"/>
                <w:sz w:val="22"/>
                <w:szCs w:val="22"/>
              </w:rPr>
              <w:t>Проверки в обект</w:t>
            </w:r>
          </w:p>
        </w:tc>
        <w:tc>
          <w:tcPr>
            <w:tcW w:w="1275" w:type="dxa"/>
            <w:tcBorders>
              <w:top w:val="nil"/>
              <w:left w:val="nil"/>
              <w:bottom w:val="single" w:sz="8" w:space="0" w:color="auto"/>
              <w:right w:val="single" w:sz="8" w:space="0" w:color="auto"/>
            </w:tcBorders>
            <w:shd w:val="clear" w:color="auto" w:fill="FFFFFF"/>
            <w:vAlign w:val="center"/>
            <w:hideMark/>
          </w:tcPr>
          <w:p w14:paraId="303936A7" w14:textId="77777777" w:rsidR="003E14CD" w:rsidRPr="0050767D" w:rsidRDefault="003E14CD" w:rsidP="00591F00">
            <w:pPr>
              <w:spacing w:after="120"/>
              <w:jc w:val="right"/>
              <w:rPr>
                <w:color w:val="000000"/>
                <w:sz w:val="22"/>
                <w:szCs w:val="22"/>
              </w:rPr>
            </w:pPr>
            <w:r w:rsidRPr="0050767D">
              <w:rPr>
                <w:color w:val="000000"/>
                <w:sz w:val="22"/>
                <w:szCs w:val="22"/>
              </w:rPr>
              <w:t>8 944</w:t>
            </w:r>
          </w:p>
        </w:tc>
        <w:tc>
          <w:tcPr>
            <w:tcW w:w="993" w:type="dxa"/>
            <w:tcBorders>
              <w:top w:val="nil"/>
              <w:left w:val="nil"/>
              <w:bottom w:val="single" w:sz="8" w:space="0" w:color="auto"/>
              <w:right w:val="single" w:sz="8" w:space="0" w:color="auto"/>
            </w:tcBorders>
            <w:shd w:val="clear" w:color="auto" w:fill="FFFFFF"/>
            <w:vAlign w:val="center"/>
            <w:hideMark/>
          </w:tcPr>
          <w:p w14:paraId="1DF266E8" w14:textId="77777777" w:rsidR="003E14CD" w:rsidRPr="0050767D" w:rsidRDefault="003E14CD" w:rsidP="00591F00">
            <w:pPr>
              <w:spacing w:after="120"/>
              <w:jc w:val="right"/>
              <w:rPr>
                <w:color w:val="000000"/>
                <w:sz w:val="22"/>
                <w:szCs w:val="22"/>
              </w:rPr>
            </w:pPr>
            <w:r w:rsidRPr="0050767D">
              <w:rPr>
                <w:color w:val="000000"/>
                <w:sz w:val="22"/>
                <w:szCs w:val="22"/>
              </w:rPr>
              <w:t>5 323</w:t>
            </w:r>
          </w:p>
        </w:tc>
        <w:tc>
          <w:tcPr>
            <w:tcW w:w="1559" w:type="dxa"/>
            <w:tcBorders>
              <w:top w:val="nil"/>
              <w:left w:val="nil"/>
              <w:bottom w:val="single" w:sz="8" w:space="0" w:color="auto"/>
              <w:right w:val="single" w:sz="8" w:space="0" w:color="auto"/>
            </w:tcBorders>
            <w:shd w:val="clear" w:color="auto" w:fill="FFFFFF"/>
            <w:vAlign w:val="center"/>
            <w:hideMark/>
          </w:tcPr>
          <w:p w14:paraId="77629BA2" w14:textId="77777777" w:rsidR="003E14CD" w:rsidRPr="0050767D" w:rsidRDefault="003E14CD" w:rsidP="00591F00">
            <w:pPr>
              <w:spacing w:after="120"/>
              <w:jc w:val="right"/>
              <w:rPr>
                <w:color w:val="000000"/>
                <w:sz w:val="22"/>
                <w:szCs w:val="22"/>
              </w:rPr>
            </w:pPr>
            <w:r w:rsidRPr="0050767D">
              <w:rPr>
                <w:color w:val="000000"/>
                <w:sz w:val="22"/>
                <w:szCs w:val="22"/>
              </w:rPr>
              <w:t>3 959</w:t>
            </w:r>
          </w:p>
        </w:tc>
        <w:tc>
          <w:tcPr>
            <w:tcW w:w="1417" w:type="dxa"/>
            <w:tcBorders>
              <w:top w:val="nil"/>
              <w:left w:val="nil"/>
              <w:bottom w:val="single" w:sz="8" w:space="0" w:color="auto"/>
              <w:right w:val="single" w:sz="8" w:space="0" w:color="auto"/>
            </w:tcBorders>
            <w:shd w:val="clear" w:color="auto" w:fill="FFFFFF"/>
            <w:vAlign w:val="center"/>
            <w:hideMark/>
          </w:tcPr>
          <w:p w14:paraId="1CF98F63" w14:textId="77777777" w:rsidR="003E14CD" w:rsidRPr="0050767D" w:rsidRDefault="003E14CD" w:rsidP="00591F00">
            <w:pPr>
              <w:spacing w:after="120"/>
              <w:jc w:val="right"/>
              <w:rPr>
                <w:color w:val="000000"/>
                <w:sz w:val="22"/>
                <w:szCs w:val="22"/>
              </w:rPr>
            </w:pPr>
            <w:r w:rsidRPr="0050767D">
              <w:rPr>
                <w:color w:val="000000"/>
                <w:sz w:val="22"/>
                <w:szCs w:val="22"/>
              </w:rPr>
              <w:t>3 323</w:t>
            </w:r>
          </w:p>
        </w:tc>
        <w:tc>
          <w:tcPr>
            <w:tcW w:w="1534" w:type="dxa"/>
            <w:tcBorders>
              <w:top w:val="nil"/>
              <w:left w:val="nil"/>
              <w:bottom w:val="single" w:sz="8" w:space="0" w:color="auto"/>
              <w:right w:val="single" w:sz="8" w:space="0" w:color="auto"/>
            </w:tcBorders>
            <w:shd w:val="clear" w:color="auto" w:fill="FFFFFF"/>
            <w:vAlign w:val="center"/>
            <w:hideMark/>
          </w:tcPr>
          <w:p w14:paraId="2CFE946B" w14:textId="77777777" w:rsidR="003E14CD" w:rsidRPr="0050767D" w:rsidRDefault="003E14CD" w:rsidP="00591F00">
            <w:pPr>
              <w:spacing w:after="120"/>
              <w:jc w:val="right"/>
              <w:rPr>
                <w:color w:val="000000"/>
                <w:sz w:val="22"/>
                <w:szCs w:val="22"/>
              </w:rPr>
            </w:pPr>
            <w:r w:rsidRPr="0050767D">
              <w:rPr>
                <w:color w:val="000000"/>
                <w:sz w:val="22"/>
                <w:szCs w:val="22"/>
              </w:rPr>
              <w:t>3 941</w:t>
            </w:r>
          </w:p>
        </w:tc>
        <w:tc>
          <w:tcPr>
            <w:tcW w:w="1562" w:type="dxa"/>
            <w:tcBorders>
              <w:top w:val="nil"/>
              <w:left w:val="nil"/>
              <w:bottom w:val="single" w:sz="8" w:space="0" w:color="auto"/>
              <w:right w:val="single" w:sz="8" w:space="0" w:color="auto"/>
            </w:tcBorders>
            <w:shd w:val="clear" w:color="auto" w:fill="FFFFFF"/>
            <w:vAlign w:val="center"/>
            <w:hideMark/>
          </w:tcPr>
          <w:p w14:paraId="3D90A357" w14:textId="77777777" w:rsidR="003E14CD" w:rsidRPr="0050767D" w:rsidRDefault="003E14CD" w:rsidP="00591F00">
            <w:pPr>
              <w:spacing w:after="120"/>
              <w:jc w:val="right"/>
              <w:rPr>
                <w:color w:val="000000"/>
                <w:sz w:val="22"/>
                <w:szCs w:val="22"/>
              </w:rPr>
            </w:pPr>
            <w:r w:rsidRPr="0050767D">
              <w:rPr>
                <w:color w:val="000000"/>
                <w:sz w:val="22"/>
                <w:szCs w:val="22"/>
              </w:rPr>
              <w:t>74 %</w:t>
            </w:r>
          </w:p>
        </w:tc>
      </w:tr>
      <w:tr w:rsidR="003E14CD" w:rsidRPr="0050767D" w14:paraId="0B6ADA27" w14:textId="77777777" w:rsidTr="00591F00">
        <w:trPr>
          <w:trHeight w:val="216"/>
          <w:jc w:val="center"/>
        </w:trPr>
        <w:tc>
          <w:tcPr>
            <w:tcW w:w="2117" w:type="dxa"/>
            <w:tcBorders>
              <w:top w:val="nil"/>
              <w:left w:val="single" w:sz="8" w:space="0" w:color="auto"/>
              <w:bottom w:val="single" w:sz="8" w:space="0" w:color="auto"/>
              <w:right w:val="single" w:sz="8" w:space="0" w:color="auto"/>
            </w:tcBorders>
            <w:vAlign w:val="center"/>
            <w:hideMark/>
          </w:tcPr>
          <w:p w14:paraId="04E532B2" w14:textId="77777777" w:rsidR="003E14CD" w:rsidRPr="0050767D" w:rsidRDefault="003E14CD" w:rsidP="00591F00">
            <w:pPr>
              <w:spacing w:after="120"/>
              <w:jc w:val="both"/>
              <w:rPr>
                <w:color w:val="000000"/>
                <w:sz w:val="22"/>
                <w:szCs w:val="22"/>
              </w:rPr>
            </w:pPr>
            <w:r w:rsidRPr="0050767D">
              <w:rPr>
                <w:color w:val="000000"/>
                <w:sz w:val="22"/>
                <w:szCs w:val="22"/>
              </w:rPr>
              <w:t xml:space="preserve">Писма </w:t>
            </w:r>
          </w:p>
        </w:tc>
        <w:tc>
          <w:tcPr>
            <w:tcW w:w="1275" w:type="dxa"/>
            <w:tcBorders>
              <w:top w:val="nil"/>
              <w:left w:val="nil"/>
              <w:bottom w:val="single" w:sz="8" w:space="0" w:color="auto"/>
              <w:right w:val="single" w:sz="8" w:space="0" w:color="auto"/>
            </w:tcBorders>
            <w:noWrap/>
            <w:vAlign w:val="center"/>
            <w:hideMark/>
          </w:tcPr>
          <w:p w14:paraId="67D69407" w14:textId="77777777" w:rsidR="003E14CD" w:rsidRPr="0050767D" w:rsidRDefault="003E14CD" w:rsidP="00591F00">
            <w:pPr>
              <w:spacing w:after="120"/>
              <w:jc w:val="right"/>
              <w:rPr>
                <w:color w:val="000000"/>
                <w:sz w:val="22"/>
                <w:szCs w:val="22"/>
              </w:rPr>
            </w:pPr>
            <w:r w:rsidRPr="0050767D">
              <w:rPr>
                <w:color w:val="000000"/>
                <w:sz w:val="22"/>
                <w:szCs w:val="22"/>
              </w:rPr>
              <w:t>4 417</w:t>
            </w:r>
          </w:p>
        </w:tc>
        <w:tc>
          <w:tcPr>
            <w:tcW w:w="993" w:type="dxa"/>
            <w:tcBorders>
              <w:top w:val="nil"/>
              <w:left w:val="nil"/>
              <w:bottom w:val="single" w:sz="8" w:space="0" w:color="auto"/>
              <w:right w:val="single" w:sz="8" w:space="0" w:color="auto"/>
            </w:tcBorders>
            <w:noWrap/>
            <w:vAlign w:val="center"/>
            <w:hideMark/>
          </w:tcPr>
          <w:p w14:paraId="2DF9C7AE" w14:textId="77777777" w:rsidR="003E14CD" w:rsidRPr="0050767D" w:rsidRDefault="003E14CD" w:rsidP="00591F00">
            <w:pPr>
              <w:spacing w:after="120"/>
              <w:jc w:val="right"/>
              <w:rPr>
                <w:color w:val="000000"/>
                <w:sz w:val="22"/>
                <w:szCs w:val="22"/>
              </w:rPr>
            </w:pPr>
            <w:r w:rsidRPr="0050767D">
              <w:rPr>
                <w:color w:val="000000"/>
                <w:sz w:val="22"/>
                <w:szCs w:val="22"/>
              </w:rPr>
              <w:t>3 818</w:t>
            </w:r>
          </w:p>
        </w:tc>
        <w:tc>
          <w:tcPr>
            <w:tcW w:w="1559" w:type="dxa"/>
            <w:tcBorders>
              <w:top w:val="nil"/>
              <w:left w:val="nil"/>
              <w:bottom w:val="single" w:sz="8" w:space="0" w:color="auto"/>
              <w:right w:val="single" w:sz="8" w:space="0" w:color="auto"/>
            </w:tcBorders>
            <w:noWrap/>
            <w:vAlign w:val="center"/>
            <w:hideMark/>
          </w:tcPr>
          <w:p w14:paraId="626E30B5" w14:textId="77777777" w:rsidR="003E14CD" w:rsidRPr="0050767D" w:rsidRDefault="003E14CD" w:rsidP="00591F00">
            <w:pPr>
              <w:spacing w:after="120"/>
              <w:jc w:val="right"/>
              <w:rPr>
                <w:color w:val="000000"/>
                <w:sz w:val="22"/>
                <w:szCs w:val="22"/>
              </w:rPr>
            </w:pPr>
            <w:r w:rsidRPr="0050767D">
              <w:rPr>
                <w:color w:val="000000"/>
                <w:sz w:val="22"/>
                <w:szCs w:val="22"/>
              </w:rPr>
              <w:t>4 078</w:t>
            </w:r>
          </w:p>
        </w:tc>
        <w:tc>
          <w:tcPr>
            <w:tcW w:w="1417" w:type="dxa"/>
            <w:tcBorders>
              <w:top w:val="nil"/>
              <w:left w:val="nil"/>
              <w:bottom w:val="single" w:sz="8" w:space="0" w:color="auto"/>
              <w:right w:val="single" w:sz="8" w:space="0" w:color="auto"/>
            </w:tcBorders>
            <w:noWrap/>
            <w:vAlign w:val="center"/>
            <w:hideMark/>
          </w:tcPr>
          <w:p w14:paraId="384F6912" w14:textId="77777777" w:rsidR="003E14CD" w:rsidRPr="0050767D" w:rsidRDefault="003E14CD" w:rsidP="00591F00">
            <w:pPr>
              <w:spacing w:after="120"/>
              <w:jc w:val="right"/>
              <w:rPr>
                <w:color w:val="000000"/>
                <w:sz w:val="22"/>
                <w:szCs w:val="22"/>
              </w:rPr>
            </w:pPr>
            <w:r w:rsidRPr="0050767D">
              <w:rPr>
                <w:color w:val="000000"/>
                <w:sz w:val="22"/>
                <w:szCs w:val="22"/>
              </w:rPr>
              <w:t>3 160 </w:t>
            </w:r>
          </w:p>
        </w:tc>
        <w:tc>
          <w:tcPr>
            <w:tcW w:w="1534" w:type="dxa"/>
            <w:tcBorders>
              <w:top w:val="nil"/>
              <w:left w:val="nil"/>
              <w:bottom w:val="single" w:sz="8" w:space="0" w:color="auto"/>
              <w:right w:val="single" w:sz="8" w:space="0" w:color="auto"/>
            </w:tcBorders>
            <w:vAlign w:val="center"/>
            <w:hideMark/>
          </w:tcPr>
          <w:p w14:paraId="597E9ECB" w14:textId="77777777" w:rsidR="003E14CD" w:rsidRPr="0050767D" w:rsidRDefault="003E14CD" w:rsidP="00591F00">
            <w:pPr>
              <w:spacing w:after="120"/>
              <w:jc w:val="right"/>
              <w:rPr>
                <w:color w:val="000000"/>
                <w:sz w:val="22"/>
                <w:szCs w:val="22"/>
              </w:rPr>
            </w:pPr>
            <w:r w:rsidRPr="0050767D">
              <w:rPr>
                <w:color w:val="000000"/>
                <w:sz w:val="22"/>
                <w:szCs w:val="22"/>
              </w:rPr>
              <w:t>4 078</w:t>
            </w:r>
          </w:p>
        </w:tc>
        <w:tc>
          <w:tcPr>
            <w:tcW w:w="1562" w:type="dxa"/>
            <w:tcBorders>
              <w:top w:val="nil"/>
              <w:left w:val="nil"/>
              <w:bottom w:val="single" w:sz="8" w:space="0" w:color="auto"/>
              <w:right w:val="single" w:sz="8" w:space="0" w:color="auto"/>
            </w:tcBorders>
            <w:noWrap/>
            <w:vAlign w:val="center"/>
            <w:hideMark/>
          </w:tcPr>
          <w:p w14:paraId="699EC7FB" w14:textId="77777777" w:rsidR="003E14CD" w:rsidRPr="0050767D" w:rsidRDefault="003E14CD" w:rsidP="00591F00">
            <w:pPr>
              <w:spacing w:after="120"/>
              <w:jc w:val="right"/>
              <w:rPr>
                <w:color w:val="000000"/>
                <w:sz w:val="22"/>
                <w:szCs w:val="22"/>
              </w:rPr>
            </w:pPr>
            <w:r w:rsidRPr="0050767D">
              <w:rPr>
                <w:color w:val="000000"/>
                <w:sz w:val="22"/>
                <w:szCs w:val="22"/>
              </w:rPr>
              <w:t>107 %</w:t>
            </w:r>
          </w:p>
        </w:tc>
      </w:tr>
    </w:tbl>
    <w:p w14:paraId="1D3FC836" w14:textId="77777777" w:rsidR="003E14CD" w:rsidRPr="0050767D" w:rsidRDefault="003E14CD" w:rsidP="003E14CD">
      <w:pPr>
        <w:spacing w:after="120"/>
        <w:jc w:val="right"/>
        <w:rPr>
          <w:rFonts w:eastAsiaTheme="minorHAnsi"/>
          <w:i/>
          <w:lang w:eastAsia="en-US"/>
        </w:rPr>
      </w:pPr>
      <w:r w:rsidRPr="0050767D">
        <w:rPr>
          <w:rFonts w:eastAsiaTheme="minorHAnsi"/>
          <w:i/>
          <w:lang w:eastAsia="en-US"/>
        </w:rPr>
        <w:t xml:space="preserve">       Източник: НАП</w:t>
      </w:r>
    </w:p>
    <w:p w14:paraId="32F08261" w14:textId="77777777" w:rsidR="003E14CD" w:rsidRPr="0050767D" w:rsidRDefault="003E14CD" w:rsidP="003E14CD">
      <w:pPr>
        <w:spacing w:after="120"/>
        <w:ind w:firstLine="709"/>
        <w:jc w:val="both"/>
        <w:rPr>
          <w:rFonts w:eastAsiaTheme="minorHAnsi"/>
          <w:lang w:eastAsia="en-US"/>
        </w:rPr>
      </w:pPr>
      <w:r w:rsidRPr="0050767D">
        <w:rPr>
          <w:b/>
          <w:lang w:eastAsia="en-US"/>
        </w:rPr>
        <w:t>Контрол на търговията с горива</w:t>
      </w:r>
    </w:p>
    <w:p w14:paraId="4FC69702" w14:textId="77777777" w:rsidR="003E14CD" w:rsidRPr="00E66F80" w:rsidRDefault="003E14CD" w:rsidP="009C209B">
      <w:pPr>
        <w:ind w:firstLine="709"/>
        <w:jc w:val="both"/>
      </w:pPr>
      <w:r w:rsidRPr="00E66F80">
        <w:t xml:space="preserve">През 2022 г. действията бяха насочени към оптимизиране на ИС „Контрол на горивата“. Създаден е алгоритъм за реализиране на нови валидации при продажба на горива от обекти с ЕСФП (от които се зареждат автоцистерни), с цел проследяване на движението до крайния получател/ разпространител. </w:t>
      </w:r>
    </w:p>
    <w:p w14:paraId="109C046B" w14:textId="77777777" w:rsidR="003E14CD" w:rsidRPr="00E66F80" w:rsidRDefault="003E14CD" w:rsidP="009C209B">
      <w:pPr>
        <w:ind w:firstLine="709"/>
        <w:jc w:val="both"/>
      </w:pPr>
      <w:r w:rsidRPr="00E66F80">
        <w:t>На 12.05.2022 г. е проведено заседание на Консултативния съвет за сътрудничество между държавните органи и лицата, осъществяващи икономически дейности с нефт и продукти от нефтен произход. На заседанието са обсъждани въпроси и възникнали проблеми при прилагането на  Закона за административното регулиране на икономическите дейности, свързани с нефт и продукти от нефтен произход (ЗАРИДСНПНП).</w:t>
      </w:r>
    </w:p>
    <w:p w14:paraId="4C62246F" w14:textId="77777777" w:rsidR="003E14CD" w:rsidRPr="00E66F80" w:rsidRDefault="003E14CD" w:rsidP="009C209B">
      <w:pPr>
        <w:ind w:firstLine="709"/>
        <w:jc w:val="both"/>
      </w:pPr>
      <w:r w:rsidRPr="00E66F80">
        <w:t>През 2022 година са извършени общо 83 проверки за установяване на факти и обстоятелства (ПУФО) в обекти, в хода на които са констатирани неотчетени продажби на горива, в т.ч.: бензини 2 863 552 литра на стойност 4 117 584 лв., газьол 9 458 205 литра на стойност 17 989 575 лв. и пропан-бутан 285 005 литра на стойност 426 988 лева. В хода на проверките са установени горива с необоснован произход: газьол 35 644 литра.</w:t>
      </w:r>
    </w:p>
    <w:p w14:paraId="6C1C8C90" w14:textId="77777777" w:rsidR="003E14CD" w:rsidRPr="00E66F80" w:rsidRDefault="003E14CD" w:rsidP="009C209B">
      <w:pPr>
        <w:ind w:firstLine="709"/>
        <w:jc w:val="both"/>
      </w:pPr>
      <w:r w:rsidRPr="00E66F80">
        <w:t xml:space="preserve">През периода едно задължено лице е дерегистрирано на основание чл. 176 и чл. 176в от ЗДДС. Съставени са общо 5 акта за установени административни нарушения, не е установено манипулиране на ЕСФП, не са налагани  принудителни административни мерки запечатване на обект и са инициирани възлагането на две ревизии след извършване на ПУФО. </w:t>
      </w:r>
    </w:p>
    <w:p w14:paraId="1E497324" w14:textId="77777777" w:rsidR="003E14CD" w:rsidRPr="00E66F80" w:rsidRDefault="003E14CD" w:rsidP="009C209B">
      <w:pPr>
        <w:ind w:firstLine="709"/>
        <w:jc w:val="both"/>
      </w:pPr>
      <w:r w:rsidRPr="00E66F80">
        <w:t xml:space="preserve">Възложени са ревизионни производства на общо 9 задължени лица, в хода на които са установени задължения по ЗДДС общо в размер на 44 608 лв., по ЗКПО общо в размер на 9 321,0 лева. </w:t>
      </w:r>
    </w:p>
    <w:p w14:paraId="02D2E541" w14:textId="77777777" w:rsidR="003E14CD" w:rsidRPr="00E66F80" w:rsidRDefault="003E14CD" w:rsidP="009C209B">
      <w:pPr>
        <w:ind w:firstLine="709"/>
        <w:jc w:val="both"/>
      </w:pPr>
      <w:r w:rsidRPr="00E66F80">
        <w:t>От началото на прилагането на чл.176в от ЗДДС до 31.12.2022 г. – 247 лица са вписани в регистъра по чл. 176в, ал. 10 от ЗДДС, които са предоставили обезпечение в общ размер 267 913 535,0 лева. През 2022 г. – 10 бр. нови лица са вписани в регистъра, които са предоставили обезпечение в размер на 399 095,0 лева.</w:t>
      </w:r>
    </w:p>
    <w:p w14:paraId="6FB1926D" w14:textId="77777777" w:rsidR="003E14CD" w:rsidRPr="00E66F80" w:rsidRDefault="003E14CD" w:rsidP="009C209B">
      <w:pPr>
        <w:ind w:firstLine="709"/>
        <w:jc w:val="both"/>
      </w:pPr>
      <w:r w:rsidRPr="00E66F80">
        <w:t>През годината са изведени по предварително заложени критерии 419 случаи за анализ на риска по чл. 176в, ал. 1, т. 1 и т. 3 от ЗДДС. В тази връзка за периода са възложени и извършени 363 бр. проверки по чл.176в от ЗДДС.</w:t>
      </w:r>
    </w:p>
    <w:p w14:paraId="0A4B5910" w14:textId="77777777" w:rsidR="003E14CD" w:rsidRPr="0050767D" w:rsidRDefault="003E14CD" w:rsidP="009C209B">
      <w:pPr>
        <w:ind w:firstLine="709"/>
        <w:jc w:val="both"/>
      </w:pPr>
      <w:r w:rsidRPr="00E66F80">
        <w:t>С приетите промени със ЗИД на ЗДДС, считано от 01.01.2018 г., задължените лица по чл.176в могат да подават декларация за вписване в регистъра по чл.176в, ал.15, освободени за предоставяне на обезпечение. Към 31.12.2022 г. са вписани общо 221 бр. лица.</w:t>
      </w:r>
    </w:p>
    <w:p w14:paraId="07A46FCA" w14:textId="77777777" w:rsidR="003E14CD" w:rsidRPr="0050767D" w:rsidRDefault="003E14CD" w:rsidP="002C2B1B">
      <w:pPr>
        <w:spacing w:before="120"/>
        <w:ind w:firstLine="709"/>
        <w:jc w:val="both"/>
        <w:rPr>
          <w:b/>
          <w:lang w:eastAsia="en-US"/>
        </w:rPr>
      </w:pPr>
      <w:r w:rsidRPr="0050767D">
        <w:rPr>
          <w:b/>
          <w:lang w:eastAsia="en-US"/>
        </w:rPr>
        <w:t>Превенция и противодействие на данъчни и осигурителни измами</w:t>
      </w:r>
    </w:p>
    <w:p w14:paraId="4A615BF8" w14:textId="77777777" w:rsidR="003E14CD" w:rsidRPr="0050767D" w:rsidRDefault="003E14CD" w:rsidP="003E14CD">
      <w:pPr>
        <w:spacing w:after="120"/>
        <w:ind w:firstLine="709"/>
        <w:jc w:val="both"/>
        <w:rPr>
          <w:lang w:eastAsia="en-US"/>
        </w:rPr>
      </w:pPr>
      <w:r w:rsidRPr="0050767D">
        <w:rPr>
          <w:lang w:eastAsia="en-US"/>
        </w:rPr>
        <w:t>Основна цел на борбата с данъчните и/или осигурителните измами е ограничаване на щетите за бюджета, редуциране на злоупотребите с данък и намаляване на неблагоприятния ефект от тях чрез дейности в няколко основни направления:</w:t>
      </w:r>
    </w:p>
    <w:p w14:paraId="14120CCB" w14:textId="77777777" w:rsidR="003E14CD" w:rsidRPr="0050767D" w:rsidRDefault="003E14CD" w:rsidP="003E14CD">
      <w:pPr>
        <w:spacing w:after="120"/>
        <w:jc w:val="center"/>
        <w:rPr>
          <w:b/>
          <w:bCs/>
          <w:lang w:eastAsia="en-US"/>
        </w:rPr>
      </w:pPr>
      <w:r w:rsidRPr="0050767D">
        <w:rPr>
          <w:b/>
          <w:bCs/>
          <w:lang w:eastAsia="en-US"/>
        </w:rPr>
        <w:t>Предприети действия по противодействие на данъчни и/или осигурителни измами за периода 2021-2022 г.</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698"/>
        <w:gridCol w:w="1042"/>
        <w:gridCol w:w="892"/>
        <w:gridCol w:w="1036"/>
      </w:tblGrid>
      <w:tr w:rsidR="003E14CD" w:rsidRPr="0050767D" w14:paraId="46BE1851" w14:textId="77777777" w:rsidTr="00591F00">
        <w:trPr>
          <w:trHeight w:val="593"/>
          <w:jc w:val="center"/>
        </w:trPr>
        <w:tc>
          <w:tcPr>
            <w:tcW w:w="6698" w:type="dxa"/>
            <w:shd w:val="clear" w:color="000000" w:fill="004A99"/>
            <w:vAlign w:val="center"/>
            <w:hideMark/>
          </w:tcPr>
          <w:p w14:paraId="1381771B" w14:textId="77777777" w:rsidR="003E14CD" w:rsidRPr="00E66F80" w:rsidRDefault="003E14CD" w:rsidP="00591F00">
            <w:pPr>
              <w:spacing w:after="120"/>
              <w:jc w:val="center"/>
              <w:rPr>
                <w:b/>
                <w:bCs/>
                <w:color w:val="FFFFFF"/>
              </w:rPr>
            </w:pPr>
            <w:r w:rsidRPr="00E66F80">
              <w:rPr>
                <w:b/>
                <w:bCs/>
                <w:color w:val="FFFFFF"/>
              </w:rPr>
              <w:t>Показатели</w:t>
            </w:r>
          </w:p>
        </w:tc>
        <w:tc>
          <w:tcPr>
            <w:tcW w:w="1042" w:type="dxa"/>
            <w:shd w:val="clear" w:color="000000" w:fill="004A99"/>
            <w:vAlign w:val="center"/>
            <w:hideMark/>
          </w:tcPr>
          <w:p w14:paraId="68C2F27D" w14:textId="77777777" w:rsidR="003E14CD" w:rsidRPr="00E66F80" w:rsidRDefault="003E14CD" w:rsidP="00591F00">
            <w:pPr>
              <w:spacing w:after="120"/>
              <w:jc w:val="center"/>
              <w:rPr>
                <w:b/>
                <w:bCs/>
                <w:color w:val="FFFFFF"/>
              </w:rPr>
            </w:pPr>
            <w:r w:rsidRPr="00E66F80">
              <w:rPr>
                <w:b/>
                <w:bCs/>
                <w:color w:val="FFFFFF"/>
              </w:rPr>
              <w:t>Мерна единица</w:t>
            </w:r>
          </w:p>
        </w:tc>
        <w:tc>
          <w:tcPr>
            <w:tcW w:w="892" w:type="dxa"/>
            <w:shd w:val="clear" w:color="000000" w:fill="004A99"/>
          </w:tcPr>
          <w:p w14:paraId="19DDA1A5" w14:textId="77777777" w:rsidR="003E14CD" w:rsidRPr="00E66F80" w:rsidRDefault="003E14CD" w:rsidP="00591F00">
            <w:pPr>
              <w:spacing w:after="120"/>
              <w:jc w:val="center"/>
              <w:rPr>
                <w:b/>
                <w:bCs/>
                <w:color w:val="FFFFFF"/>
              </w:rPr>
            </w:pPr>
          </w:p>
          <w:p w14:paraId="668EF08F" w14:textId="77777777" w:rsidR="003E14CD" w:rsidRPr="00E66F80" w:rsidRDefault="003E14CD" w:rsidP="00591F00">
            <w:pPr>
              <w:spacing w:after="120"/>
              <w:jc w:val="center"/>
              <w:rPr>
                <w:b/>
                <w:bCs/>
                <w:color w:val="FFFFFF"/>
              </w:rPr>
            </w:pPr>
            <w:r w:rsidRPr="00E66F80">
              <w:rPr>
                <w:b/>
                <w:bCs/>
                <w:color w:val="FFFFFF"/>
              </w:rPr>
              <w:t>2021 г.</w:t>
            </w:r>
          </w:p>
        </w:tc>
        <w:tc>
          <w:tcPr>
            <w:tcW w:w="1036" w:type="dxa"/>
            <w:shd w:val="clear" w:color="000000" w:fill="004A99"/>
          </w:tcPr>
          <w:p w14:paraId="14AF91F1" w14:textId="77777777" w:rsidR="003E14CD" w:rsidRPr="00E66F80" w:rsidRDefault="003E14CD" w:rsidP="00591F00">
            <w:pPr>
              <w:spacing w:after="120"/>
              <w:jc w:val="center"/>
              <w:rPr>
                <w:b/>
                <w:bCs/>
                <w:color w:val="FFFFFF"/>
              </w:rPr>
            </w:pPr>
          </w:p>
          <w:p w14:paraId="2E7E84EC" w14:textId="77777777" w:rsidR="003E14CD" w:rsidRPr="00E66F80" w:rsidRDefault="003E14CD" w:rsidP="00591F00">
            <w:pPr>
              <w:spacing w:after="120"/>
              <w:jc w:val="center"/>
              <w:rPr>
                <w:b/>
                <w:bCs/>
                <w:color w:val="FFFFFF"/>
              </w:rPr>
            </w:pPr>
            <w:r w:rsidRPr="00E66F80">
              <w:rPr>
                <w:b/>
                <w:bCs/>
                <w:color w:val="FFFFFF"/>
              </w:rPr>
              <w:t>2022 г.</w:t>
            </w:r>
          </w:p>
        </w:tc>
      </w:tr>
      <w:tr w:rsidR="003E14CD" w:rsidRPr="0050767D" w14:paraId="540BD46E" w14:textId="77777777" w:rsidTr="00591F00">
        <w:trPr>
          <w:trHeight w:hRule="exact" w:val="567"/>
          <w:jc w:val="center"/>
        </w:trPr>
        <w:tc>
          <w:tcPr>
            <w:tcW w:w="6698" w:type="dxa"/>
            <w:shd w:val="clear" w:color="auto" w:fill="auto"/>
            <w:vAlign w:val="center"/>
            <w:hideMark/>
          </w:tcPr>
          <w:p w14:paraId="05B7B951" w14:textId="77777777" w:rsidR="003E14CD" w:rsidRPr="0050767D" w:rsidRDefault="003E14CD" w:rsidP="00591F00">
            <w:pPr>
              <w:jc w:val="both"/>
              <w:rPr>
                <w:color w:val="000000"/>
                <w:sz w:val="20"/>
                <w:szCs w:val="20"/>
              </w:rPr>
            </w:pPr>
            <w:r w:rsidRPr="0050767D">
              <w:rPr>
                <w:color w:val="000000"/>
                <w:sz w:val="20"/>
                <w:szCs w:val="20"/>
              </w:rPr>
              <w:t>Доклади за организирани данъчни и/или осигурителни измами (ОДОИ)</w:t>
            </w:r>
          </w:p>
        </w:tc>
        <w:tc>
          <w:tcPr>
            <w:tcW w:w="1042" w:type="dxa"/>
            <w:shd w:val="clear" w:color="auto" w:fill="auto"/>
            <w:vAlign w:val="center"/>
            <w:hideMark/>
          </w:tcPr>
          <w:p w14:paraId="744CFC63" w14:textId="77777777" w:rsidR="003E14CD" w:rsidRPr="0050767D" w:rsidRDefault="003E14CD" w:rsidP="00591F00">
            <w:pPr>
              <w:jc w:val="center"/>
              <w:rPr>
                <w:color w:val="000000"/>
                <w:sz w:val="20"/>
                <w:szCs w:val="20"/>
              </w:rPr>
            </w:pPr>
            <w:r w:rsidRPr="0050767D">
              <w:rPr>
                <w:color w:val="000000"/>
                <w:sz w:val="20"/>
                <w:szCs w:val="20"/>
              </w:rPr>
              <w:t>брой</w:t>
            </w:r>
          </w:p>
        </w:tc>
        <w:tc>
          <w:tcPr>
            <w:tcW w:w="892" w:type="dxa"/>
            <w:vAlign w:val="center"/>
          </w:tcPr>
          <w:p w14:paraId="487B695C" w14:textId="77777777" w:rsidR="003E14CD" w:rsidRPr="0050767D" w:rsidRDefault="003E14CD" w:rsidP="00591F00">
            <w:pPr>
              <w:jc w:val="right"/>
              <w:rPr>
                <w:color w:val="000000"/>
                <w:sz w:val="20"/>
                <w:szCs w:val="20"/>
              </w:rPr>
            </w:pPr>
            <w:r w:rsidRPr="0050767D">
              <w:rPr>
                <w:color w:val="000000"/>
                <w:sz w:val="20"/>
                <w:szCs w:val="20"/>
              </w:rPr>
              <w:t>66</w:t>
            </w:r>
          </w:p>
        </w:tc>
        <w:tc>
          <w:tcPr>
            <w:tcW w:w="1036" w:type="dxa"/>
            <w:vAlign w:val="center"/>
          </w:tcPr>
          <w:p w14:paraId="4185D0F4" w14:textId="77777777" w:rsidR="003E14CD" w:rsidRPr="0050767D" w:rsidRDefault="003E14CD" w:rsidP="00591F00">
            <w:pPr>
              <w:jc w:val="right"/>
              <w:rPr>
                <w:color w:val="000000"/>
                <w:sz w:val="20"/>
                <w:szCs w:val="20"/>
              </w:rPr>
            </w:pPr>
          </w:p>
          <w:p w14:paraId="45ADF503" w14:textId="77777777" w:rsidR="003E14CD" w:rsidRPr="0050767D" w:rsidRDefault="003E14CD" w:rsidP="00591F00">
            <w:pPr>
              <w:jc w:val="right"/>
              <w:rPr>
                <w:color w:val="000000"/>
                <w:sz w:val="20"/>
                <w:szCs w:val="20"/>
              </w:rPr>
            </w:pPr>
            <w:r w:rsidRPr="0050767D">
              <w:rPr>
                <w:color w:val="000000"/>
                <w:sz w:val="20"/>
                <w:szCs w:val="20"/>
              </w:rPr>
              <w:t>43</w:t>
            </w:r>
          </w:p>
          <w:p w14:paraId="3D9D3BCC" w14:textId="77777777" w:rsidR="003E14CD" w:rsidRPr="0050767D" w:rsidRDefault="003E14CD" w:rsidP="00591F00">
            <w:pPr>
              <w:jc w:val="right"/>
              <w:rPr>
                <w:color w:val="000000"/>
                <w:sz w:val="20"/>
                <w:szCs w:val="20"/>
              </w:rPr>
            </w:pPr>
          </w:p>
        </w:tc>
      </w:tr>
      <w:tr w:rsidR="003E14CD" w:rsidRPr="0050767D" w14:paraId="4A895F1C" w14:textId="77777777" w:rsidTr="00591F00">
        <w:trPr>
          <w:trHeight w:hRule="exact" w:val="567"/>
          <w:jc w:val="center"/>
        </w:trPr>
        <w:tc>
          <w:tcPr>
            <w:tcW w:w="6698" w:type="dxa"/>
            <w:shd w:val="clear" w:color="auto" w:fill="auto"/>
            <w:vAlign w:val="center"/>
            <w:hideMark/>
          </w:tcPr>
          <w:p w14:paraId="64E15933" w14:textId="77777777" w:rsidR="003E14CD" w:rsidRPr="0050767D" w:rsidRDefault="003E14CD" w:rsidP="00591F00">
            <w:pPr>
              <w:spacing w:after="240"/>
              <w:jc w:val="both"/>
              <w:rPr>
                <w:color w:val="000000"/>
                <w:sz w:val="20"/>
                <w:szCs w:val="20"/>
              </w:rPr>
            </w:pPr>
            <w:r w:rsidRPr="0050767D">
              <w:rPr>
                <w:color w:val="000000"/>
                <w:sz w:val="20"/>
                <w:szCs w:val="20"/>
              </w:rPr>
              <w:t xml:space="preserve">Участници в организирани данъчни и/или осигурителни измами общо  </w:t>
            </w:r>
          </w:p>
        </w:tc>
        <w:tc>
          <w:tcPr>
            <w:tcW w:w="1042" w:type="dxa"/>
            <w:shd w:val="clear" w:color="auto" w:fill="auto"/>
            <w:vAlign w:val="center"/>
            <w:hideMark/>
          </w:tcPr>
          <w:p w14:paraId="3427E02E" w14:textId="77777777" w:rsidR="003E14CD" w:rsidRPr="0050767D" w:rsidRDefault="003E14CD" w:rsidP="00591F00">
            <w:pPr>
              <w:spacing w:after="240"/>
              <w:jc w:val="center"/>
              <w:rPr>
                <w:color w:val="000000"/>
                <w:sz w:val="20"/>
                <w:szCs w:val="20"/>
              </w:rPr>
            </w:pPr>
            <w:r w:rsidRPr="0050767D">
              <w:rPr>
                <w:color w:val="000000"/>
                <w:sz w:val="20"/>
                <w:szCs w:val="20"/>
              </w:rPr>
              <w:t>брой</w:t>
            </w:r>
          </w:p>
        </w:tc>
        <w:tc>
          <w:tcPr>
            <w:tcW w:w="892" w:type="dxa"/>
            <w:vAlign w:val="center"/>
          </w:tcPr>
          <w:p w14:paraId="78D018B4" w14:textId="77777777" w:rsidR="003E14CD" w:rsidRPr="0050767D" w:rsidRDefault="003E14CD" w:rsidP="00591F00">
            <w:pPr>
              <w:spacing w:after="240"/>
              <w:jc w:val="right"/>
              <w:rPr>
                <w:color w:val="000000"/>
                <w:sz w:val="20"/>
                <w:szCs w:val="20"/>
              </w:rPr>
            </w:pPr>
            <w:r w:rsidRPr="0050767D">
              <w:rPr>
                <w:color w:val="000000"/>
                <w:sz w:val="20"/>
                <w:szCs w:val="20"/>
              </w:rPr>
              <w:t>743</w:t>
            </w:r>
          </w:p>
        </w:tc>
        <w:tc>
          <w:tcPr>
            <w:tcW w:w="1036" w:type="dxa"/>
            <w:vAlign w:val="center"/>
          </w:tcPr>
          <w:p w14:paraId="6250A2FB" w14:textId="77777777" w:rsidR="003E14CD" w:rsidRPr="0050767D" w:rsidRDefault="003E14CD" w:rsidP="00591F00">
            <w:pPr>
              <w:spacing w:after="240"/>
              <w:jc w:val="right"/>
              <w:rPr>
                <w:color w:val="000000"/>
                <w:sz w:val="20"/>
                <w:szCs w:val="20"/>
              </w:rPr>
            </w:pPr>
            <w:r w:rsidRPr="0050767D">
              <w:rPr>
                <w:color w:val="000000"/>
                <w:sz w:val="20"/>
                <w:szCs w:val="20"/>
              </w:rPr>
              <w:t>676</w:t>
            </w:r>
          </w:p>
        </w:tc>
      </w:tr>
      <w:tr w:rsidR="003E14CD" w:rsidRPr="0050767D" w14:paraId="792981F8" w14:textId="77777777" w:rsidTr="00591F00">
        <w:trPr>
          <w:trHeight w:hRule="exact" w:val="567"/>
          <w:jc w:val="center"/>
        </w:trPr>
        <w:tc>
          <w:tcPr>
            <w:tcW w:w="6698" w:type="dxa"/>
            <w:shd w:val="clear" w:color="auto" w:fill="auto"/>
            <w:vAlign w:val="center"/>
            <w:hideMark/>
          </w:tcPr>
          <w:p w14:paraId="13128C8B" w14:textId="77777777" w:rsidR="003E14CD" w:rsidRPr="0050767D" w:rsidRDefault="003E14CD" w:rsidP="00591F00">
            <w:pPr>
              <w:spacing w:after="240"/>
              <w:jc w:val="both"/>
              <w:rPr>
                <w:color w:val="000000"/>
                <w:sz w:val="20"/>
                <w:szCs w:val="20"/>
              </w:rPr>
            </w:pPr>
            <w:r w:rsidRPr="0050767D">
              <w:rPr>
                <w:color w:val="000000"/>
                <w:sz w:val="20"/>
                <w:szCs w:val="20"/>
              </w:rPr>
              <w:t>Предполагаем размер на нанесената щета на бюджета съгласно доклади за ОДОИ</w:t>
            </w:r>
          </w:p>
        </w:tc>
        <w:tc>
          <w:tcPr>
            <w:tcW w:w="1042" w:type="dxa"/>
            <w:shd w:val="clear" w:color="auto" w:fill="auto"/>
            <w:vAlign w:val="center"/>
            <w:hideMark/>
          </w:tcPr>
          <w:p w14:paraId="49A65C07" w14:textId="77777777" w:rsidR="003E14CD" w:rsidRPr="0050767D" w:rsidRDefault="003E14CD" w:rsidP="00591F00">
            <w:pPr>
              <w:spacing w:after="240"/>
              <w:jc w:val="center"/>
              <w:rPr>
                <w:color w:val="000000"/>
                <w:sz w:val="20"/>
                <w:szCs w:val="20"/>
              </w:rPr>
            </w:pPr>
            <w:r w:rsidRPr="0050767D">
              <w:rPr>
                <w:color w:val="000000"/>
                <w:sz w:val="20"/>
                <w:szCs w:val="20"/>
              </w:rPr>
              <w:t>хил. лв.</w:t>
            </w:r>
          </w:p>
        </w:tc>
        <w:tc>
          <w:tcPr>
            <w:tcW w:w="892" w:type="dxa"/>
            <w:vAlign w:val="center"/>
          </w:tcPr>
          <w:p w14:paraId="0E2566D7" w14:textId="77777777" w:rsidR="003E14CD" w:rsidRPr="0050767D" w:rsidRDefault="003E14CD" w:rsidP="00591F00">
            <w:pPr>
              <w:spacing w:after="240"/>
              <w:jc w:val="right"/>
              <w:rPr>
                <w:color w:val="000000"/>
                <w:sz w:val="20"/>
                <w:szCs w:val="20"/>
              </w:rPr>
            </w:pPr>
            <w:r w:rsidRPr="0050767D">
              <w:rPr>
                <w:color w:val="000000"/>
                <w:sz w:val="20"/>
                <w:szCs w:val="20"/>
              </w:rPr>
              <w:t>145 406</w:t>
            </w:r>
          </w:p>
        </w:tc>
        <w:tc>
          <w:tcPr>
            <w:tcW w:w="1036" w:type="dxa"/>
            <w:vAlign w:val="center"/>
          </w:tcPr>
          <w:p w14:paraId="4BE707F8" w14:textId="77777777" w:rsidR="003E14CD" w:rsidRPr="0050767D" w:rsidRDefault="003E14CD" w:rsidP="00591F00">
            <w:pPr>
              <w:spacing w:after="240"/>
              <w:jc w:val="right"/>
              <w:rPr>
                <w:color w:val="000000"/>
                <w:sz w:val="20"/>
                <w:szCs w:val="20"/>
              </w:rPr>
            </w:pPr>
            <w:r w:rsidRPr="0050767D">
              <w:rPr>
                <w:color w:val="000000"/>
                <w:sz w:val="20"/>
                <w:szCs w:val="20"/>
              </w:rPr>
              <w:t>148 731</w:t>
            </w:r>
          </w:p>
        </w:tc>
      </w:tr>
      <w:tr w:rsidR="003E14CD" w:rsidRPr="0050767D" w14:paraId="54CD0A2E" w14:textId="77777777" w:rsidTr="00591F00">
        <w:trPr>
          <w:trHeight w:hRule="exact" w:val="567"/>
          <w:jc w:val="center"/>
        </w:trPr>
        <w:tc>
          <w:tcPr>
            <w:tcW w:w="6698" w:type="dxa"/>
            <w:shd w:val="clear" w:color="auto" w:fill="auto"/>
            <w:vAlign w:val="center"/>
            <w:hideMark/>
          </w:tcPr>
          <w:p w14:paraId="486BEEDF" w14:textId="77777777" w:rsidR="003E14CD" w:rsidRPr="0050767D" w:rsidRDefault="003E14CD" w:rsidP="00591F00">
            <w:pPr>
              <w:jc w:val="both"/>
              <w:rPr>
                <w:color w:val="000000"/>
                <w:sz w:val="20"/>
                <w:szCs w:val="20"/>
              </w:rPr>
            </w:pPr>
            <w:r w:rsidRPr="0050767D">
              <w:rPr>
                <w:color w:val="000000"/>
                <w:sz w:val="20"/>
                <w:szCs w:val="20"/>
              </w:rPr>
              <w:t xml:space="preserve">Проверки във връзка с доклади за ОДОИ  </w:t>
            </w:r>
          </w:p>
        </w:tc>
        <w:tc>
          <w:tcPr>
            <w:tcW w:w="1042" w:type="dxa"/>
            <w:shd w:val="clear" w:color="auto" w:fill="auto"/>
            <w:vAlign w:val="center"/>
            <w:hideMark/>
          </w:tcPr>
          <w:p w14:paraId="6FB7AA84" w14:textId="77777777" w:rsidR="003E14CD" w:rsidRPr="0050767D" w:rsidRDefault="003E14CD" w:rsidP="00591F00">
            <w:pPr>
              <w:jc w:val="center"/>
              <w:rPr>
                <w:color w:val="000000"/>
                <w:sz w:val="20"/>
                <w:szCs w:val="20"/>
              </w:rPr>
            </w:pPr>
            <w:r w:rsidRPr="0050767D">
              <w:rPr>
                <w:color w:val="000000"/>
                <w:sz w:val="20"/>
                <w:szCs w:val="20"/>
              </w:rPr>
              <w:t>брой</w:t>
            </w:r>
          </w:p>
        </w:tc>
        <w:tc>
          <w:tcPr>
            <w:tcW w:w="892" w:type="dxa"/>
            <w:vAlign w:val="center"/>
          </w:tcPr>
          <w:p w14:paraId="74156B0F" w14:textId="77777777" w:rsidR="003E14CD" w:rsidRPr="0050767D" w:rsidRDefault="003E14CD" w:rsidP="00591F00">
            <w:pPr>
              <w:jc w:val="right"/>
              <w:rPr>
                <w:color w:val="000000"/>
                <w:sz w:val="20"/>
                <w:szCs w:val="20"/>
              </w:rPr>
            </w:pPr>
            <w:r w:rsidRPr="0050767D">
              <w:rPr>
                <w:color w:val="000000"/>
                <w:sz w:val="20"/>
                <w:szCs w:val="20"/>
              </w:rPr>
              <w:t>240</w:t>
            </w:r>
          </w:p>
        </w:tc>
        <w:tc>
          <w:tcPr>
            <w:tcW w:w="1036" w:type="dxa"/>
            <w:vAlign w:val="center"/>
          </w:tcPr>
          <w:p w14:paraId="74B907DF" w14:textId="77777777" w:rsidR="003E14CD" w:rsidRPr="0050767D" w:rsidRDefault="003E14CD" w:rsidP="00591F00">
            <w:pPr>
              <w:jc w:val="right"/>
              <w:rPr>
                <w:color w:val="000000"/>
                <w:sz w:val="20"/>
                <w:szCs w:val="20"/>
              </w:rPr>
            </w:pPr>
          </w:p>
          <w:p w14:paraId="796FE5BA" w14:textId="77777777" w:rsidR="003E14CD" w:rsidRPr="0050767D" w:rsidRDefault="003E14CD" w:rsidP="00591F00">
            <w:pPr>
              <w:spacing w:after="240"/>
              <w:jc w:val="right"/>
              <w:rPr>
                <w:color w:val="000000"/>
                <w:sz w:val="20"/>
                <w:szCs w:val="20"/>
              </w:rPr>
            </w:pPr>
            <w:r w:rsidRPr="0050767D">
              <w:rPr>
                <w:color w:val="000000"/>
                <w:sz w:val="20"/>
                <w:szCs w:val="20"/>
              </w:rPr>
              <w:t>286</w:t>
            </w:r>
          </w:p>
        </w:tc>
      </w:tr>
      <w:tr w:rsidR="003E14CD" w:rsidRPr="0050767D" w14:paraId="4793BBE9" w14:textId="77777777" w:rsidTr="00591F00">
        <w:trPr>
          <w:trHeight w:hRule="exact" w:val="567"/>
          <w:jc w:val="center"/>
        </w:trPr>
        <w:tc>
          <w:tcPr>
            <w:tcW w:w="6698" w:type="dxa"/>
            <w:shd w:val="clear" w:color="auto" w:fill="auto"/>
            <w:vAlign w:val="center"/>
            <w:hideMark/>
          </w:tcPr>
          <w:p w14:paraId="590C590E" w14:textId="77777777" w:rsidR="003E14CD" w:rsidRPr="0050767D" w:rsidRDefault="003E14CD" w:rsidP="00591F00">
            <w:pPr>
              <w:jc w:val="both"/>
              <w:rPr>
                <w:color w:val="000000"/>
                <w:sz w:val="20"/>
                <w:szCs w:val="20"/>
              </w:rPr>
            </w:pPr>
            <w:r w:rsidRPr="0050767D">
              <w:rPr>
                <w:color w:val="000000"/>
                <w:sz w:val="20"/>
                <w:szCs w:val="20"/>
              </w:rPr>
              <w:t xml:space="preserve">Ревизии във връзка с доклади за ОДОИ  </w:t>
            </w:r>
          </w:p>
        </w:tc>
        <w:tc>
          <w:tcPr>
            <w:tcW w:w="1042" w:type="dxa"/>
            <w:shd w:val="clear" w:color="auto" w:fill="auto"/>
            <w:vAlign w:val="center"/>
            <w:hideMark/>
          </w:tcPr>
          <w:p w14:paraId="49C15FD4" w14:textId="77777777" w:rsidR="003E14CD" w:rsidRPr="0050767D" w:rsidRDefault="003E14CD" w:rsidP="00591F00">
            <w:pPr>
              <w:jc w:val="center"/>
              <w:rPr>
                <w:color w:val="000000"/>
                <w:sz w:val="20"/>
                <w:szCs w:val="20"/>
              </w:rPr>
            </w:pPr>
            <w:r w:rsidRPr="0050767D">
              <w:rPr>
                <w:color w:val="000000"/>
                <w:sz w:val="20"/>
                <w:szCs w:val="20"/>
              </w:rPr>
              <w:t>брой</w:t>
            </w:r>
          </w:p>
        </w:tc>
        <w:tc>
          <w:tcPr>
            <w:tcW w:w="892" w:type="dxa"/>
            <w:vAlign w:val="center"/>
          </w:tcPr>
          <w:p w14:paraId="1A861784" w14:textId="77777777" w:rsidR="003E14CD" w:rsidRPr="0050767D" w:rsidRDefault="003E14CD" w:rsidP="00591F00">
            <w:pPr>
              <w:jc w:val="right"/>
              <w:rPr>
                <w:color w:val="000000"/>
                <w:sz w:val="20"/>
                <w:szCs w:val="20"/>
              </w:rPr>
            </w:pPr>
            <w:r w:rsidRPr="0050767D">
              <w:rPr>
                <w:color w:val="000000"/>
                <w:sz w:val="20"/>
                <w:szCs w:val="20"/>
              </w:rPr>
              <w:t>103</w:t>
            </w:r>
          </w:p>
        </w:tc>
        <w:tc>
          <w:tcPr>
            <w:tcW w:w="1036" w:type="dxa"/>
            <w:vAlign w:val="center"/>
          </w:tcPr>
          <w:p w14:paraId="2540F214" w14:textId="77777777" w:rsidR="003E14CD" w:rsidRPr="0050767D" w:rsidRDefault="003E14CD" w:rsidP="00591F00">
            <w:pPr>
              <w:jc w:val="right"/>
              <w:rPr>
                <w:color w:val="000000"/>
                <w:sz w:val="20"/>
                <w:szCs w:val="20"/>
              </w:rPr>
            </w:pPr>
            <w:r w:rsidRPr="0050767D">
              <w:rPr>
                <w:color w:val="000000"/>
                <w:sz w:val="20"/>
                <w:szCs w:val="20"/>
              </w:rPr>
              <w:t>73</w:t>
            </w:r>
          </w:p>
        </w:tc>
      </w:tr>
      <w:tr w:rsidR="003E14CD" w:rsidRPr="0050767D" w14:paraId="757051FB" w14:textId="77777777" w:rsidTr="00591F00">
        <w:trPr>
          <w:trHeight w:hRule="exact" w:val="567"/>
          <w:jc w:val="center"/>
        </w:trPr>
        <w:tc>
          <w:tcPr>
            <w:tcW w:w="6698" w:type="dxa"/>
            <w:shd w:val="clear" w:color="auto" w:fill="auto"/>
            <w:vAlign w:val="center"/>
            <w:hideMark/>
          </w:tcPr>
          <w:p w14:paraId="099CC0E6" w14:textId="77777777" w:rsidR="003E14CD" w:rsidRPr="0050767D" w:rsidRDefault="003E14CD" w:rsidP="00591F00">
            <w:pPr>
              <w:rPr>
                <w:sz w:val="20"/>
                <w:szCs w:val="20"/>
              </w:rPr>
            </w:pPr>
            <w:r w:rsidRPr="0050767D">
              <w:rPr>
                <w:sz w:val="20"/>
                <w:szCs w:val="20"/>
              </w:rPr>
              <w:t>Установени задължения за внасяне с ревизионен акт по доклади за измама (главница)</w:t>
            </w:r>
          </w:p>
        </w:tc>
        <w:tc>
          <w:tcPr>
            <w:tcW w:w="1042" w:type="dxa"/>
            <w:shd w:val="clear" w:color="auto" w:fill="auto"/>
            <w:vAlign w:val="center"/>
            <w:hideMark/>
          </w:tcPr>
          <w:p w14:paraId="5DA0F691" w14:textId="77777777" w:rsidR="003E14CD" w:rsidRPr="0050767D" w:rsidRDefault="003E14CD" w:rsidP="00591F00">
            <w:pPr>
              <w:jc w:val="center"/>
              <w:rPr>
                <w:sz w:val="20"/>
                <w:szCs w:val="20"/>
              </w:rPr>
            </w:pPr>
            <w:r w:rsidRPr="0050767D">
              <w:rPr>
                <w:sz w:val="20"/>
                <w:szCs w:val="20"/>
              </w:rPr>
              <w:t>хил. лв.</w:t>
            </w:r>
          </w:p>
        </w:tc>
        <w:tc>
          <w:tcPr>
            <w:tcW w:w="892" w:type="dxa"/>
            <w:vAlign w:val="center"/>
          </w:tcPr>
          <w:p w14:paraId="03200FAA" w14:textId="77777777" w:rsidR="003E14CD" w:rsidRPr="0050767D" w:rsidRDefault="003E14CD" w:rsidP="00591F00">
            <w:pPr>
              <w:jc w:val="right"/>
              <w:rPr>
                <w:sz w:val="20"/>
                <w:szCs w:val="20"/>
              </w:rPr>
            </w:pPr>
            <w:r w:rsidRPr="0050767D">
              <w:rPr>
                <w:sz w:val="20"/>
                <w:szCs w:val="20"/>
              </w:rPr>
              <w:t>16 663</w:t>
            </w:r>
          </w:p>
        </w:tc>
        <w:tc>
          <w:tcPr>
            <w:tcW w:w="1036" w:type="dxa"/>
            <w:vAlign w:val="center"/>
          </w:tcPr>
          <w:p w14:paraId="0005B152" w14:textId="77777777" w:rsidR="003E14CD" w:rsidRPr="0050767D" w:rsidRDefault="003E14CD" w:rsidP="00591F00">
            <w:pPr>
              <w:jc w:val="right"/>
              <w:rPr>
                <w:sz w:val="20"/>
                <w:szCs w:val="20"/>
              </w:rPr>
            </w:pPr>
            <w:r w:rsidRPr="0050767D">
              <w:rPr>
                <w:sz w:val="20"/>
                <w:szCs w:val="20"/>
              </w:rPr>
              <w:t>52 194</w:t>
            </w:r>
          </w:p>
        </w:tc>
      </w:tr>
      <w:tr w:rsidR="003E14CD" w:rsidRPr="0050767D" w14:paraId="51F9AC42" w14:textId="77777777" w:rsidTr="00591F00">
        <w:trPr>
          <w:trHeight w:hRule="exact" w:val="803"/>
          <w:jc w:val="center"/>
        </w:trPr>
        <w:tc>
          <w:tcPr>
            <w:tcW w:w="6698" w:type="dxa"/>
            <w:shd w:val="clear" w:color="auto" w:fill="auto"/>
            <w:vAlign w:val="center"/>
          </w:tcPr>
          <w:p w14:paraId="71060E0D" w14:textId="77777777" w:rsidR="003E14CD" w:rsidRPr="0050767D" w:rsidRDefault="003E14CD" w:rsidP="00591F00">
            <w:pPr>
              <w:rPr>
                <w:sz w:val="20"/>
                <w:szCs w:val="20"/>
              </w:rPr>
            </w:pPr>
            <w:r w:rsidRPr="0050767D">
              <w:rPr>
                <w:sz w:val="20"/>
                <w:szCs w:val="20"/>
              </w:rPr>
              <w:t>Установени лихви върху задължения за внасяне с РА по ревизии, възложени по доклади за измами</w:t>
            </w:r>
          </w:p>
        </w:tc>
        <w:tc>
          <w:tcPr>
            <w:tcW w:w="1042" w:type="dxa"/>
            <w:shd w:val="clear" w:color="auto" w:fill="auto"/>
            <w:vAlign w:val="center"/>
          </w:tcPr>
          <w:p w14:paraId="1055EC28" w14:textId="77777777" w:rsidR="003E14CD" w:rsidRPr="0050767D" w:rsidRDefault="003E14CD" w:rsidP="00591F00">
            <w:pPr>
              <w:jc w:val="center"/>
              <w:rPr>
                <w:sz w:val="20"/>
                <w:szCs w:val="20"/>
              </w:rPr>
            </w:pPr>
            <w:r w:rsidRPr="0050767D">
              <w:rPr>
                <w:sz w:val="20"/>
                <w:szCs w:val="20"/>
              </w:rPr>
              <w:t>хил. лв.</w:t>
            </w:r>
          </w:p>
        </w:tc>
        <w:tc>
          <w:tcPr>
            <w:tcW w:w="892" w:type="dxa"/>
            <w:vAlign w:val="center"/>
          </w:tcPr>
          <w:p w14:paraId="4B516F81" w14:textId="77777777" w:rsidR="003E14CD" w:rsidRPr="0050767D" w:rsidRDefault="003E14CD" w:rsidP="00591F00">
            <w:pPr>
              <w:jc w:val="right"/>
              <w:rPr>
                <w:sz w:val="20"/>
                <w:szCs w:val="20"/>
              </w:rPr>
            </w:pPr>
            <w:r w:rsidRPr="0050767D">
              <w:rPr>
                <w:sz w:val="20"/>
                <w:szCs w:val="20"/>
              </w:rPr>
              <w:t>3 730</w:t>
            </w:r>
          </w:p>
        </w:tc>
        <w:tc>
          <w:tcPr>
            <w:tcW w:w="1036" w:type="dxa"/>
            <w:vAlign w:val="center"/>
          </w:tcPr>
          <w:p w14:paraId="0E2F91D1" w14:textId="77777777" w:rsidR="003E14CD" w:rsidRPr="0050767D" w:rsidRDefault="003E14CD" w:rsidP="00591F00">
            <w:pPr>
              <w:jc w:val="right"/>
              <w:rPr>
                <w:sz w:val="20"/>
                <w:szCs w:val="20"/>
              </w:rPr>
            </w:pPr>
            <w:r w:rsidRPr="0050767D">
              <w:rPr>
                <w:sz w:val="20"/>
                <w:szCs w:val="20"/>
              </w:rPr>
              <w:t>12 071</w:t>
            </w:r>
          </w:p>
        </w:tc>
      </w:tr>
      <w:tr w:rsidR="003E14CD" w:rsidRPr="0050767D" w14:paraId="4710BDEC" w14:textId="77777777" w:rsidTr="00591F00">
        <w:trPr>
          <w:trHeight w:hRule="exact" w:val="567"/>
          <w:jc w:val="center"/>
        </w:trPr>
        <w:tc>
          <w:tcPr>
            <w:tcW w:w="6698" w:type="dxa"/>
            <w:shd w:val="clear" w:color="auto" w:fill="auto"/>
            <w:vAlign w:val="center"/>
            <w:hideMark/>
          </w:tcPr>
          <w:p w14:paraId="725235B1" w14:textId="77777777" w:rsidR="003E14CD" w:rsidRPr="0050767D" w:rsidRDefault="003E14CD" w:rsidP="00591F00">
            <w:pPr>
              <w:jc w:val="both"/>
              <w:rPr>
                <w:color w:val="000000"/>
                <w:sz w:val="20"/>
                <w:szCs w:val="20"/>
              </w:rPr>
            </w:pPr>
            <w:r w:rsidRPr="0050767D">
              <w:rPr>
                <w:color w:val="000000"/>
                <w:sz w:val="20"/>
                <w:szCs w:val="20"/>
              </w:rPr>
              <w:t>Задължени лица, въведени в База данни "Рискови субекти"</w:t>
            </w:r>
          </w:p>
        </w:tc>
        <w:tc>
          <w:tcPr>
            <w:tcW w:w="1042" w:type="dxa"/>
            <w:shd w:val="clear" w:color="auto" w:fill="auto"/>
            <w:vAlign w:val="center"/>
            <w:hideMark/>
          </w:tcPr>
          <w:p w14:paraId="56E2BFB6" w14:textId="77777777" w:rsidR="003E14CD" w:rsidRPr="0050767D" w:rsidRDefault="003E14CD" w:rsidP="00591F00">
            <w:pPr>
              <w:jc w:val="center"/>
              <w:rPr>
                <w:color w:val="000000"/>
                <w:sz w:val="20"/>
                <w:szCs w:val="20"/>
              </w:rPr>
            </w:pPr>
            <w:r w:rsidRPr="0050767D">
              <w:rPr>
                <w:color w:val="000000"/>
                <w:sz w:val="20"/>
                <w:szCs w:val="20"/>
              </w:rPr>
              <w:t>брой</w:t>
            </w:r>
          </w:p>
        </w:tc>
        <w:tc>
          <w:tcPr>
            <w:tcW w:w="892" w:type="dxa"/>
            <w:vAlign w:val="center"/>
          </w:tcPr>
          <w:p w14:paraId="53E17F0F" w14:textId="77777777" w:rsidR="003E14CD" w:rsidRPr="0050767D" w:rsidRDefault="003E14CD" w:rsidP="00591F00">
            <w:pPr>
              <w:jc w:val="right"/>
              <w:rPr>
                <w:color w:val="000000"/>
                <w:sz w:val="20"/>
                <w:szCs w:val="20"/>
              </w:rPr>
            </w:pPr>
            <w:r w:rsidRPr="0050767D">
              <w:rPr>
                <w:color w:val="000000"/>
                <w:sz w:val="20"/>
                <w:szCs w:val="20"/>
              </w:rPr>
              <w:t>5 252</w:t>
            </w:r>
          </w:p>
        </w:tc>
        <w:tc>
          <w:tcPr>
            <w:tcW w:w="1036" w:type="dxa"/>
            <w:vAlign w:val="center"/>
          </w:tcPr>
          <w:p w14:paraId="0CD44967" w14:textId="77777777" w:rsidR="003E14CD" w:rsidRPr="0050767D" w:rsidRDefault="003E14CD" w:rsidP="00591F00">
            <w:pPr>
              <w:jc w:val="right"/>
              <w:rPr>
                <w:color w:val="000000"/>
                <w:sz w:val="20"/>
                <w:szCs w:val="20"/>
              </w:rPr>
            </w:pPr>
            <w:r w:rsidRPr="0050767D">
              <w:rPr>
                <w:color w:val="000000"/>
                <w:sz w:val="20"/>
                <w:szCs w:val="20"/>
              </w:rPr>
              <w:t>2 407</w:t>
            </w:r>
          </w:p>
        </w:tc>
      </w:tr>
    </w:tbl>
    <w:p w14:paraId="6852E7D7" w14:textId="77777777" w:rsidR="003E14CD" w:rsidRPr="0050767D" w:rsidRDefault="003E14CD" w:rsidP="003E14CD">
      <w:pPr>
        <w:spacing w:after="120"/>
        <w:jc w:val="right"/>
        <w:rPr>
          <w:rFonts w:eastAsiaTheme="minorHAnsi"/>
          <w:i/>
          <w:lang w:eastAsia="en-US"/>
        </w:rPr>
      </w:pPr>
      <w:r w:rsidRPr="0050767D">
        <w:rPr>
          <w:rFonts w:eastAsiaTheme="minorHAnsi"/>
          <w:lang w:eastAsia="en-US"/>
        </w:rPr>
        <w:t xml:space="preserve">       </w:t>
      </w:r>
      <w:r w:rsidRPr="0050767D">
        <w:rPr>
          <w:rFonts w:eastAsiaTheme="minorHAnsi"/>
          <w:i/>
          <w:lang w:eastAsia="en-US"/>
        </w:rPr>
        <w:t>Източник: НАП</w:t>
      </w:r>
    </w:p>
    <w:p w14:paraId="4F950C87" w14:textId="77777777" w:rsidR="003E14CD" w:rsidRPr="00E66F80" w:rsidRDefault="003E14CD" w:rsidP="00D548F2">
      <w:pPr>
        <w:ind w:firstLine="709"/>
        <w:jc w:val="both"/>
        <w:rPr>
          <w:lang w:eastAsia="en-US"/>
        </w:rPr>
      </w:pPr>
      <w:r w:rsidRPr="0050767D">
        <w:rPr>
          <w:lang w:eastAsia="en-US"/>
        </w:rPr>
        <w:t xml:space="preserve"> </w:t>
      </w:r>
      <w:r w:rsidRPr="00E66F80">
        <w:rPr>
          <w:lang w:eastAsia="en-US"/>
        </w:rPr>
        <w:t>Поддържането на актуална база данни „Рискови субекти“ (БД РС) подпомага съществено превенцията и ранното идентифициране на рискови задължени лица, а също и последващо идентифициране на случаи на данъчни измами и злоупотреби с ДДС.</w:t>
      </w:r>
    </w:p>
    <w:p w14:paraId="240E86B0" w14:textId="77777777" w:rsidR="003E14CD" w:rsidRPr="00E66F80" w:rsidRDefault="003E14CD" w:rsidP="00D548F2">
      <w:pPr>
        <w:ind w:firstLine="709"/>
        <w:jc w:val="both"/>
        <w:rPr>
          <w:lang w:eastAsia="en-US"/>
        </w:rPr>
      </w:pPr>
      <w:r w:rsidRPr="00E66F80">
        <w:rPr>
          <w:lang w:eastAsia="en-US"/>
        </w:rPr>
        <w:t>И през 2022 г. продължи актуализацията на БД РС, като са въведени нови общо 2 407 лица с високорисков профил, а са изключени общо 15 лица, които трайно са променили своето икономическо поведение. От въведените лица с рисков профил -1 255 са български задължени лица, а останалите 1 152 лица са регистрирани в друга държава членка на ЕС, въведени след анализ на получените данни от мрежата за бърз обмен и ранно предупреждение за данъчни измами с ДДС при общностни сделки (EUROFISC).</w:t>
      </w:r>
    </w:p>
    <w:p w14:paraId="5C51DA23" w14:textId="77777777" w:rsidR="003E14CD" w:rsidRPr="00E66F80" w:rsidRDefault="003E14CD" w:rsidP="00D548F2">
      <w:pPr>
        <w:ind w:firstLine="709"/>
        <w:jc w:val="both"/>
      </w:pPr>
      <w:r w:rsidRPr="00E66F80">
        <w:rPr>
          <w:lang w:eastAsia="en-US"/>
        </w:rPr>
        <w:t xml:space="preserve">Видно от данните в таблицата за </w:t>
      </w:r>
      <w:r w:rsidRPr="0050767D">
        <w:rPr>
          <w:lang w:eastAsia="en-US"/>
        </w:rPr>
        <w:t>предприети действия по противодействие на данъчни и/или осигурителни измами за периода 2021-2022</w:t>
      </w:r>
      <w:r w:rsidRPr="00E66F80">
        <w:rPr>
          <w:lang w:eastAsia="en-US"/>
        </w:rPr>
        <w:t>, през отчетната година се наблюдава сериозен спад на въведените ЗЛ в БД РС, спрямо 2021 година. Това се дължи на обстоятелство от извънреден характер и е резултат от временното изключване</w:t>
      </w:r>
      <w:r w:rsidRPr="00E66F80">
        <w:t xml:space="preserve"> на България, считано от м. юли 2019 г., от обмена чрез системата EUROFISC, в която държавите-членки обменят информация за рискови (или със съмнение за рискови) сделки и търговци в рамките на ЕС. В тази връзка, след възстановяване на обмена на информация през есента на 2021 г., са въведени 4 232 рискови лица, регистрирани в друга държава членка на ЕС, отнасящи се за целия период м. юли 2019 г. – 31.12.2021 г., както и 1 020 български задължени лица през 2021 година.</w:t>
      </w:r>
    </w:p>
    <w:p w14:paraId="4B2A6680" w14:textId="77777777" w:rsidR="003E14CD" w:rsidRPr="00E66F80" w:rsidRDefault="003E14CD" w:rsidP="00D548F2">
      <w:pPr>
        <w:ind w:firstLine="709"/>
        <w:jc w:val="both"/>
        <w:rPr>
          <w:lang w:eastAsia="en-US"/>
        </w:rPr>
      </w:pPr>
      <w:r w:rsidRPr="00E66F80">
        <w:rPr>
          <w:lang w:eastAsia="en-US"/>
        </w:rPr>
        <w:t>През 2022 г. е изготвена и предоставена обратна информация (квалификации) за български задължени лица към EUROFISC след преглед и анализ на получени данни от мрежата за бърз обмен и ранно предупреждение за данъчни измами с ДДС при общностни сделки EUROFISC и извършен анализ на лица на национално ниво. Общо за 2022 г. са квалифицирани 823 български задължени лица. Издадени са 6 броя доклади с одобрени мерки за противодействие на национално ниво спрямо 151 лица.</w:t>
      </w:r>
    </w:p>
    <w:p w14:paraId="34AB2B05" w14:textId="77777777" w:rsidR="003E14CD" w:rsidRPr="0050767D" w:rsidRDefault="003E14CD" w:rsidP="00D548F2">
      <w:pPr>
        <w:ind w:firstLine="709"/>
        <w:jc w:val="both"/>
      </w:pPr>
      <w:r w:rsidRPr="00E66F80">
        <w:rPr>
          <w:lang w:eastAsia="en-US"/>
        </w:rPr>
        <w:t>Във връзка с постъпила информация и с цел превенция на данъчно-осигурителни измами е извършен анализ на задължени лица.  За установените случаи на отклонение от данъчно облагане през 2022 г. са изготвени доклади с предложени мерки за противодействие спрямо 1 070 броя задължени лица и техни контрагенти. Одобрени са следните мерки: 612 броя проверки, 36 броя ревизии и 422 броя други</w:t>
      </w:r>
      <w:r w:rsidRPr="00E66F80">
        <w:t xml:space="preserve"> мерки.</w:t>
      </w:r>
      <w:r w:rsidRPr="0050767D">
        <w:t xml:space="preserve"> </w:t>
      </w:r>
    </w:p>
    <w:p w14:paraId="259E3596" w14:textId="77777777" w:rsidR="003E14CD" w:rsidRPr="0050767D" w:rsidRDefault="003E14CD" w:rsidP="003E14CD">
      <w:pPr>
        <w:shd w:val="clear" w:color="auto" w:fill="FFFFFF"/>
        <w:spacing w:line="276" w:lineRule="auto"/>
        <w:jc w:val="both"/>
        <w:rPr>
          <w:b/>
          <w:lang w:eastAsia="en-US"/>
        </w:rPr>
      </w:pPr>
      <w:r w:rsidRPr="0050767D">
        <w:rPr>
          <w:b/>
          <w:lang w:eastAsia="en-US"/>
        </w:rPr>
        <w:t>Наблюдение и анализ на браншови отрасли с висока честота на данъчни измами.</w:t>
      </w:r>
    </w:p>
    <w:p w14:paraId="417A7C01" w14:textId="77777777" w:rsidR="003E14CD" w:rsidRPr="00E66F80" w:rsidRDefault="003E14CD" w:rsidP="00D548F2">
      <w:pPr>
        <w:ind w:firstLine="709"/>
        <w:jc w:val="both"/>
        <w:rPr>
          <w:lang w:eastAsia="en-US"/>
        </w:rPr>
      </w:pPr>
      <w:r w:rsidRPr="00E66F80">
        <w:rPr>
          <w:lang w:eastAsia="en-US"/>
        </w:rPr>
        <w:t>През 2022 г. продължи извършването на тематични проверки, наблюдения на търговски обекти, както и бяха осъществени мониторинги от служители на дирекция „Оперативни дейности“, ГД „Фискален контрол“.</w:t>
      </w:r>
      <w:r w:rsidRPr="00E66F80" w:rsidDel="00E2287D">
        <w:rPr>
          <w:lang w:eastAsia="en-US"/>
        </w:rPr>
        <w:t xml:space="preserve"> </w:t>
      </w:r>
      <w:r w:rsidRPr="00E66F80">
        <w:rPr>
          <w:lang w:eastAsia="en-US"/>
        </w:rPr>
        <w:t xml:space="preserve">Проверки в търговските обекти се извършват превантивно от органите по приходите на ГДФК с цел установяване на нарушения и предприемане на контролни действия спрямо проверяваните лица и насърчаване изпълнението на данъчните и осигурителни задължения. През 2022 г. са извършени контролни действия в складове на едро с разнородни стоки и са осъществени мониторинги върху производство и търговия с яйца, олио, брашно и захар. </w:t>
      </w:r>
    </w:p>
    <w:p w14:paraId="12F41B44" w14:textId="77777777" w:rsidR="003E14CD" w:rsidRPr="00E66F80" w:rsidRDefault="003E14CD" w:rsidP="00D548F2">
      <w:pPr>
        <w:ind w:firstLine="709"/>
        <w:jc w:val="both"/>
        <w:rPr>
          <w:lang w:eastAsia="en-US"/>
        </w:rPr>
      </w:pPr>
      <w:r w:rsidRPr="00E66F80">
        <w:rPr>
          <w:lang w:eastAsia="en-US"/>
        </w:rPr>
        <w:t xml:space="preserve">Извършени са мониторинги върху търговската дейност на траурни агенции, китайски магазини, обменни бюра и заложни къщи, хотели, автосервизи и автоморги и други. </w:t>
      </w:r>
    </w:p>
    <w:p w14:paraId="39C6BE92" w14:textId="77777777" w:rsidR="003E14CD" w:rsidRPr="00E66F80" w:rsidRDefault="003E14CD" w:rsidP="00D548F2">
      <w:pPr>
        <w:ind w:firstLine="709"/>
        <w:jc w:val="both"/>
        <w:rPr>
          <w:lang w:eastAsia="en-US"/>
        </w:rPr>
      </w:pPr>
      <w:r w:rsidRPr="00E66F80">
        <w:rPr>
          <w:lang w:eastAsia="en-US"/>
        </w:rPr>
        <w:t>Извършени са и тематични проверки в търговски обекти на лица, търгуващи с риба и рибни продукти по повод Никулден 2022 г. и обекти – барове, кафенета, ресторанти, дискотеки по повод студентския празник.</w:t>
      </w:r>
    </w:p>
    <w:p w14:paraId="1889A9BA" w14:textId="77777777" w:rsidR="003E14CD" w:rsidRPr="0050767D" w:rsidRDefault="003E14CD" w:rsidP="00D548F2">
      <w:pPr>
        <w:ind w:firstLine="709"/>
        <w:jc w:val="both"/>
        <w:rPr>
          <w:lang w:eastAsia="en-US"/>
        </w:rPr>
      </w:pPr>
      <w:r w:rsidRPr="00E66F80">
        <w:rPr>
          <w:lang w:eastAsia="en-US"/>
        </w:rPr>
        <w:t>Осъществени са съвместни проверки със служители от Агенция по заетостта, Агенция за социално подпомагане и МВР в места за настаняване на украински бежанци. От служителите на ГДФК са извършени проверки в обекти – хотели, къщи за гости, апартаменти, почивни станции, стаи за гости, общежития и др. Установени са 13 броя нарушения, за които са съставени АУАН.</w:t>
      </w:r>
    </w:p>
    <w:p w14:paraId="7441115E" w14:textId="77777777" w:rsidR="003E14CD" w:rsidRPr="00E66F80" w:rsidRDefault="003E14CD" w:rsidP="00D548F2">
      <w:pPr>
        <w:ind w:firstLine="709"/>
        <w:jc w:val="both"/>
        <w:rPr>
          <w:lang w:eastAsia="en-US"/>
        </w:rPr>
      </w:pPr>
      <w:r w:rsidRPr="00E66F80">
        <w:rPr>
          <w:lang w:eastAsia="en-US"/>
        </w:rPr>
        <w:t xml:space="preserve">През 2022 г. е осигурено постоянно присъствие на екипи от служители на ГДФК в определени райони с цел подпомагане на доброволното спазване на задълженията от страна на търговците и за ефективно прилагане на данъчното и осигурително законодателство – патрулна дейност. Посетени са общо 20 366 броя търговски обекти. </w:t>
      </w:r>
    </w:p>
    <w:p w14:paraId="7F444A51" w14:textId="77777777" w:rsidR="003E14CD" w:rsidRPr="00E66F80" w:rsidRDefault="003E14CD" w:rsidP="00D548F2">
      <w:pPr>
        <w:ind w:firstLine="709"/>
        <w:jc w:val="both"/>
        <w:rPr>
          <w:lang w:eastAsia="en-US"/>
        </w:rPr>
      </w:pPr>
      <w:r w:rsidRPr="00E66F80">
        <w:rPr>
          <w:lang w:eastAsia="en-US"/>
        </w:rPr>
        <w:t xml:space="preserve">Анализите и измеримите показатели за извършените контролни действия показват, че най-често установяваното нарушение от органите на НАП е за разлика в касовата наличност (чл. 33, ал. 1 от Наредба № Н-18/ 2006 г.). Във връзка с налагането на ПАМЗО, се наблюдава отсъствие на случаи, при които има смяна на ЗЛ, стопанисващо обект. Прилагането на разпоредбата на чл. 187, ал. 1 от ЗДДС (в сила от 01.01.2018 г.) коригира поведението на задължените лица и елиминира посочената практика. Запазва се тенденцията от предходните години за положителен ръст на декларираните данъци и задължителни осигурителни вноски при лицата, обект на наблюдение и проверки в търговски обекти.  Използваните контролни механизми, като съвместни акции, патрули, проверки с наблюдение и др., формират у задължените лица воля за спазване на приложимата нормативна база.   </w:t>
      </w:r>
    </w:p>
    <w:p w14:paraId="79E3F956" w14:textId="77777777" w:rsidR="003E14CD" w:rsidRPr="0050767D" w:rsidRDefault="003E14CD" w:rsidP="00D548F2">
      <w:pPr>
        <w:spacing w:before="120"/>
        <w:ind w:firstLine="709"/>
        <w:jc w:val="both"/>
        <w:rPr>
          <w:b/>
          <w:lang w:eastAsia="en-US"/>
        </w:rPr>
      </w:pPr>
      <w:r w:rsidRPr="0050767D">
        <w:rPr>
          <w:b/>
          <w:lang w:eastAsia="en-US"/>
        </w:rPr>
        <w:t xml:space="preserve">Взаимодействие с правоохранителните органи: Прокуратура на Република България, МВР, ДАНС, Агенция „Митници“   </w:t>
      </w:r>
    </w:p>
    <w:p w14:paraId="39E15872" w14:textId="77777777" w:rsidR="003E14CD" w:rsidRPr="00E66F80" w:rsidRDefault="003E14CD" w:rsidP="00D548F2">
      <w:pPr>
        <w:ind w:firstLine="709"/>
        <w:jc w:val="both"/>
        <w:rPr>
          <w:lang w:eastAsia="en-US"/>
        </w:rPr>
      </w:pPr>
      <w:r w:rsidRPr="00E66F80">
        <w:rPr>
          <w:lang w:eastAsia="en-US"/>
        </w:rPr>
        <w:t>Съгласно Споразумение № 52 от 30.03.2022 г. за сътрудничество и взаимодействие между Софийска градска прокуратура и Национална агенция за приходите е създадено аналитично звено за борба срещу данъчните и осигурителните измами. Споразумението цели осигуряване на необходимите условия за взаимодействие при разследванията по дела за престъпления против данъчната и осигурителната система на Република България. През 2022 г. от служителите в новосформираното звено при извършени анализи са идентифицирани 63 лица, участници в измами. Изготвени са описания на механизмите на данъчните измами и схеми на данъчни измами – 3 броя.</w:t>
      </w:r>
    </w:p>
    <w:p w14:paraId="150ADF2A" w14:textId="77777777" w:rsidR="003E14CD" w:rsidRPr="00E66F80" w:rsidRDefault="003E14CD" w:rsidP="00D548F2">
      <w:pPr>
        <w:ind w:firstLine="709"/>
        <w:jc w:val="both"/>
        <w:rPr>
          <w:lang w:eastAsia="en-US"/>
        </w:rPr>
      </w:pPr>
      <w:r w:rsidRPr="00E66F80">
        <w:rPr>
          <w:lang w:eastAsia="en-US"/>
        </w:rPr>
        <w:t xml:space="preserve">През 2022 г. служители на НАП, командировани в ГД „Борба с организираната престъпност“ съгласно Споразумение, са извършили анализ на данъчна информация по оперативни разработки от служители на ГД БОП, в резултат на което са идентифицирани 897 задължени лица, участници в 198 схеми за измами.    </w:t>
      </w:r>
    </w:p>
    <w:p w14:paraId="5D200840" w14:textId="77777777" w:rsidR="003E14CD" w:rsidRPr="0050767D" w:rsidRDefault="003E14CD" w:rsidP="00D548F2">
      <w:pPr>
        <w:spacing w:before="120"/>
        <w:ind w:firstLine="709"/>
        <w:jc w:val="both"/>
        <w:rPr>
          <w:b/>
          <w:lang w:eastAsia="en-US"/>
        </w:rPr>
      </w:pPr>
      <w:r w:rsidRPr="0050767D">
        <w:rPr>
          <w:b/>
          <w:lang w:eastAsia="en-US"/>
        </w:rPr>
        <w:t>Обмен на информация по линия на националния Съвет за координация в борбата с правонарушенията, засягащи финансовите интереси на ЕС (АФКОС) в изпълнение на Националната стратегия за превенция на нередностите и измамите, засягащи финансовите интереси на Европейския съюз (ЕС) за периода 2021 – 2027 г.</w:t>
      </w:r>
    </w:p>
    <w:p w14:paraId="30E96FB8" w14:textId="77777777" w:rsidR="003E14CD" w:rsidRPr="0050767D" w:rsidRDefault="003E14CD" w:rsidP="003E14CD">
      <w:pPr>
        <w:spacing w:after="120"/>
        <w:ind w:firstLine="709"/>
        <w:jc w:val="both"/>
        <w:rPr>
          <w:lang w:eastAsia="en-US"/>
        </w:rPr>
      </w:pPr>
      <w:r w:rsidRPr="0050767D">
        <w:rPr>
          <w:lang w:eastAsia="en-US"/>
        </w:rPr>
        <w:t>В качеството си на член на Съвета за координация в борбата с правонарушенията, засягащи финансовите интереси на ЕС, НАП носи двустранна отговорност - за опазване на приходната част на бюджета, от който се отчисляват и попълват част от собствените ресурси на ЕС (под формата на членски внос на база ДДС и БНД), както и за принудителното събиране на неправомерно отпуснати, разходвани и дължими средства по фондове и програми на ЕС, в т.ч. с национално съфинансиране и/или свързани изцяло с традиционните собствени ресурси, съставляващи приходната част в общия бюджет на Европейския съюз.</w:t>
      </w:r>
      <w:r w:rsidRPr="00E66F80">
        <w:rPr>
          <w:lang w:eastAsia="en-US"/>
        </w:rPr>
        <w:t xml:space="preserve"> </w:t>
      </w:r>
      <w:r w:rsidRPr="0050767D">
        <w:rPr>
          <w:lang w:eastAsia="en-US"/>
        </w:rPr>
        <w:t xml:space="preserve">В изпълнение на чл. 8а от ПМС №18/2003 г. през 2022 г. НАП е изготвила и предоставила в дирекция „Защита на финансовите интереси на ЕС“ към МВР (АФКОС), 12 броя месечни справки за предприетите действия по обезпечаване и принудително събиране на публичните и частни държавни вземания, предадени в НАП от управляващите европейски средства държавни органи и институции като случаи на нередности и/или измами, засягащи финансовите интереси на ЕС и националния бюджет. </w:t>
      </w:r>
    </w:p>
    <w:p w14:paraId="066FB1FA" w14:textId="77777777" w:rsidR="003E14CD" w:rsidRPr="0050767D" w:rsidRDefault="003E14CD" w:rsidP="003E14CD">
      <w:pPr>
        <w:spacing w:after="120"/>
        <w:ind w:firstLine="709"/>
        <w:jc w:val="both"/>
        <w:rPr>
          <w:rFonts w:eastAsiaTheme="minorHAnsi"/>
          <w:b/>
          <w:lang w:eastAsia="en-US"/>
        </w:rPr>
      </w:pPr>
      <w:bookmarkStart w:id="92" w:name="_Toc476572517"/>
      <w:r w:rsidRPr="0050767D">
        <w:rPr>
          <w:rFonts w:eastAsiaTheme="minorHAnsi"/>
          <w:b/>
          <w:lang w:eastAsia="en-US"/>
        </w:rPr>
        <w:t>2. Фискален контрол върху движението на стоки с висок фискален риск</w:t>
      </w:r>
      <w:bookmarkEnd w:id="92"/>
      <w:r w:rsidRPr="0050767D">
        <w:rPr>
          <w:rFonts w:eastAsiaTheme="minorHAnsi"/>
          <w:b/>
          <w:lang w:eastAsia="en-US"/>
        </w:rPr>
        <w:t xml:space="preserve"> (СВФР) през 2020 година</w:t>
      </w:r>
    </w:p>
    <w:p w14:paraId="060B65EB" w14:textId="77777777" w:rsidR="003E14CD" w:rsidRPr="0050767D" w:rsidRDefault="003E14CD" w:rsidP="00D548F2">
      <w:pPr>
        <w:ind w:right="-6"/>
        <w:jc w:val="both"/>
        <w:rPr>
          <w:b/>
          <w:lang w:eastAsia="en-US"/>
        </w:rPr>
      </w:pPr>
      <w:r w:rsidRPr="0050767D">
        <w:rPr>
          <w:b/>
          <w:lang w:eastAsia="en-US"/>
        </w:rPr>
        <w:t>Д</w:t>
      </w:r>
      <w:r w:rsidRPr="0050767D">
        <w:rPr>
          <w:b/>
        </w:rPr>
        <w:t>ейности, извършени на фискалните контролни пунктове и на мястото на получаване/разтоварване на стоките.</w:t>
      </w:r>
    </w:p>
    <w:p w14:paraId="7E518E48" w14:textId="77777777" w:rsidR="003E14CD" w:rsidRPr="0050767D" w:rsidRDefault="003E14CD" w:rsidP="00D548F2">
      <w:pPr>
        <w:ind w:firstLine="709"/>
        <w:jc w:val="both"/>
        <w:rPr>
          <w:lang w:eastAsia="en-US"/>
        </w:rPr>
      </w:pPr>
      <w:r w:rsidRPr="0050767D">
        <w:rPr>
          <w:lang w:eastAsia="en-US"/>
        </w:rPr>
        <w:t>През 202</w:t>
      </w:r>
      <w:r w:rsidRPr="00E66F80">
        <w:rPr>
          <w:lang w:eastAsia="en-US"/>
        </w:rPr>
        <w:t>2</w:t>
      </w:r>
      <w:r w:rsidRPr="0050767D">
        <w:rPr>
          <w:lang w:eastAsia="en-US"/>
        </w:rPr>
        <w:t xml:space="preserve"> г. денонощният фискален контрол върху движението на стоки с висок фискален риск на територията на страната се осъществи на </w:t>
      </w:r>
      <w:r w:rsidRPr="00E66F80">
        <w:rPr>
          <w:lang w:eastAsia="en-US"/>
        </w:rPr>
        <w:t>385</w:t>
      </w:r>
      <w:r w:rsidRPr="0050767D">
        <w:rPr>
          <w:lang w:eastAsia="en-US"/>
        </w:rPr>
        <w:t xml:space="preserve"> фискални контролни пункта (ФКП), разположени в близост до граничните контролно-пропускателни пунктове (ГКПП) и във вътрешността на страната - на територията на големите борси и тържища, пристанища, данъчни складове за съхранение на течни горива и на местата на получаване/разтоварване на стоките. </w:t>
      </w:r>
    </w:p>
    <w:p w14:paraId="19CC5CEA" w14:textId="77777777" w:rsidR="003E14CD" w:rsidRPr="00E66F80" w:rsidRDefault="003E14CD" w:rsidP="00D548F2">
      <w:pPr>
        <w:ind w:firstLine="709"/>
        <w:jc w:val="both"/>
        <w:rPr>
          <w:lang w:eastAsia="en-US"/>
        </w:rPr>
      </w:pPr>
      <w:r w:rsidRPr="0050767D">
        <w:rPr>
          <w:lang w:eastAsia="en-US"/>
        </w:rPr>
        <w:t xml:space="preserve">Стоките с висок фискален риск (СВФР) са идентифицирани от приходната администрация като рискови, тъй като са използвани често в схеми за данъчни измами. Това са предимно бързооборотни стоки като плодове, зеленчуци, месо и месни продукти, захар и продукти за производство на захар, мляко и млечни продукти, течни горива и други. </w:t>
      </w:r>
      <w:r w:rsidRPr="00E66F80">
        <w:rPr>
          <w:lang w:eastAsia="en-US"/>
        </w:rPr>
        <w:t>През 2022 г. общият брой на наблюдаваните стоки е 563.</w:t>
      </w:r>
    </w:p>
    <w:p w14:paraId="5015411E" w14:textId="77777777" w:rsidR="003E14CD" w:rsidRPr="00E66F80" w:rsidRDefault="003E14CD" w:rsidP="00D548F2">
      <w:pPr>
        <w:ind w:firstLine="709"/>
        <w:jc w:val="both"/>
        <w:rPr>
          <w:lang w:eastAsia="en-US"/>
        </w:rPr>
      </w:pPr>
      <w:r w:rsidRPr="00E66F80">
        <w:rPr>
          <w:lang w:eastAsia="en-US"/>
        </w:rPr>
        <w:t>Извършени са общо 465 389 бр. проверки на транспортни средства, превозващи СВФР, като на 99 555 бр. от тях са поставени технически средства за контрол (ТСК). Общият брой проверки на мястото на получаване/ разтоварване на СВФР е 40 173.</w:t>
      </w:r>
    </w:p>
    <w:p w14:paraId="5A6FFA02" w14:textId="77777777" w:rsidR="003E14CD" w:rsidRPr="00E66F80" w:rsidRDefault="003E14CD" w:rsidP="00D548F2">
      <w:pPr>
        <w:ind w:firstLine="709"/>
        <w:jc w:val="both"/>
        <w:rPr>
          <w:lang w:eastAsia="en-US"/>
        </w:rPr>
      </w:pPr>
      <w:r w:rsidRPr="00E66F80">
        <w:rPr>
          <w:lang w:eastAsia="en-US"/>
        </w:rPr>
        <w:t xml:space="preserve">Списъците на СВФР (с кодовете по комбинираната номенклатура) и ФКП, ведно с утвърдените заповеди, са публикувани на интернет страницата на НАП (www.nap.bg). </w:t>
      </w:r>
    </w:p>
    <w:p w14:paraId="14D6FDF7" w14:textId="77777777" w:rsidR="003E14CD" w:rsidRPr="0050767D" w:rsidRDefault="003E14CD" w:rsidP="00D548F2">
      <w:pPr>
        <w:spacing w:before="120" w:after="120"/>
        <w:ind w:firstLine="709"/>
        <w:jc w:val="both"/>
        <w:rPr>
          <w:lang w:eastAsia="en-US"/>
        </w:rPr>
      </w:pPr>
      <w:r w:rsidRPr="00E66F80">
        <w:rPr>
          <w:lang w:eastAsia="en-US"/>
        </w:rPr>
        <w:t>През 2022 г. общо по вид и количество са проверени 3 516 851 543 кг/л  СВФР, изобразени на посочената по-долу схема:</w:t>
      </w:r>
    </w:p>
    <w:p w14:paraId="16D99B0A" w14:textId="77777777" w:rsidR="003E14CD" w:rsidRPr="0050767D" w:rsidRDefault="003E14CD" w:rsidP="003E14CD">
      <w:pPr>
        <w:spacing w:after="120"/>
        <w:ind w:right="-6" w:firstLine="709"/>
        <w:jc w:val="both"/>
        <w:rPr>
          <w:b/>
          <w:bCs/>
          <w:lang w:eastAsia="en-US"/>
        </w:rPr>
      </w:pPr>
      <w:r w:rsidRPr="00E66F80">
        <w:rPr>
          <w:noProof/>
        </w:rPr>
        <mc:AlternateContent>
          <mc:Choice Requires="wps">
            <w:drawing>
              <wp:anchor distT="0" distB="0" distL="114300" distR="114300" simplePos="0" relativeHeight="251651072" behindDoc="0" locked="0" layoutInCell="1" allowOverlap="1" wp14:anchorId="6A02D320" wp14:editId="096A5EAD">
                <wp:simplePos x="0" y="0"/>
                <wp:positionH relativeFrom="margin">
                  <wp:posOffset>0</wp:posOffset>
                </wp:positionH>
                <wp:positionV relativeFrom="paragraph">
                  <wp:posOffset>116205</wp:posOffset>
                </wp:positionV>
                <wp:extent cx="1821180" cy="554355"/>
                <wp:effectExtent l="0" t="0" r="26670" b="17145"/>
                <wp:wrapNone/>
                <wp:docPr id="43" name="Rounded 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1180" cy="554355"/>
                        </a:xfrm>
                        <a:prstGeom prst="roundRect">
                          <a:avLst/>
                        </a:prstGeom>
                        <a:solidFill>
                          <a:sysClr val="window" lastClr="FFFFFF">
                            <a:lumMod val="95000"/>
                          </a:sysClr>
                        </a:solidFill>
                        <a:ln w="25400" cap="flat" cmpd="sng" algn="ctr">
                          <a:solidFill>
                            <a:srgbClr val="002060"/>
                          </a:solidFill>
                          <a:prstDash val="solid"/>
                        </a:ln>
                        <a:effectLst/>
                      </wps:spPr>
                      <wps:txbx>
                        <w:txbxContent>
                          <w:p w14:paraId="2E7109B0" w14:textId="77777777" w:rsidR="00C15E71" w:rsidRPr="00441DA8" w:rsidRDefault="00C15E71" w:rsidP="003E14CD">
                            <w:pPr>
                              <w:pStyle w:val="NormalWeb"/>
                              <w:spacing w:before="0" w:beforeAutospacing="0" w:after="0" w:afterAutospacing="0"/>
                              <w:jc w:val="center"/>
                              <w:rPr>
                                <w:sz w:val="18"/>
                                <w:szCs w:val="18"/>
                              </w:rPr>
                            </w:pPr>
                            <w:r w:rsidRPr="00441DA8">
                              <w:rPr>
                                <w:b/>
                                <w:bCs/>
                                <w:color w:val="002060"/>
                                <w:sz w:val="18"/>
                                <w:szCs w:val="18"/>
                              </w:rPr>
                              <w:t>ВОП и</w:t>
                            </w:r>
                            <w:r>
                              <w:rPr>
                                <w:b/>
                                <w:bCs/>
                                <w:color w:val="002060"/>
                                <w:sz w:val="18"/>
                                <w:szCs w:val="18"/>
                              </w:rPr>
                              <w:t xml:space="preserve"> във</w:t>
                            </w:r>
                            <w:r w:rsidRPr="00441DA8">
                              <w:rPr>
                                <w:b/>
                                <w:bCs/>
                                <w:color w:val="002060"/>
                                <w:sz w:val="18"/>
                                <w:szCs w:val="18"/>
                              </w:rPr>
                              <w:t xml:space="preserve"> вътрешността на страната </w:t>
                            </w:r>
                          </w:p>
                          <w:p w14:paraId="418D7018" w14:textId="77777777" w:rsidR="00C15E71" w:rsidRPr="009F78F3" w:rsidRDefault="00C15E71" w:rsidP="003E14CD">
                            <w:pPr>
                              <w:pStyle w:val="NormalWeb"/>
                              <w:spacing w:before="0" w:beforeAutospacing="0" w:after="0" w:afterAutospacing="0"/>
                              <w:jc w:val="center"/>
                              <w:rPr>
                                <w:color w:val="FF0000"/>
                                <w:sz w:val="18"/>
                                <w:szCs w:val="18"/>
                              </w:rPr>
                            </w:pPr>
                            <w:r>
                              <w:rPr>
                                <w:b/>
                                <w:bCs/>
                                <w:color w:val="FF0000"/>
                                <w:sz w:val="18"/>
                                <w:szCs w:val="18"/>
                                <w:lang w:val="en-US"/>
                              </w:rPr>
                              <w:t>1 326 106 525</w:t>
                            </w:r>
                            <w:r w:rsidRPr="009F78F3">
                              <w:rPr>
                                <w:b/>
                                <w:bCs/>
                                <w:color w:val="FF0000"/>
                                <w:sz w:val="18"/>
                                <w:szCs w:val="18"/>
                              </w:rPr>
                              <w:t xml:space="preserve"> кг/л</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6A02D320" id="Rounded Rectangle 43" o:spid="_x0000_s1026" style="position:absolute;left:0;text-align:left;margin-left:0;margin-top:9.15pt;width:143.4pt;height:43.6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" fillcolor="#f2f2f2" strokecolor="#002060" strokeweight="2pt">
                <v:path arrowok="t"/>
                <v:textbox>
                  <w:txbxContent>
                    <w:p w14:paraId="2E7109B0" w14:textId="77777777" w:rsidR="00C15E71" w:rsidRPr="00441DA8" w:rsidRDefault="00C15E71" w:rsidP="003E14CD">
                      <w:pPr>
                        <w:pStyle w:val="NormalWeb"/>
                        <w:spacing w:before="0" w:beforeAutospacing="0" w:after="0" w:afterAutospacing="0"/>
                        <w:jc w:val="center"/>
                        <w:rPr>
                          <w:sz w:val="18"/>
                          <w:szCs w:val="18"/>
                        </w:rPr>
                      </w:pPr>
                      <w:r w:rsidRPr="00441DA8">
                        <w:rPr>
                          <w:b/>
                          <w:bCs/>
                          <w:color w:val="002060"/>
                          <w:sz w:val="18"/>
                          <w:szCs w:val="18"/>
                        </w:rPr>
                        <w:t>ВОП и</w:t>
                      </w:r>
                      <w:r>
                        <w:rPr>
                          <w:b/>
                          <w:bCs/>
                          <w:color w:val="002060"/>
                          <w:sz w:val="18"/>
                          <w:szCs w:val="18"/>
                        </w:rPr>
                        <w:t xml:space="preserve"> във</w:t>
                      </w:r>
                      <w:r w:rsidRPr="00441DA8">
                        <w:rPr>
                          <w:b/>
                          <w:bCs/>
                          <w:color w:val="002060"/>
                          <w:sz w:val="18"/>
                          <w:szCs w:val="18"/>
                        </w:rPr>
                        <w:t xml:space="preserve"> вътрешността на страната </w:t>
                      </w:r>
                    </w:p>
                    <w:p w14:paraId="418D7018" w14:textId="77777777" w:rsidR="00C15E71" w:rsidRPr="009F78F3" w:rsidRDefault="00C15E71" w:rsidP="003E14CD">
                      <w:pPr>
                        <w:pStyle w:val="NormalWeb"/>
                        <w:spacing w:before="0" w:beforeAutospacing="0" w:after="0" w:afterAutospacing="0"/>
                        <w:jc w:val="center"/>
                        <w:rPr>
                          <w:color w:val="FF0000"/>
                          <w:sz w:val="18"/>
                          <w:szCs w:val="18"/>
                        </w:rPr>
                      </w:pPr>
                      <w:r>
                        <w:rPr>
                          <w:b/>
                          <w:bCs/>
                          <w:color w:val="FF0000"/>
                          <w:sz w:val="18"/>
                          <w:szCs w:val="18"/>
                          <w:lang w:val="en-US"/>
                        </w:rPr>
                        <w:t>1 326 106 525</w:t>
                      </w:r>
                      <w:r w:rsidRPr="009F78F3">
                        <w:rPr>
                          <w:b/>
                          <w:bCs/>
                          <w:color w:val="FF0000"/>
                          <w:sz w:val="18"/>
                          <w:szCs w:val="18"/>
                        </w:rPr>
                        <w:t xml:space="preserve"> кг/л</w:t>
                      </w:r>
                    </w:p>
                  </w:txbxContent>
                </v:textbox>
                <w10:wrap anchorx="margin"/>
              </v:roundrect>
            </w:pict>
          </mc:Fallback>
        </mc:AlternateContent>
      </w:r>
    </w:p>
    <w:p w14:paraId="351D8BDA" w14:textId="77777777" w:rsidR="003E14CD" w:rsidRPr="0050767D" w:rsidRDefault="003E14CD" w:rsidP="003E14CD">
      <w:pPr>
        <w:rPr>
          <w:lang w:eastAsia="en-US"/>
        </w:rPr>
      </w:pPr>
    </w:p>
    <w:p w14:paraId="498AED08" w14:textId="77777777" w:rsidR="003E14CD" w:rsidRPr="0050767D" w:rsidRDefault="003E14CD" w:rsidP="003E14CD">
      <w:pPr>
        <w:rPr>
          <w:lang w:eastAsia="en-US"/>
        </w:rPr>
      </w:pPr>
      <w:r w:rsidRPr="00E66F80">
        <w:rPr>
          <w:noProof/>
        </w:rPr>
        <mc:AlternateContent>
          <mc:Choice Requires="wps">
            <w:drawing>
              <wp:anchor distT="0" distB="0" distL="114300" distR="114300" simplePos="0" relativeHeight="251659264" behindDoc="0" locked="0" layoutInCell="1" allowOverlap="1" wp14:anchorId="50BEC37A" wp14:editId="415DF4BD">
                <wp:simplePos x="0" y="0"/>
                <wp:positionH relativeFrom="column">
                  <wp:posOffset>1826260</wp:posOffset>
                </wp:positionH>
                <wp:positionV relativeFrom="paragraph">
                  <wp:posOffset>15240</wp:posOffset>
                </wp:positionV>
                <wp:extent cx="2497455" cy="86995"/>
                <wp:effectExtent l="0" t="0" r="112395" b="65405"/>
                <wp:wrapNone/>
                <wp:docPr id="44" name="Elb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97455" cy="86995"/>
                        </a:xfrm>
                        <a:prstGeom prst="bentConnector2">
                          <a:avLst/>
                        </a:prstGeom>
                        <a:noFill/>
                        <a:ln w="9525"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07DFA8B" id="_x0000_t33" coordsize="21600,21600" o:spt="33" o:oned="t" path="m,l21600,r,21600e" filled="f">
                <v:stroke joinstyle="miter"/>
                <v:path arrowok="t" fillok="f" o:connecttype="none"/>
                <o:lock v:ext="edit" shapetype="t"/>
              </v:shapetype>
              <v:shape id="Elbow Connector 44" o:spid="_x0000_s1026" type="#_x0000_t33" style="position:absolute;margin-left:143.8pt;margin-top:1.2pt;width:196.65pt;height: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" strokecolor="#002060">
                <v:stroke endarrow="open"/>
                <o:lock v:ext="edit" shapetype="f"/>
              </v:shape>
            </w:pict>
          </mc:Fallback>
        </mc:AlternateContent>
      </w:r>
    </w:p>
    <w:tbl>
      <w:tblPr>
        <w:tblpPr w:leftFromText="141" w:rightFromText="141" w:vertAnchor="text" w:horzAnchor="margin" w:tblpXSpec="right" w:tblpY="-10"/>
        <w:tblW w:w="5228" w:type="dxa"/>
        <w:tblCellMar>
          <w:left w:w="70" w:type="dxa"/>
          <w:right w:w="70" w:type="dxa"/>
        </w:tblCellMar>
        <w:tblLook w:val="04A0" w:firstRow="1" w:lastRow="0" w:firstColumn="1" w:lastColumn="0" w:noHBand="0" w:noVBand="1"/>
      </w:tblPr>
      <w:tblGrid>
        <w:gridCol w:w="3846"/>
        <w:gridCol w:w="1382"/>
      </w:tblGrid>
      <w:tr w:rsidR="003E14CD" w:rsidRPr="0050767D" w14:paraId="2BF229AE" w14:textId="77777777" w:rsidTr="00591F00">
        <w:trPr>
          <w:trHeight w:val="276"/>
        </w:trPr>
        <w:tc>
          <w:tcPr>
            <w:tcW w:w="3846" w:type="dxa"/>
            <w:tcBorders>
              <w:top w:val="single" w:sz="4" w:space="0" w:color="002060"/>
              <w:left w:val="single" w:sz="4" w:space="0" w:color="002060"/>
              <w:bottom w:val="single" w:sz="4" w:space="0" w:color="002060"/>
              <w:right w:val="single" w:sz="4" w:space="0" w:color="002060"/>
            </w:tcBorders>
            <w:shd w:val="clear" w:color="auto" w:fill="auto"/>
            <w:vAlign w:val="center"/>
            <w:hideMark/>
          </w:tcPr>
          <w:p w14:paraId="71B426A4" w14:textId="77777777" w:rsidR="003E14CD" w:rsidRPr="0050767D" w:rsidRDefault="003E14CD" w:rsidP="00591F00">
            <w:pPr>
              <w:tabs>
                <w:tab w:val="left" w:pos="9356"/>
                <w:tab w:val="left" w:pos="12825"/>
              </w:tabs>
              <w:ind w:right="-6"/>
              <w:jc w:val="center"/>
              <w:rPr>
                <w:b/>
                <w:bCs/>
                <w:sz w:val="18"/>
                <w:szCs w:val="18"/>
                <w:lang w:eastAsia="en-US"/>
              </w:rPr>
            </w:pPr>
            <w:r w:rsidRPr="0050767D">
              <w:rPr>
                <w:b/>
                <w:sz w:val="18"/>
                <w:szCs w:val="18"/>
                <w:lang w:eastAsia="en-US"/>
              </w:rPr>
              <w:t>вид стока</w:t>
            </w:r>
          </w:p>
        </w:tc>
        <w:tc>
          <w:tcPr>
            <w:tcW w:w="1382" w:type="dxa"/>
            <w:tcBorders>
              <w:top w:val="single" w:sz="4" w:space="0" w:color="002060"/>
              <w:left w:val="nil"/>
              <w:bottom w:val="single" w:sz="4" w:space="0" w:color="002060"/>
              <w:right w:val="single" w:sz="4" w:space="0" w:color="002060"/>
            </w:tcBorders>
            <w:shd w:val="clear" w:color="auto" w:fill="auto"/>
            <w:vAlign w:val="center"/>
            <w:hideMark/>
          </w:tcPr>
          <w:p w14:paraId="273B6082" w14:textId="77777777" w:rsidR="003E14CD" w:rsidRPr="0050767D" w:rsidRDefault="003E14CD" w:rsidP="00591F00">
            <w:pPr>
              <w:tabs>
                <w:tab w:val="left" w:pos="9356"/>
                <w:tab w:val="left" w:pos="12825"/>
              </w:tabs>
              <w:ind w:right="-6"/>
              <w:jc w:val="center"/>
              <w:rPr>
                <w:b/>
                <w:bCs/>
                <w:sz w:val="18"/>
                <w:szCs w:val="18"/>
                <w:lang w:eastAsia="en-US"/>
              </w:rPr>
            </w:pPr>
            <w:r w:rsidRPr="0050767D">
              <w:rPr>
                <w:b/>
                <w:sz w:val="18"/>
                <w:szCs w:val="18"/>
                <w:lang w:eastAsia="en-US"/>
              </w:rPr>
              <w:t>Тегло в кг/л</w:t>
            </w:r>
          </w:p>
        </w:tc>
      </w:tr>
      <w:tr w:rsidR="003E14CD" w:rsidRPr="0050767D" w14:paraId="7F10EE1C"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0435B282"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Плодове и зеленчуци </w:t>
            </w:r>
          </w:p>
        </w:tc>
        <w:tc>
          <w:tcPr>
            <w:tcW w:w="1382" w:type="dxa"/>
            <w:tcBorders>
              <w:top w:val="nil"/>
              <w:left w:val="nil"/>
              <w:bottom w:val="single" w:sz="4" w:space="0" w:color="002060"/>
              <w:right w:val="single" w:sz="4" w:space="0" w:color="002060"/>
            </w:tcBorders>
            <w:shd w:val="clear" w:color="auto" w:fill="auto"/>
            <w:vAlign w:val="center"/>
            <w:hideMark/>
          </w:tcPr>
          <w:p w14:paraId="1B0DE4D8"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438 424 857</w:t>
            </w:r>
          </w:p>
        </w:tc>
      </w:tr>
      <w:tr w:rsidR="003E14CD" w:rsidRPr="0050767D" w14:paraId="4B1DCF4C"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478B987D"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Месо и месни продукти </w:t>
            </w:r>
          </w:p>
        </w:tc>
        <w:tc>
          <w:tcPr>
            <w:tcW w:w="1382" w:type="dxa"/>
            <w:tcBorders>
              <w:top w:val="nil"/>
              <w:left w:val="nil"/>
              <w:bottom w:val="single" w:sz="4" w:space="0" w:color="002060"/>
              <w:right w:val="single" w:sz="4" w:space="0" w:color="002060"/>
            </w:tcBorders>
            <w:shd w:val="clear" w:color="auto" w:fill="auto"/>
            <w:vAlign w:val="center"/>
            <w:hideMark/>
          </w:tcPr>
          <w:p w14:paraId="5165D80A"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273 232 641</w:t>
            </w:r>
          </w:p>
        </w:tc>
      </w:tr>
      <w:tr w:rsidR="003E14CD" w:rsidRPr="0050767D" w14:paraId="0C7EC516"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51A68461"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Захар, глюкоза и меласа </w:t>
            </w:r>
          </w:p>
        </w:tc>
        <w:tc>
          <w:tcPr>
            <w:tcW w:w="1382" w:type="dxa"/>
            <w:tcBorders>
              <w:top w:val="nil"/>
              <w:left w:val="nil"/>
              <w:bottom w:val="single" w:sz="4" w:space="0" w:color="002060"/>
              <w:right w:val="single" w:sz="4" w:space="0" w:color="002060"/>
            </w:tcBorders>
            <w:shd w:val="clear" w:color="auto" w:fill="auto"/>
            <w:vAlign w:val="center"/>
            <w:hideMark/>
          </w:tcPr>
          <w:p w14:paraId="7C315B0C"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123 581 302</w:t>
            </w:r>
          </w:p>
        </w:tc>
      </w:tr>
      <w:tr w:rsidR="003E14CD" w:rsidRPr="0050767D" w14:paraId="78B8729F"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765B9BDB"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Мляко и млечни продукти, яйца </w:t>
            </w:r>
          </w:p>
        </w:tc>
        <w:tc>
          <w:tcPr>
            <w:tcW w:w="1382" w:type="dxa"/>
            <w:tcBorders>
              <w:top w:val="nil"/>
              <w:left w:val="nil"/>
              <w:bottom w:val="single" w:sz="4" w:space="0" w:color="002060"/>
              <w:right w:val="single" w:sz="4" w:space="0" w:color="002060"/>
            </w:tcBorders>
            <w:shd w:val="clear" w:color="auto" w:fill="auto"/>
            <w:vAlign w:val="center"/>
            <w:hideMark/>
          </w:tcPr>
          <w:p w14:paraId="3377099C"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174 531 315</w:t>
            </w:r>
          </w:p>
        </w:tc>
      </w:tr>
      <w:tr w:rsidR="003E14CD" w:rsidRPr="0050767D" w14:paraId="5B1EEE06"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57122C81"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Растителни масла </w:t>
            </w:r>
          </w:p>
        </w:tc>
        <w:tc>
          <w:tcPr>
            <w:tcW w:w="1382" w:type="dxa"/>
            <w:tcBorders>
              <w:top w:val="nil"/>
              <w:left w:val="nil"/>
              <w:bottom w:val="single" w:sz="4" w:space="0" w:color="002060"/>
              <w:right w:val="single" w:sz="4" w:space="0" w:color="002060"/>
            </w:tcBorders>
            <w:shd w:val="clear" w:color="auto" w:fill="auto"/>
            <w:vAlign w:val="center"/>
            <w:hideMark/>
          </w:tcPr>
          <w:p w14:paraId="6F423CAF"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54 016 235</w:t>
            </w:r>
          </w:p>
        </w:tc>
      </w:tr>
      <w:tr w:rsidR="003E14CD" w:rsidRPr="0050767D" w14:paraId="385E53FE"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4C9E3E1C"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Брашно </w:t>
            </w:r>
          </w:p>
        </w:tc>
        <w:tc>
          <w:tcPr>
            <w:tcW w:w="1382" w:type="dxa"/>
            <w:tcBorders>
              <w:top w:val="nil"/>
              <w:left w:val="nil"/>
              <w:bottom w:val="single" w:sz="4" w:space="0" w:color="002060"/>
              <w:right w:val="single" w:sz="4" w:space="0" w:color="002060"/>
            </w:tcBorders>
            <w:shd w:val="clear" w:color="auto" w:fill="auto"/>
            <w:vAlign w:val="center"/>
            <w:hideMark/>
          </w:tcPr>
          <w:p w14:paraId="6DC1A185"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9 245 442</w:t>
            </w:r>
          </w:p>
        </w:tc>
      </w:tr>
      <w:tr w:rsidR="003E14CD" w:rsidRPr="0050767D" w14:paraId="7150476B"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15C907AD"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Риба и ракообразни, мекотели и др. </w:t>
            </w:r>
          </w:p>
        </w:tc>
        <w:tc>
          <w:tcPr>
            <w:tcW w:w="1382" w:type="dxa"/>
            <w:tcBorders>
              <w:top w:val="nil"/>
              <w:left w:val="nil"/>
              <w:bottom w:val="single" w:sz="4" w:space="0" w:color="002060"/>
              <w:right w:val="single" w:sz="4" w:space="0" w:color="002060"/>
            </w:tcBorders>
            <w:shd w:val="clear" w:color="auto" w:fill="auto"/>
            <w:vAlign w:val="center"/>
            <w:hideMark/>
          </w:tcPr>
          <w:p w14:paraId="5C382780"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17 874 421</w:t>
            </w:r>
          </w:p>
        </w:tc>
      </w:tr>
      <w:tr w:rsidR="003E14CD" w:rsidRPr="0050767D" w14:paraId="0D78EA63"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2FD0BF9F"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Колбаси, приготвени храни и консерви от месо</w:t>
            </w:r>
          </w:p>
        </w:tc>
        <w:tc>
          <w:tcPr>
            <w:tcW w:w="1382" w:type="dxa"/>
            <w:tcBorders>
              <w:top w:val="nil"/>
              <w:left w:val="nil"/>
              <w:bottom w:val="single" w:sz="4" w:space="0" w:color="002060"/>
              <w:right w:val="single" w:sz="4" w:space="0" w:color="002060"/>
            </w:tcBorders>
            <w:shd w:val="clear" w:color="auto" w:fill="auto"/>
            <w:vAlign w:val="center"/>
            <w:hideMark/>
          </w:tcPr>
          <w:p w14:paraId="7653F207"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23 131 304</w:t>
            </w:r>
          </w:p>
        </w:tc>
      </w:tr>
      <w:tr w:rsidR="003E14CD" w:rsidRPr="0050767D" w14:paraId="2A1967CF" w14:textId="77777777" w:rsidTr="00591F00">
        <w:trPr>
          <w:trHeight w:val="220"/>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72C4848B"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Имитиращ "млечен" продукт на растителна основа </w:t>
            </w:r>
          </w:p>
        </w:tc>
        <w:tc>
          <w:tcPr>
            <w:tcW w:w="1382" w:type="dxa"/>
            <w:tcBorders>
              <w:top w:val="nil"/>
              <w:left w:val="nil"/>
              <w:bottom w:val="single" w:sz="4" w:space="0" w:color="002060"/>
              <w:right w:val="single" w:sz="4" w:space="0" w:color="002060"/>
            </w:tcBorders>
            <w:shd w:val="clear" w:color="auto" w:fill="auto"/>
            <w:vAlign w:val="center"/>
            <w:hideMark/>
          </w:tcPr>
          <w:p w14:paraId="781DCB9E"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9 981 579</w:t>
            </w:r>
          </w:p>
        </w:tc>
      </w:tr>
      <w:tr w:rsidR="003E14CD" w:rsidRPr="0050767D" w14:paraId="5BA50785"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2BB029F8"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Ядки </w:t>
            </w:r>
          </w:p>
        </w:tc>
        <w:tc>
          <w:tcPr>
            <w:tcW w:w="1382" w:type="dxa"/>
            <w:tcBorders>
              <w:top w:val="nil"/>
              <w:left w:val="nil"/>
              <w:bottom w:val="single" w:sz="4" w:space="0" w:color="002060"/>
              <w:right w:val="single" w:sz="4" w:space="0" w:color="002060"/>
            </w:tcBorders>
            <w:shd w:val="clear" w:color="auto" w:fill="auto"/>
            <w:vAlign w:val="center"/>
            <w:hideMark/>
          </w:tcPr>
          <w:p w14:paraId="2046EAA9"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2 210 806</w:t>
            </w:r>
          </w:p>
        </w:tc>
      </w:tr>
      <w:tr w:rsidR="003E14CD" w:rsidRPr="0050767D" w14:paraId="17C3FC4F"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651E6702"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Кафе </w:t>
            </w:r>
          </w:p>
        </w:tc>
        <w:tc>
          <w:tcPr>
            <w:tcW w:w="1382" w:type="dxa"/>
            <w:tcBorders>
              <w:top w:val="nil"/>
              <w:left w:val="nil"/>
              <w:bottom w:val="single" w:sz="4" w:space="0" w:color="002060"/>
              <w:right w:val="single" w:sz="4" w:space="0" w:color="002060"/>
            </w:tcBorders>
            <w:shd w:val="clear" w:color="auto" w:fill="auto"/>
            <w:vAlign w:val="center"/>
            <w:hideMark/>
          </w:tcPr>
          <w:p w14:paraId="5A62B4EE"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16 336 950</w:t>
            </w:r>
          </w:p>
        </w:tc>
      </w:tr>
      <w:tr w:rsidR="003E14CD" w:rsidRPr="0050767D" w14:paraId="5E8B933E"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54B3211D"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Горива - кг/л</w:t>
            </w:r>
          </w:p>
        </w:tc>
        <w:tc>
          <w:tcPr>
            <w:tcW w:w="1382" w:type="dxa"/>
            <w:tcBorders>
              <w:top w:val="nil"/>
              <w:left w:val="nil"/>
              <w:bottom w:val="single" w:sz="4" w:space="0" w:color="002060"/>
              <w:right w:val="single" w:sz="4" w:space="0" w:color="002060"/>
            </w:tcBorders>
            <w:shd w:val="clear" w:color="auto" w:fill="auto"/>
            <w:vAlign w:val="center"/>
            <w:hideMark/>
          </w:tcPr>
          <w:p w14:paraId="770A3B23"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157 580 237</w:t>
            </w:r>
          </w:p>
        </w:tc>
      </w:tr>
      <w:tr w:rsidR="003E14CD" w:rsidRPr="0050767D" w14:paraId="039F1AE6"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2B9C9029" w14:textId="77777777" w:rsidR="003E14CD" w:rsidRPr="0050767D" w:rsidRDefault="003E14CD" w:rsidP="00591F00">
            <w:pPr>
              <w:tabs>
                <w:tab w:val="left" w:pos="9356"/>
                <w:tab w:val="left" w:pos="12825"/>
              </w:tabs>
              <w:ind w:right="-6"/>
              <w:rPr>
                <w:sz w:val="18"/>
                <w:szCs w:val="18"/>
                <w:lang w:eastAsia="en-US"/>
              </w:rPr>
            </w:pPr>
            <w:r w:rsidRPr="0050767D">
              <w:rPr>
                <w:sz w:val="18"/>
                <w:szCs w:val="18"/>
                <w:lang w:eastAsia="en-US"/>
              </w:rPr>
              <w:t xml:space="preserve">Стока, НЕПОПАДАЩА в списъка на СВФР </w:t>
            </w:r>
          </w:p>
        </w:tc>
        <w:tc>
          <w:tcPr>
            <w:tcW w:w="1382" w:type="dxa"/>
            <w:tcBorders>
              <w:top w:val="nil"/>
              <w:left w:val="nil"/>
              <w:bottom w:val="single" w:sz="4" w:space="0" w:color="002060"/>
              <w:right w:val="single" w:sz="4" w:space="0" w:color="002060"/>
            </w:tcBorders>
            <w:shd w:val="clear" w:color="auto" w:fill="auto"/>
            <w:vAlign w:val="center"/>
            <w:hideMark/>
          </w:tcPr>
          <w:p w14:paraId="3053382E" w14:textId="77777777" w:rsidR="003E14CD" w:rsidRPr="0050767D" w:rsidRDefault="003E14CD" w:rsidP="00591F00">
            <w:pPr>
              <w:tabs>
                <w:tab w:val="left" w:pos="9356"/>
                <w:tab w:val="left" w:pos="12825"/>
              </w:tabs>
              <w:ind w:right="-6"/>
              <w:jc w:val="right"/>
              <w:rPr>
                <w:sz w:val="20"/>
                <w:szCs w:val="20"/>
                <w:lang w:val="en-US" w:eastAsia="en-US"/>
              </w:rPr>
            </w:pPr>
            <w:r w:rsidRPr="0050767D">
              <w:rPr>
                <w:color w:val="002060"/>
                <w:kern w:val="24"/>
                <w:sz w:val="20"/>
                <w:szCs w:val="20"/>
                <w:lang w:val="en-US"/>
              </w:rPr>
              <w:t>25 959 436</w:t>
            </w:r>
          </w:p>
        </w:tc>
      </w:tr>
      <w:tr w:rsidR="003E14CD" w:rsidRPr="0050767D" w14:paraId="2368001E" w14:textId="77777777" w:rsidTr="00591F00">
        <w:trPr>
          <w:trHeight w:val="231"/>
        </w:trPr>
        <w:tc>
          <w:tcPr>
            <w:tcW w:w="3846" w:type="dxa"/>
            <w:tcBorders>
              <w:top w:val="nil"/>
              <w:left w:val="single" w:sz="4" w:space="0" w:color="002060"/>
              <w:bottom w:val="single" w:sz="4" w:space="0" w:color="002060"/>
              <w:right w:val="single" w:sz="4" w:space="0" w:color="002060"/>
            </w:tcBorders>
            <w:shd w:val="clear" w:color="auto" w:fill="auto"/>
            <w:vAlign w:val="center"/>
            <w:hideMark/>
          </w:tcPr>
          <w:p w14:paraId="09D7A966" w14:textId="77777777" w:rsidR="003E14CD" w:rsidRPr="0050767D" w:rsidRDefault="003E14CD" w:rsidP="00591F00">
            <w:pPr>
              <w:tabs>
                <w:tab w:val="left" w:pos="9356"/>
                <w:tab w:val="left" w:pos="12825"/>
              </w:tabs>
              <w:ind w:right="-6"/>
              <w:rPr>
                <w:b/>
                <w:bCs/>
                <w:sz w:val="18"/>
                <w:szCs w:val="18"/>
                <w:lang w:eastAsia="en-US"/>
              </w:rPr>
            </w:pPr>
            <w:r w:rsidRPr="0050767D">
              <w:rPr>
                <w:b/>
                <w:sz w:val="18"/>
                <w:szCs w:val="18"/>
                <w:lang w:eastAsia="en-US"/>
              </w:rPr>
              <w:t>Общо количество проверени стоки:</w:t>
            </w:r>
          </w:p>
        </w:tc>
        <w:tc>
          <w:tcPr>
            <w:tcW w:w="1382" w:type="dxa"/>
            <w:tcBorders>
              <w:top w:val="nil"/>
              <w:left w:val="nil"/>
              <w:bottom w:val="single" w:sz="4" w:space="0" w:color="002060"/>
              <w:right w:val="single" w:sz="4" w:space="0" w:color="002060"/>
            </w:tcBorders>
            <w:shd w:val="clear" w:color="auto" w:fill="auto"/>
            <w:vAlign w:val="center"/>
            <w:hideMark/>
          </w:tcPr>
          <w:p w14:paraId="318A583E" w14:textId="77777777" w:rsidR="003E14CD" w:rsidRPr="0050767D" w:rsidRDefault="003E14CD" w:rsidP="00591F00">
            <w:pPr>
              <w:tabs>
                <w:tab w:val="left" w:pos="9356"/>
                <w:tab w:val="left" w:pos="12825"/>
              </w:tabs>
              <w:ind w:right="-6"/>
              <w:jc w:val="right"/>
              <w:rPr>
                <w:b/>
                <w:bCs/>
                <w:sz w:val="20"/>
                <w:szCs w:val="20"/>
                <w:lang w:eastAsia="en-US"/>
              </w:rPr>
            </w:pPr>
            <w:r w:rsidRPr="0050767D">
              <w:rPr>
                <w:b/>
                <w:color w:val="FF0000"/>
                <w:kern w:val="24"/>
                <w:sz w:val="20"/>
                <w:szCs w:val="20"/>
                <w:lang w:val="en-US"/>
              </w:rPr>
              <w:t>1 326 106 525</w:t>
            </w:r>
          </w:p>
        </w:tc>
      </w:tr>
    </w:tbl>
    <w:p w14:paraId="67D93E36" w14:textId="77777777" w:rsidR="003E14CD" w:rsidRPr="0050767D" w:rsidRDefault="003E14CD" w:rsidP="003E14CD">
      <w:pPr>
        <w:rPr>
          <w:lang w:eastAsia="en-US"/>
        </w:rPr>
      </w:pPr>
    </w:p>
    <w:p w14:paraId="14348A1E" w14:textId="77777777" w:rsidR="003E14CD" w:rsidRPr="0050767D" w:rsidRDefault="003E14CD" w:rsidP="003E14CD">
      <w:pPr>
        <w:rPr>
          <w:lang w:eastAsia="en-US"/>
        </w:rPr>
      </w:pPr>
      <w:r w:rsidRPr="00E66F80">
        <w:rPr>
          <w:noProof/>
        </w:rPr>
        <mc:AlternateContent>
          <mc:Choice Requires="wps">
            <w:drawing>
              <wp:anchor distT="0" distB="0" distL="114300" distR="114300" simplePos="0" relativeHeight="251661312" behindDoc="0" locked="0" layoutInCell="1" allowOverlap="1" wp14:anchorId="4C82D332" wp14:editId="51ED0B84">
                <wp:simplePos x="0" y="0"/>
                <wp:positionH relativeFrom="column">
                  <wp:posOffset>808990</wp:posOffset>
                </wp:positionH>
                <wp:positionV relativeFrom="paragraph">
                  <wp:posOffset>105410</wp:posOffset>
                </wp:positionV>
                <wp:extent cx="141605" cy="146685"/>
                <wp:effectExtent l="0" t="0" r="10795" b="5715"/>
                <wp:wrapNone/>
                <wp:docPr id="45" name="Plus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605" cy="146685"/>
                        </a:xfrm>
                        <a:prstGeom prst="mathPlus">
                          <a:avLst/>
                        </a:prstGeom>
                        <a:solidFill>
                          <a:sysClr val="window" lastClr="FFFFFF"/>
                        </a:solidFill>
                        <a:ln w="25400" cap="flat" cmpd="sng" algn="ctr">
                          <a:solidFill>
                            <a:srgbClr val="4F81BD">
                              <a:shade val="50000"/>
                            </a:srgbClr>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5C286B30" id="Plus 45" o:spid="_x0000_s1026" style="position:absolute;margin-left:63.7pt;margin-top:8.3pt;width:11.15pt;height:11.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1605,14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" path="m18770,56690r35380,l54150,19443r33305,l87455,56690r35380,l122835,89995r-35380,l87455,127242r-33305,l54150,89995r-35380,l18770,56690xe" fillcolor="window" strokecolor="#385d8a" strokeweight="2pt">
                <v:path arrowok="t" o:connecttype="custom" o:connectlocs="18770,56690;54150,56690;54150,19443;87455,19443;87455,56690;122835,56690;122835,89995;87455,89995;87455,127242;54150,127242;54150,89995;18770,89995;18770,56690" o:connectangles="0,0,0,0,0,0,0,0,0,0,0,0,0"/>
              </v:shape>
            </w:pict>
          </mc:Fallback>
        </mc:AlternateContent>
      </w:r>
    </w:p>
    <w:p w14:paraId="3EA354F9" w14:textId="77777777" w:rsidR="003E14CD" w:rsidRPr="0050767D" w:rsidRDefault="003E14CD" w:rsidP="003E14CD">
      <w:pPr>
        <w:rPr>
          <w:lang w:eastAsia="en-US"/>
        </w:rPr>
      </w:pPr>
      <w:r w:rsidRPr="00E66F80">
        <w:rPr>
          <w:noProof/>
        </w:rPr>
        <mc:AlternateContent>
          <mc:Choice Requires="wps">
            <w:drawing>
              <wp:anchor distT="0" distB="0" distL="114300" distR="114300" simplePos="0" relativeHeight="251657216" behindDoc="0" locked="0" layoutInCell="1" allowOverlap="1" wp14:anchorId="0DDFA571" wp14:editId="57DA9566">
                <wp:simplePos x="0" y="0"/>
                <wp:positionH relativeFrom="margin">
                  <wp:align>left</wp:align>
                </wp:positionH>
                <wp:positionV relativeFrom="paragraph">
                  <wp:posOffset>116205</wp:posOffset>
                </wp:positionV>
                <wp:extent cx="1820545" cy="525780"/>
                <wp:effectExtent l="0" t="0" r="27305" b="26670"/>
                <wp:wrapNone/>
                <wp:docPr id="46" name="Rounded 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0545" cy="525780"/>
                        </a:xfrm>
                        <a:prstGeom prst="roundRect">
                          <a:avLst/>
                        </a:prstGeom>
                        <a:solidFill>
                          <a:sysClr val="window" lastClr="FFFFFF">
                            <a:lumMod val="95000"/>
                          </a:sysClr>
                        </a:solidFill>
                        <a:ln w="25400" cap="flat" cmpd="sng" algn="ctr">
                          <a:solidFill>
                            <a:srgbClr val="002060"/>
                          </a:solidFill>
                          <a:prstDash val="solid"/>
                        </a:ln>
                        <a:effectLst/>
                      </wps:spPr>
                      <wps:txbx>
                        <w:txbxContent>
                          <w:p w14:paraId="6A120ED0" w14:textId="77777777" w:rsidR="00C15E71" w:rsidRPr="00441DA8" w:rsidRDefault="00C15E71" w:rsidP="003E14CD">
                            <w:pPr>
                              <w:pStyle w:val="NormalWeb"/>
                              <w:spacing w:before="0" w:beforeAutospacing="0" w:after="0" w:afterAutospacing="0"/>
                              <w:jc w:val="center"/>
                              <w:rPr>
                                <w:sz w:val="20"/>
                                <w:szCs w:val="20"/>
                              </w:rPr>
                            </w:pPr>
                            <w:r w:rsidRPr="00441DA8">
                              <w:rPr>
                                <w:b/>
                                <w:bCs/>
                                <w:color w:val="002060"/>
                                <w:sz w:val="20"/>
                                <w:szCs w:val="20"/>
                              </w:rPr>
                              <w:t>ВОД</w:t>
                            </w:r>
                            <w:r w:rsidRPr="00441DA8">
                              <w:rPr>
                                <w:color w:val="002060"/>
                                <w:sz w:val="20"/>
                                <w:szCs w:val="20"/>
                              </w:rPr>
                              <w:t xml:space="preserve">   </w:t>
                            </w:r>
                          </w:p>
                          <w:p w14:paraId="51CF2BA9" w14:textId="77777777" w:rsidR="00C15E71" w:rsidRPr="009F78F3" w:rsidRDefault="00C15E71" w:rsidP="003E14CD">
                            <w:pPr>
                              <w:pStyle w:val="NormalWeb"/>
                              <w:spacing w:before="0" w:beforeAutospacing="0" w:after="0" w:afterAutospacing="0"/>
                              <w:jc w:val="center"/>
                              <w:rPr>
                                <w:color w:val="FF0000"/>
                                <w:sz w:val="20"/>
                                <w:szCs w:val="20"/>
                              </w:rPr>
                            </w:pPr>
                            <w:r w:rsidRPr="009F78F3">
                              <w:rPr>
                                <w:b/>
                                <w:bCs/>
                                <w:color w:val="FF0000"/>
                                <w:sz w:val="20"/>
                                <w:szCs w:val="20"/>
                              </w:rPr>
                              <w:t xml:space="preserve"> </w:t>
                            </w:r>
                            <w:r>
                              <w:rPr>
                                <w:b/>
                                <w:bCs/>
                                <w:color w:val="FF0000"/>
                                <w:sz w:val="20"/>
                                <w:szCs w:val="20"/>
                                <w:lang w:val="en-US"/>
                              </w:rPr>
                              <w:t>890 444 265</w:t>
                            </w:r>
                            <w:r>
                              <w:rPr>
                                <w:b/>
                                <w:bCs/>
                                <w:color w:val="FF0000"/>
                                <w:sz w:val="20"/>
                                <w:szCs w:val="20"/>
                              </w:rPr>
                              <w:t xml:space="preserve"> </w:t>
                            </w:r>
                            <w:r w:rsidRPr="009F78F3">
                              <w:rPr>
                                <w:b/>
                                <w:bCs/>
                                <w:color w:val="FF0000"/>
                                <w:sz w:val="20"/>
                                <w:szCs w:val="20"/>
                              </w:rPr>
                              <w:t xml:space="preserve">кг/л </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oundrect w14:anchorId="0DDFA571" id="Rounded Rectangle 46" o:spid="_x0000_s1027" style="position:absolute;margin-left:0;margin-top:9.15pt;width:143.35pt;height:41.4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" fillcolor="#f2f2f2" strokecolor="#002060" strokeweight="2pt">
                <v:path arrowok="t"/>
                <v:textbox>
                  <w:txbxContent>
                    <w:p w14:paraId="6A120ED0" w14:textId="77777777" w:rsidR="00C15E71" w:rsidRPr="00441DA8" w:rsidRDefault="00C15E71" w:rsidP="003E14CD">
                      <w:pPr>
                        <w:pStyle w:val="NormalWeb"/>
                        <w:spacing w:before="0" w:beforeAutospacing="0" w:after="0" w:afterAutospacing="0"/>
                        <w:jc w:val="center"/>
                        <w:rPr>
                          <w:sz w:val="20"/>
                          <w:szCs w:val="20"/>
                        </w:rPr>
                      </w:pPr>
                      <w:r w:rsidRPr="00441DA8">
                        <w:rPr>
                          <w:b/>
                          <w:bCs/>
                          <w:color w:val="002060"/>
                          <w:sz w:val="20"/>
                          <w:szCs w:val="20"/>
                        </w:rPr>
                        <w:t>ВОД</w:t>
                      </w:r>
                      <w:r w:rsidRPr="00441DA8">
                        <w:rPr>
                          <w:color w:val="002060"/>
                          <w:sz w:val="20"/>
                          <w:szCs w:val="20"/>
                        </w:rPr>
                        <w:t xml:space="preserve">   </w:t>
                      </w:r>
                    </w:p>
                    <w:p w14:paraId="51CF2BA9" w14:textId="77777777" w:rsidR="00C15E71" w:rsidRPr="009F78F3" w:rsidRDefault="00C15E71" w:rsidP="003E14CD">
                      <w:pPr>
                        <w:pStyle w:val="NormalWeb"/>
                        <w:spacing w:before="0" w:beforeAutospacing="0" w:after="0" w:afterAutospacing="0"/>
                        <w:jc w:val="center"/>
                        <w:rPr>
                          <w:color w:val="FF0000"/>
                          <w:sz w:val="20"/>
                          <w:szCs w:val="20"/>
                        </w:rPr>
                      </w:pPr>
                      <w:r w:rsidRPr="009F78F3">
                        <w:rPr>
                          <w:b/>
                          <w:bCs/>
                          <w:color w:val="FF0000"/>
                          <w:sz w:val="20"/>
                          <w:szCs w:val="20"/>
                        </w:rPr>
                        <w:t xml:space="preserve"> </w:t>
                      </w:r>
                      <w:r>
                        <w:rPr>
                          <w:b/>
                          <w:bCs/>
                          <w:color w:val="FF0000"/>
                          <w:sz w:val="20"/>
                          <w:szCs w:val="20"/>
                          <w:lang w:val="en-US"/>
                        </w:rPr>
                        <w:t>890 444 265</w:t>
                      </w:r>
                      <w:r>
                        <w:rPr>
                          <w:b/>
                          <w:bCs/>
                          <w:color w:val="FF0000"/>
                          <w:sz w:val="20"/>
                          <w:szCs w:val="20"/>
                        </w:rPr>
                        <w:t xml:space="preserve"> </w:t>
                      </w:r>
                      <w:r w:rsidRPr="009F78F3">
                        <w:rPr>
                          <w:b/>
                          <w:bCs/>
                          <w:color w:val="FF0000"/>
                          <w:sz w:val="20"/>
                          <w:szCs w:val="20"/>
                        </w:rPr>
                        <w:t xml:space="preserve">кг/л </w:t>
                      </w:r>
                    </w:p>
                  </w:txbxContent>
                </v:textbox>
                <w10:wrap anchorx="margin"/>
              </v:roundrect>
            </w:pict>
          </mc:Fallback>
        </mc:AlternateContent>
      </w:r>
    </w:p>
    <w:p w14:paraId="1AFFB784" w14:textId="77777777" w:rsidR="003E14CD" w:rsidRPr="0050767D" w:rsidRDefault="003E14CD" w:rsidP="003E14CD">
      <w:pPr>
        <w:rPr>
          <w:lang w:eastAsia="en-US"/>
        </w:rPr>
      </w:pPr>
    </w:p>
    <w:p w14:paraId="5F2FFB5F" w14:textId="77777777" w:rsidR="003E14CD" w:rsidRPr="0050767D" w:rsidRDefault="003E14CD" w:rsidP="003E14CD">
      <w:pPr>
        <w:rPr>
          <w:lang w:eastAsia="en-US"/>
        </w:rPr>
      </w:pPr>
    </w:p>
    <w:p w14:paraId="4ECB6319" w14:textId="77777777" w:rsidR="003E14CD" w:rsidRPr="0050767D" w:rsidRDefault="003E14CD" w:rsidP="003E14CD">
      <w:pPr>
        <w:rPr>
          <w:lang w:eastAsia="en-US"/>
        </w:rPr>
      </w:pPr>
    </w:p>
    <w:p w14:paraId="6BA58C06" w14:textId="77777777" w:rsidR="003E14CD" w:rsidRPr="0050767D" w:rsidRDefault="003E14CD" w:rsidP="003E14CD">
      <w:pPr>
        <w:rPr>
          <w:lang w:eastAsia="en-US"/>
        </w:rPr>
      </w:pPr>
      <w:r w:rsidRPr="00E66F80">
        <w:rPr>
          <w:noProof/>
        </w:rPr>
        <mc:AlternateContent>
          <mc:Choice Requires="wps">
            <w:drawing>
              <wp:anchor distT="0" distB="0" distL="114300" distR="114300" simplePos="0" relativeHeight="251663360" behindDoc="0" locked="0" layoutInCell="1" allowOverlap="1" wp14:anchorId="77A2507B" wp14:editId="28F66423">
                <wp:simplePos x="0" y="0"/>
                <wp:positionH relativeFrom="column">
                  <wp:posOffset>852170</wp:posOffset>
                </wp:positionH>
                <wp:positionV relativeFrom="paragraph">
                  <wp:posOffset>53975</wp:posOffset>
                </wp:positionV>
                <wp:extent cx="141605" cy="146685"/>
                <wp:effectExtent l="0" t="0" r="10795" b="5715"/>
                <wp:wrapNone/>
                <wp:docPr id="47" name="Plus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605" cy="146685"/>
                        </a:xfrm>
                        <a:prstGeom prst="mathPlus">
                          <a:avLst/>
                        </a:prstGeom>
                        <a:solidFill>
                          <a:sysClr val="window" lastClr="FFFFFF"/>
                        </a:solidFill>
                        <a:ln w="25400" cap="flat" cmpd="sng" algn="ctr">
                          <a:solidFill>
                            <a:srgbClr val="4F81BD">
                              <a:shade val="50000"/>
                            </a:srgbClr>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75879872" id="Plus 47" o:spid="_x0000_s1026" style="position:absolute;margin-left:67.1pt;margin-top:4.25pt;width:11.15pt;height:11.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1605,14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" path="m18770,56690r35380,l54150,19443r33305,l87455,56690r35380,l122835,89995r-35380,l87455,127242r-33305,l54150,89995r-35380,l18770,56690xe" fillcolor="window" strokecolor="#385d8a" strokeweight="2pt">
                <v:path arrowok="t" o:connecttype="custom" o:connectlocs="18770,56690;54150,56690;54150,19443;87455,19443;87455,56690;122835,56690;122835,89995;87455,89995;87455,127242;54150,127242;54150,89995;18770,89995;18770,56690" o:connectangles="0,0,0,0,0,0,0,0,0,0,0,0,0"/>
              </v:shape>
            </w:pict>
          </mc:Fallback>
        </mc:AlternateContent>
      </w:r>
    </w:p>
    <w:p w14:paraId="48F9A922" w14:textId="77777777" w:rsidR="003E14CD" w:rsidRPr="0050767D" w:rsidRDefault="003E14CD" w:rsidP="003E14CD">
      <w:pPr>
        <w:rPr>
          <w:lang w:eastAsia="en-US"/>
        </w:rPr>
      </w:pPr>
      <w:r w:rsidRPr="00E66F80">
        <w:rPr>
          <w:noProof/>
        </w:rPr>
        <mc:AlternateContent>
          <mc:Choice Requires="wps">
            <w:drawing>
              <wp:anchor distT="0" distB="0" distL="114300" distR="114300" simplePos="0" relativeHeight="251655168" behindDoc="0" locked="0" layoutInCell="1" allowOverlap="1" wp14:anchorId="0F6C6A76" wp14:editId="4D3CD8E1">
                <wp:simplePos x="0" y="0"/>
                <wp:positionH relativeFrom="margin">
                  <wp:posOffset>19050</wp:posOffset>
                </wp:positionH>
                <wp:positionV relativeFrom="paragraph">
                  <wp:posOffset>103505</wp:posOffset>
                </wp:positionV>
                <wp:extent cx="1823720" cy="597535"/>
                <wp:effectExtent l="0" t="0" r="24130" b="12065"/>
                <wp:wrapNone/>
                <wp:docPr id="50" name="Rounded 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3720" cy="597535"/>
                        </a:xfrm>
                        <a:prstGeom prst="roundRect">
                          <a:avLst/>
                        </a:prstGeom>
                        <a:solidFill>
                          <a:sysClr val="window" lastClr="FFFFFF">
                            <a:lumMod val="95000"/>
                          </a:sysClr>
                        </a:solidFill>
                        <a:ln w="25400" cap="flat" cmpd="sng" algn="ctr">
                          <a:solidFill>
                            <a:srgbClr val="002060"/>
                          </a:solidFill>
                          <a:prstDash val="solid"/>
                        </a:ln>
                        <a:effectLst/>
                      </wps:spPr>
                      <wps:txbx>
                        <w:txbxContent>
                          <w:p w14:paraId="13CAD407" w14:textId="77777777" w:rsidR="00C15E71" w:rsidRPr="00441DA8" w:rsidRDefault="00C15E71" w:rsidP="003E14CD">
                            <w:pPr>
                              <w:pStyle w:val="NormalWeb"/>
                              <w:spacing w:before="0" w:beforeAutospacing="0" w:after="0" w:afterAutospacing="0"/>
                              <w:jc w:val="center"/>
                              <w:rPr>
                                <w:sz w:val="20"/>
                                <w:szCs w:val="20"/>
                              </w:rPr>
                            </w:pPr>
                            <w:r w:rsidRPr="00441DA8">
                              <w:rPr>
                                <w:b/>
                                <w:bCs/>
                                <w:color w:val="002060"/>
                                <w:sz w:val="20"/>
                                <w:szCs w:val="20"/>
                              </w:rPr>
                              <w:t>Преминаващи</w:t>
                            </w:r>
                            <w:r w:rsidRPr="00441DA8">
                              <w:rPr>
                                <w:color w:val="002060"/>
                                <w:sz w:val="20"/>
                                <w:szCs w:val="20"/>
                              </w:rPr>
                              <w:t xml:space="preserve"> </w:t>
                            </w:r>
                          </w:p>
                          <w:p w14:paraId="6734DE04" w14:textId="77777777" w:rsidR="00C15E71" w:rsidRPr="00441DA8" w:rsidRDefault="00C15E71" w:rsidP="003E14CD">
                            <w:pPr>
                              <w:pStyle w:val="NormalWeb"/>
                              <w:spacing w:before="0" w:beforeAutospacing="0" w:after="0" w:afterAutospacing="0"/>
                              <w:jc w:val="center"/>
                              <w:rPr>
                                <w:sz w:val="20"/>
                                <w:szCs w:val="20"/>
                              </w:rPr>
                            </w:pPr>
                            <w:r w:rsidRPr="00441DA8">
                              <w:rPr>
                                <w:color w:val="002060"/>
                                <w:sz w:val="20"/>
                                <w:szCs w:val="20"/>
                              </w:rPr>
                              <w:t xml:space="preserve">/през територията на РБ/ - </w:t>
                            </w:r>
                          </w:p>
                          <w:p w14:paraId="7236389C" w14:textId="77777777" w:rsidR="00C15E71" w:rsidRPr="009F78F3" w:rsidRDefault="00C15E71" w:rsidP="003E14CD">
                            <w:pPr>
                              <w:pStyle w:val="NormalWeb"/>
                              <w:spacing w:before="0" w:beforeAutospacing="0" w:after="0" w:afterAutospacing="0"/>
                              <w:jc w:val="center"/>
                              <w:rPr>
                                <w:color w:val="FF0000"/>
                                <w:sz w:val="20"/>
                                <w:szCs w:val="20"/>
                              </w:rPr>
                            </w:pPr>
                            <w:r>
                              <w:rPr>
                                <w:b/>
                                <w:bCs/>
                                <w:color w:val="FF0000"/>
                                <w:sz w:val="20"/>
                                <w:szCs w:val="20"/>
                                <w:lang w:val="en-029"/>
                              </w:rPr>
                              <w:t>1 300 </w:t>
                            </w:r>
                            <w:r>
                              <w:rPr>
                                <w:b/>
                                <w:bCs/>
                                <w:color w:val="FF0000"/>
                                <w:sz w:val="20"/>
                                <w:szCs w:val="20"/>
                                <w:lang w:val="en-US"/>
                              </w:rPr>
                              <w:t xml:space="preserve">300 753 </w:t>
                            </w:r>
                            <w:r w:rsidRPr="009F78F3">
                              <w:rPr>
                                <w:b/>
                                <w:bCs/>
                                <w:color w:val="FF0000"/>
                                <w:sz w:val="20"/>
                                <w:szCs w:val="20"/>
                              </w:rPr>
                              <w:t>кг/л</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oundrect w14:anchorId="0F6C6A76" id="Rounded Rectangle 50" o:spid="_x0000_s1028" style="position:absolute;margin-left:1.5pt;margin-top:8.15pt;width:143.6pt;height:47.0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" fillcolor="#f2f2f2" strokecolor="#002060" strokeweight="2pt">
                <v:path arrowok="t"/>
                <v:textbox>
                  <w:txbxContent>
                    <w:p w14:paraId="13CAD407" w14:textId="77777777" w:rsidR="00C15E71" w:rsidRPr="00441DA8" w:rsidRDefault="00C15E71" w:rsidP="003E14CD">
                      <w:pPr>
                        <w:pStyle w:val="NormalWeb"/>
                        <w:spacing w:before="0" w:beforeAutospacing="0" w:after="0" w:afterAutospacing="0"/>
                        <w:jc w:val="center"/>
                        <w:rPr>
                          <w:sz w:val="20"/>
                          <w:szCs w:val="20"/>
                        </w:rPr>
                      </w:pPr>
                      <w:r w:rsidRPr="00441DA8">
                        <w:rPr>
                          <w:b/>
                          <w:bCs/>
                          <w:color w:val="002060"/>
                          <w:sz w:val="20"/>
                          <w:szCs w:val="20"/>
                        </w:rPr>
                        <w:t>Преминаващи</w:t>
                      </w:r>
                      <w:r w:rsidRPr="00441DA8">
                        <w:rPr>
                          <w:color w:val="002060"/>
                          <w:sz w:val="20"/>
                          <w:szCs w:val="20"/>
                        </w:rPr>
                        <w:t xml:space="preserve"> </w:t>
                      </w:r>
                    </w:p>
                    <w:p w14:paraId="6734DE04" w14:textId="77777777" w:rsidR="00C15E71" w:rsidRPr="00441DA8" w:rsidRDefault="00C15E71" w:rsidP="003E14CD">
                      <w:pPr>
                        <w:pStyle w:val="NormalWeb"/>
                        <w:spacing w:before="0" w:beforeAutospacing="0" w:after="0" w:afterAutospacing="0"/>
                        <w:jc w:val="center"/>
                        <w:rPr>
                          <w:sz w:val="20"/>
                          <w:szCs w:val="20"/>
                        </w:rPr>
                      </w:pPr>
                      <w:r w:rsidRPr="00441DA8">
                        <w:rPr>
                          <w:color w:val="002060"/>
                          <w:sz w:val="20"/>
                          <w:szCs w:val="20"/>
                        </w:rPr>
                        <w:t xml:space="preserve">/през територията на РБ/ - </w:t>
                      </w:r>
                    </w:p>
                    <w:p w14:paraId="7236389C" w14:textId="77777777" w:rsidR="00C15E71" w:rsidRPr="009F78F3" w:rsidRDefault="00C15E71" w:rsidP="003E14CD">
                      <w:pPr>
                        <w:pStyle w:val="NormalWeb"/>
                        <w:spacing w:before="0" w:beforeAutospacing="0" w:after="0" w:afterAutospacing="0"/>
                        <w:jc w:val="center"/>
                        <w:rPr>
                          <w:color w:val="FF0000"/>
                          <w:sz w:val="20"/>
                          <w:szCs w:val="20"/>
                        </w:rPr>
                      </w:pPr>
                      <w:r>
                        <w:rPr>
                          <w:b/>
                          <w:bCs/>
                          <w:color w:val="FF0000"/>
                          <w:sz w:val="20"/>
                          <w:szCs w:val="20"/>
                          <w:lang w:val="en-029"/>
                        </w:rPr>
                        <w:t>1 300 </w:t>
                      </w:r>
                      <w:r>
                        <w:rPr>
                          <w:b/>
                          <w:bCs/>
                          <w:color w:val="FF0000"/>
                          <w:sz w:val="20"/>
                          <w:szCs w:val="20"/>
                          <w:lang w:val="en-US"/>
                        </w:rPr>
                        <w:t xml:space="preserve">300 753 </w:t>
                      </w:r>
                      <w:r w:rsidRPr="009F78F3">
                        <w:rPr>
                          <w:b/>
                          <w:bCs/>
                          <w:color w:val="FF0000"/>
                          <w:sz w:val="20"/>
                          <w:szCs w:val="20"/>
                        </w:rPr>
                        <w:t>кг/л</w:t>
                      </w:r>
                    </w:p>
                  </w:txbxContent>
                </v:textbox>
                <w10:wrap anchorx="margin"/>
              </v:roundrect>
            </w:pict>
          </mc:Fallback>
        </mc:AlternateContent>
      </w:r>
    </w:p>
    <w:p w14:paraId="2CDA4702" w14:textId="77777777" w:rsidR="003E14CD" w:rsidRPr="0050767D" w:rsidRDefault="003E14CD" w:rsidP="003E14CD">
      <w:pPr>
        <w:rPr>
          <w:lang w:eastAsia="en-US"/>
        </w:rPr>
      </w:pPr>
    </w:p>
    <w:p w14:paraId="4CE2E068" w14:textId="77777777" w:rsidR="003E14CD" w:rsidRPr="0050767D" w:rsidRDefault="003E14CD" w:rsidP="003E14CD">
      <w:pPr>
        <w:rPr>
          <w:lang w:eastAsia="en-US"/>
        </w:rPr>
      </w:pPr>
    </w:p>
    <w:p w14:paraId="36C7D6F7" w14:textId="77777777" w:rsidR="003E14CD" w:rsidRPr="0050767D" w:rsidRDefault="003E14CD" w:rsidP="003E14CD">
      <w:pPr>
        <w:rPr>
          <w:lang w:eastAsia="en-US"/>
        </w:rPr>
      </w:pPr>
    </w:p>
    <w:p w14:paraId="2B8E8BC3" w14:textId="77777777" w:rsidR="003E14CD" w:rsidRPr="0050767D" w:rsidRDefault="003E14CD" w:rsidP="003E14CD">
      <w:pPr>
        <w:tabs>
          <w:tab w:val="left" w:pos="1046"/>
        </w:tabs>
        <w:rPr>
          <w:lang w:eastAsia="en-US"/>
        </w:rPr>
      </w:pPr>
      <w:r w:rsidRPr="00E66F80">
        <w:rPr>
          <w:noProof/>
        </w:rPr>
        <mc:AlternateContent>
          <mc:Choice Requires="wps">
            <w:drawing>
              <wp:anchor distT="0" distB="0" distL="114300" distR="114300" simplePos="0" relativeHeight="251665408" behindDoc="0" locked="0" layoutInCell="1" allowOverlap="1" wp14:anchorId="3259096E" wp14:editId="1CCB84B3">
                <wp:simplePos x="0" y="0"/>
                <wp:positionH relativeFrom="column">
                  <wp:posOffset>808990</wp:posOffset>
                </wp:positionH>
                <wp:positionV relativeFrom="paragraph">
                  <wp:posOffset>130810</wp:posOffset>
                </wp:positionV>
                <wp:extent cx="184785" cy="142240"/>
                <wp:effectExtent l="0" t="0" r="5715" b="0"/>
                <wp:wrapNone/>
                <wp:docPr id="56" name="Equal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 cy="142240"/>
                        </a:xfrm>
                        <a:prstGeom prst="mathEqual">
                          <a:avLst/>
                        </a:prstGeom>
                        <a:solidFill>
                          <a:sysClr val="window" lastClr="FFFFFF"/>
                        </a:solidFill>
                        <a:ln w="25400" cap="flat" cmpd="sng" algn="ctr">
                          <a:solidFill>
                            <a:srgbClr val="4F81BD">
                              <a:shade val="50000"/>
                            </a:srgbClr>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250A08F7" id="Equal 56" o:spid="_x0000_s1026" style="position:absolute;margin-left:63.7pt;margin-top:10.3pt;width:14.55pt;height:1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785,14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" path="m24493,29301r135799,l160292,62756r-135799,l24493,29301xm24493,79484r135799,l160292,112939r-135799,l24493,79484xe" fillcolor="window" strokecolor="#385d8a" strokeweight="2pt">
                <v:path arrowok="t" o:connecttype="custom" o:connectlocs="24493,29301;160292,29301;160292,62756;24493,62756;24493,29301;24493,79484;160292,79484;160292,112939;24493,112939;24493,79484" o:connectangles="0,0,0,0,0,0,0,0,0,0"/>
              </v:shape>
            </w:pict>
          </mc:Fallback>
        </mc:AlternateContent>
      </w:r>
      <w:r w:rsidRPr="0050767D">
        <w:rPr>
          <w:lang w:eastAsia="en-US"/>
        </w:rPr>
        <w:tab/>
      </w:r>
    </w:p>
    <w:p w14:paraId="16947D00" w14:textId="77777777" w:rsidR="003E14CD" w:rsidRPr="0050767D" w:rsidRDefault="003E14CD" w:rsidP="003E14CD">
      <w:pPr>
        <w:tabs>
          <w:tab w:val="left" w:pos="9356"/>
          <w:tab w:val="left" w:pos="12825"/>
        </w:tabs>
        <w:ind w:right="-6"/>
        <w:jc w:val="both"/>
        <w:rPr>
          <w:lang w:eastAsia="en-US"/>
        </w:rPr>
      </w:pPr>
    </w:p>
    <w:p w14:paraId="598C3593" w14:textId="77777777" w:rsidR="003E14CD" w:rsidRPr="0050767D" w:rsidRDefault="003E14CD" w:rsidP="003E14CD">
      <w:pPr>
        <w:tabs>
          <w:tab w:val="left" w:pos="9356"/>
          <w:tab w:val="left" w:pos="12825"/>
        </w:tabs>
        <w:ind w:right="-6" w:firstLine="851"/>
        <w:jc w:val="both"/>
        <w:rPr>
          <w:bCs/>
          <w:lang w:eastAsia="en-US"/>
        </w:rPr>
      </w:pPr>
      <w:r w:rsidRPr="00E66F80">
        <w:rPr>
          <w:noProof/>
        </w:rPr>
        <mc:AlternateContent>
          <mc:Choice Requires="wps">
            <w:drawing>
              <wp:anchor distT="0" distB="0" distL="114300" distR="114300" simplePos="0" relativeHeight="251653120" behindDoc="0" locked="0" layoutInCell="1" allowOverlap="1" wp14:anchorId="46AE824C" wp14:editId="2FC96B16">
                <wp:simplePos x="0" y="0"/>
                <wp:positionH relativeFrom="margin">
                  <wp:align>left</wp:align>
                </wp:positionH>
                <wp:positionV relativeFrom="paragraph">
                  <wp:posOffset>-10160</wp:posOffset>
                </wp:positionV>
                <wp:extent cx="1823720" cy="445135"/>
                <wp:effectExtent l="0" t="0" r="24130" b="12065"/>
                <wp:wrapNone/>
                <wp:docPr id="19" name="Rounded 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3720" cy="445135"/>
                        </a:xfrm>
                        <a:prstGeom prst="roundRect">
                          <a:avLst>
                            <a:gd name="adj" fmla="val 19773"/>
                          </a:avLst>
                        </a:prstGeom>
                        <a:solidFill>
                          <a:sysClr val="window" lastClr="FFFFFF">
                            <a:lumMod val="95000"/>
                          </a:sysClr>
                        </a:solidFill>
                        <a:ln w="25400" cap="flat" cmpd="sng" algn="ctr">
                          <a:solidFill>
                            <a:srgbClr val="002060"/>
                          </a:solidFill>
                          <a:prstDash val="solid"/>
                        </a:ln>
                        <a:effectLst/>
                      </wps:spPr>
                      <wps:txbx>
                        <w:txbxContent>
                          <w:p w14:paraId="2526ADDD" w14:textId="77777777" w:rsidR="00C15E71" w:rsidRPr="00441DA8" w:rsidRDefault="00C15E71" w:rsidP="003E14CD">
                            <w:pPr>
                              <w:pStyle w:val="NormalWeb"/>
                              <w:spacing w:before="0" w:beforeAutospacing="0" w:after="0" w:afterAutospacing="0"/>
                              <w:jc w:val="center"/>
                              <w:rPr>
                                <w:sz w:val="20"/>
                                <w:szCs w:val="20"/>
                              </w:rPr>
                            </w:pPr>
                            <w:r w:rsidRPr="00721A99">
                              <w:rPr>
                                <w:b/>
                                <w:bCs/>
                                <w:color w:val="002060"/>
                                <w:sz w:val="20"/>
                                <w:szCs w:val="20"/>
                              </w:rPr>
                              <w:t xml:space="preserve">Общо </w:t>
                            </w:r>
                            <w:r>
                              <w:rPr>
                                <w:b/>
                                <w:bCs/>
                                <w:color w:val="002060"/>
                                <w:sz w:val="20"/>
                                <w:szCs w:val="20"/>
                                <w:lang w:val="en-029"/>
                              </w:rPr>
                              <w:t xml:space="preserve"> </w:t>
                            </w:r>
                            <w:r>
                              <w:rPr>
                                <w:b/>
                                <w:bCs/>
                                <w:color w:val="FF0000"/>
                                <w:sz w:val="20"/>
                                <w:szCs w:val="20"/>
                                <w:lang w:val="en-US"/>
                              </w:rPr>
                              <w:t xml:space="preserve">3 516 851 543 </w:t>
                            </w:r>
                            <w:r w:rsidRPr="009F78F3">
                              <w:rPr>
                                <w:b/>
                                <w:bCs/>
                                <w:color w:val="FF0000"/>
                                <w:sz w:val="20"/>
                                <w:szCs w:val="20"/>
                              </w:rPr>
                              <w:t xml:space="preserve">кг/л </w:t>
                            </w:r>
                          </w:p>
                        </w:txbxContent>
                      </wps:txbx>
                      <wps:bodyPr wrap="square" rtlCol="0" anchor="ctr">
                        <a:noAutofit/>
                      </wps:bodyPr>
                    </wps:wsp>
                  </a:graphicData>
                </a:graphic>
                <wp14:sizeRelH relativeFrom="page">
                  <wp14:pctWidth>0</wp14:pctWidth>
                </wp14:sizeRelH>
                <wp14:sizeRelV relativeFrom="page">
                  <wp14:pctHeight>0</wp14:pctHeight>
                </wp14:sizeRelV>
              </wp:anchor>
            </w:drawing>
          </mc:Choice>
          <mc:Fallback>
            <w:pict>
              <v:roundrect w14:anchorId="46AE824C" id="Rounded Rectangle 19" o:spid="_x0000_s1029" style="position:absolute;left:0;text-align:left;margin-left:0;margin-top:-.8pt;width:143.6pt;height:35.05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295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" fillcolor="#f2f2f2" strokecolor="#002060" strokeweight="2pt">
                <v:path arrowok="t"/>
                <v:textbox>
                  <w:txbxContent>
                    <w:p w14:paraId="2526ADDD" w14:textId="77777777" w:rsidR="00C15E71" w:rsidRPr="00441DA8" w:rsidRDefault="00C15E71" w:rsidP="003E14CD">
                      <w:pPr>
                        <w:pStyle w:val="NormalWeb"/>
                        <w:spacing w:before="0" w:beforeAutospacing="0" w:after="0" w:afterAutospacing="0"/>
                        <w:jc w:val="center"/>
                        <w:rPr>
                          <w:sz w:val="20"/>
                          <w:szCs w:val="20"/>
                        </w:rPr>
                      </w:pPr>
                      <w:r w:rsidRPr="00721A99">
                        <w:rPr>
                          <w:b/>
                          <w:bCs/>
                          <w:color w:val="002060"/>
                          <w:sz w:val="20"/>
                          <w:szCs w:val="20"/>
                        </w:rPr>
                        <w:t xml:space="preserve">Общо </w:t>
                      </w:r>
                      <w:r>
                        <w:rPr>
                          <w:b/>
                          <w:bCs/>
                          <w:color w:val="002060"/>
                          <w:sz w:val="20"/>
                          <w:szCs w:val="20"/>
                          <w:lang w:val="en-029"/>
                        </w:rPr>
                        <w:t xml:space="preserve"> </w:t>
                      </w:r>
                      <w:r>
                        <w:rPr>
                          <w:b/>
                          <w:bCs/>
                          <w:color w:val="FF0000"/>
                          <w:sz w:val="20"/>
                          <w:szCs w:val="20"/>
                          <w:lang w:val="en-US"/>
                        </w:rPr>
                        <w:t xml:space="preserve">3 516 851 543 </w:t>
                      </w:r>
                      <w:r w:rsidRPr="009F78F3">
                        <w:rPr>
                          <w:b/>
                          <w:bCs/>
                          <w:color w:val="FF0000"/>
                          <w:sz w:val="20"/>
                          <w:szCs w:val="20"/>
                        </w:rPr>
                        <w:t xml:space="preserve">кг/л </w:t>
                      </w:r>
                    </w:p>
                  </w:txbxContent>
                </v:textbox>
                <w10:wrap anchorx="margin"/>
              </v:roundrect>
            </w:pict>
          </mc:Fallback>
        </mc:AlternateContent>
      </w:r>
    </w:p>
    <w:p w14:paraId="72F03AAA" w14:textId="77777777" w:rsidR="003E14CD" w:rsidRPr="0050767D" w:rsidRDefault="003E14CD" w:rsidP="003E14CD">
      <w:pPr>
        <w:ind w:left="4944"/>
        <w:rPr>
          <w:b/>
          <w:bCs/>
        </w:rPr>
      </w:pPr>
    </w:p>
    <w:p w14:paraId="05078C0A" w14:textId="77777777" w:rsidR="003E14CD" w:rsidRPr="0050767D" w:rsidRDefault="003E14CD" w:rsidP="003E14CD">
      <w:pPr>
        <w:ind w:right="-6"/>
        <w:jc w:val="both"/>
        <w:rPr>
          <w:b/>
          <w:lang w:eastAsia="en-US"/>
        </w:rPr>
      </w:pPr>
    </w:p>
    <w:p w14:paraId="03E678EB" w14:textId="77777777" w:rsidR="003E14CD" w:rsidRPr="0050767D" w:rsidRDefault="003E14CD" w:rsidP="003E14CD">
      <w:pPr>
        <w:spacing w:after="120"/>
        <w:jc w:val="right"/>
        <w:rPr>
          <w:rFonts w:eastAsiaTheme="minorHAnsi"/>
          <w:i/>
          <w:lang w:eastAsia="en-US"/>
        </w:rPr>
      </w:pPr>
      <w:r w:rsidRPr="0050767D">
        <w:rPr>
          <w:rFonts w:eastAsiaTheme="minorHAnsi"/>
          <w:lang w:eastAsia="en-US"/>
        </w:rPr>
        <w:t xml:space="preserve">      </w:t>
      </w:r>
      <w:r w:rsidRPr="0050767D">
        <w:rPr>
          <w:rFonts w:eastAsiaTheme="minorHAnsi"/>
          <w:i/>
          <w:lang w:eastAsia="en-US"/>
        </w:rPr>
        <w:t>Източник: НАП</w:t>
      </w:r>
    </w:p>
    <w:p w14:paraId="3BB9779C" w14:textId="77777777" w:rsidR="003E14CD" w:rsidRPr="0050767D" w:rsidRDefault="003E14CD" w:rsidP="003E14CD">
      <w:pPr>
        <w:spacing w:after="120"/>
        <w:ind w:right="-6" w:firstLine="709"/>
        <w:jc w:val="both"/>
        <w:rPr>
          <w:lang w:eastAsia="en-US"/>
        </w:rPr>
      </w:pPr>
      <w:r w:rsidRPr="0050767D">
        <w:rPr>
          <w:lang w:eastAsia="en-US"/>
        </w:rPr>
        <w:t xml:space="preserve">В резултат на извършения контрол, през 2022 г. са предприети действия за налагане на обезпечителни мерки на основание чл. 121а, ал. 3 от ДОПК срещу </w:t>
      </w:r>
      <w:r w:rsidRPr="00E66F80">
        <w:rPr>
          <w:bCs/>
          <w:lang w:eastAsia="en-US"/>
        </w:rPr>
        <w:t>404</w:t>
      </w:r>
      <w:r w:rsidRPr="0050767D">
        <w:rPr>
          <w:lang w:eastAsia="en-US"/>
        </w:rPr>
        <w:t xml:space="preserve"> задължени лица. Общата стойност на наложените обезпечения е 3,4 млн. лева. Отчетена е стока, изоставена в полза на държавата, с общо количество </w:t>
      </w:r>
      <w:r w:rsidRPr="004F15D1">
        <w:rPr>
          <w:lang w:eastAsia="en-US"/>
        </w:rPr>
        <w:t>34</w:t>
      </w:r>
      <w:r w:rsidRPr="00E66F80">
        <w:rPr>
          <w:lang w:val="en-US" w:eastAsia="en-US"/>
        </w:rPr>
        <w:t> </w:t>
      </w:r>
      <w:r w:rsidRPr="004F15D1">
        <w:rPr>
          <w:lang w:eastAsia="en-US"/>
        </w:rPr>
        <w:t>999</w:t>
      </w:r>
      <w:r w:rsidRPr="00E66F80">
        <w:rPr>
          <w:lang w:eastAsia="en-US"/>
        </w:rPr>
        <w:t xml:space="preserve"> </w:t>
      </w:r>
      <w:r w:rsidRPr="0050767D">
        <w:rPr>
          <w:lang w:eastAsia="en-US"/>
        </w:rPr>
        <w:t>кг на обща стойност 48,1 хил. лева.</w:t>
      </w:r>
    </w:p>
    <w:p w14:paraId="552E63E7" w14:textId="77777777" w:rsidR="003E14CD" w:rsidRPr="0050767D" w:rsidRDefault="003E14CD" w:rsidP="009765DA">
      <w:pPr>
        <w:ind w:firstLine="709"/>
        <w:jc w:val="both"/>
        <w:rPr>
          <w:b/>
          <w:bCs/>
        </w:rPr>
      </w:pPr>
      <w:r w:rsidRPr="0050767D">
        <w:rPr>
          <w:b/>
          <w:bCs/>
        </w:rPr>
        <w:t xml:space="preserve">Фискален контрол </w:t>
      </w:r>
      <w:r w:rsidRPr="0050767D">
        <w:rPr>
          <w:b/>
          <w:bCs/>
          <w:iCs/>
          <w:color w:val="000000"/>
        </w:rPr>
        <w:t>върху движението на горива</w:t>
      </w:r>
    </w:p>
    <w:p w14:paraId="6FBB72A7" w14:textId="77777777" w:rsidR="003E14CD" w:rsidRPr="0050767D" w:rsidRDefault="003E14CD" w:rsidP="003E14CD">
      <w:pPr>
        <w:spacing w:after="120"/>
        <w:ind w:firstLine="709"/>
        <w:jc w:val="both"/>
        <w:rPr>
          <w:lang w:eastAsia="en-US"/>
        </w:rPr>
      </w:pPr>
      <w:r w:rsidRPr="0050767D">
        <w:rPr>
          <w:lang w:eastAsia="en-US"/>
        </w:rPr>
        <w:t xml:space="preserve">След включването на определен тип горива в списъка на СВФР, се осъществява контрол на фискален контролен пункт (ФКП) на ГКПП и във вътрешността на страната. Обособени са </w:t>
      </w:r>
      <w:r w:rsidRPr="004F15D1">
        <w:rPr>
          <w:lang w:eastAsia="en-US"/>
        </w:rPr>
        <w:t>79</w:t>
      </w:r>
      <w:r w:rsidRPr="0050767D">
        <w:rPr>
          <w:lang w:eastAsia="en-US"/>
        </w:rPr>
        <w:t xml:space="preserve"> ФКП – данъчни складове и обекти с монтирани разходомери и измервателни системи (обекти на „едро“), в които се съхраняват течни горива. Контролът се осъществява на вход/изход на данъчните складове </w:t>
      </w:r>
      <w:r w:rsidRPr="0050767D">
        <w:rPr>
          <w:bCs/>
          <w:lang w:eastAsia="en-US"/>
        </w:rPr>
        <w:t xml:space="preserve">(ДС) </w:t>
      </w:r>
      <w:r w:rsidRPr="0050767D">
        <w:rPr>
          <w:lang w:eastAsia="en-US"/>
        </w:rPr>
        <w:t xml:space="preserve">и на обектите за търговия на ,,едро“, съгласно утвърден график. Предмет на контрол е изведеното от данъчните складове и от обектите на ,,едро“ гориво, освободено за потребление по реда на Закон за акцизите и данъчните складове и гориво под режим отложено плащане на акциз </w:t>
      </w:r>
      <w:r w:rsidRPr="0050767D">
        <w:t xml:space="preserve">(РОПА) </w:t>
      </w:r>
      <w:r w:rsidRPr="0050767D">
        <w:rPr>
          <w:lang w:eastAsia="en-US"/>
        </w:rPr>
        <w:t xml:space="preserve">- за движението между данъчни складове. </w:t>
      </w:r>
    </w:p>
    <w:p w14:paraId="052A536D" w14:textId="77777777" w:rsidR="003E14CD" w:rsidRPr="00E66F80" w:rsidRDefault="003E14CD" w:rsidP="003E14CD">
      <w:pPr>
        <w:tabs>
          <w:tab w:val="left" w:pos="12825"/>
        </w:tabs>
        <w:spacing w:line="276" w:lineRule="auto"/>
        <w:ind w:right="-6" w:firstLine="567"/>
        <w:jc w:val="both"/>
        <w:rPr>
          <w:lang w:eastAsia="en-US"/>
        </w:rPr>
      </w:pPr>
      <w:r w:rsidRPr="00E66F80">
        <w:rPr>
          <w:lang w:eastAsia="en-US"/>
        </w:rPr>
        <w:t>Проверено количество гориво през 202</w:t>
      </w:r>
      <w:r w:rsidRPr="004F15D1">
        <w:rPr>
          <w:lang w:eastAsia="en-US"/>
        </w:rPr>
        <w:t>2</w:t>
      </w:r>
      <w:r w:rsidRPr="00E66F80">
        <w:rPr>
          <w:lang w:eastAsia="en-US"/>
        </w:rPr>
        <w:t xml:space="preserve"> г.:</w:t>
      </w:r>
    </w:p>
    <w:p w14:paraId="43CF3FA9" w14:textId="77777777" w:rsidR="003E14CD" w:rsidRPr="0050767D" w:rsidRDefault="003E14CD" w:rsidP="00BD39E0">
      <w:pPr>
        <w:pStyle w:val="ListParagraph"/>
        <w:numPr>
          <w:ilvl w:val="0"/>
          <w:numId w:val="68"/>
        </w:numPr>
        <w:tabs>
          <w:tab w:val="left" w:pos="993"/>
        </w:tabs>
        <w:jc w:val="both"/>
      </w:pPr>
      <w:r w:rsidRPr="0050767D">
        <w:t>на ФКП на ГКПП – 124 561 063 литра;</w:t>
      </w:r>
    </w:p>
    <w:p w14:paraId="00C9FFAE" w14:textId="77777777" w:rsidR="003E14CD" w:rsidRPr="0050767D" w:rsidRDefault="003E14CD" w:rsidP="00BD39E0">
      <w:pPr>
        <w:pStyle w:val="ListParagraph"/>
        <w:numPr>
          <w:ilvl w:val="0"/>
          <w:numId w:val="68"/>
        </w:numPr>
        <w:tabs>
          <w:tab w:val="left" w:pos="993"/>
        </w:tabs>
        <w:jc w:val="both"/>
      </w:pPr>
      <w:r w:rsidRPr="0050767D">
        <w:t xml:space="preserve">на изход на данъчни складове и обекти на ,,едро“ (освободено за потребление, с </w:t>
      </w:r>
    </w:p>
    <w:p w14:paraId="60625C0C" w14:textId="77777777" w:rsidR="003E14CD" w:rsidRPr="0050767D" w:rsidRDefault="003E14CD" w:rsidP="00BD39E0">
      <w:pPr>
        <w:pStyle w:val="ListParagraph"/>
        <w:numPr>
          <w:ilvl w:val="0"/>
          <w:numId w:val="68"/>
        </w:numPr>
        <w:tabs>
          <w:tab w:val="left" w:pos="993"/>
        </w:tabs>
        <w:jc w:val="both"/>
      </w:pPr>
      <w:r w:rsidRPr="0050767D">
        <w:t>платен акциз) –   52 071 142 литра;</w:t>
      </w:r>
    </w:p>
    <w:p w14:paraId="38722E26" w14:textId="77777777" w:rsidR="003E14CD" w:rsidRPr="0050767D" w:rsidRDefault="003E14CD" w:rsidP="00BD39E0">
      <w:pPr>
        <w:pStyle w:val="ListParagraph"/>
        <w:numPr>
          <w:ilvl w:val="0"/>
          <w:numId w:val="68"/>
        </w:numPr>
        <w:tabs>
          <w:tab w:val="left" w:pos="993"/>
        </w:tabs>
        <w:jc w:val="both"/>
      </w:pPr>
      <w:r w:rsidRPr="0050767D">
        <w:t>на изход/вход на данъчни складове за постъпило и напуснало от и до друг данъчен склад гориво под режим отложено плащане на акциз – 6 776 176 литра.</w:t>
      </w:r>
    </w:p>
    <w:p w14:paraId="0F613B6E" w14:textId="77777777" w:rsidR="003E14CD" w:rsidRPr="0050767D" w:rsidRDefault="003E14CD" w:rsidP="003E14CD">
      <w:pPr>
        <w:tabs>
          <w:tab w:val="left" w:pos="993"/>
        </w:tabs>
        <w:spacing w:after="120"/>
        <w:ind w:firstLine="709"/>
        <w:jc w:val="both"/>
        <w:rPr>
          <w:lang w:eastAsia="en-US"/>
        </w:rPr>
      </w:pPr>
      <w:r w:rsidRPr="00E66F80">
        <w:rPr>
          <w:lang w:eastAsia="en-US"/>
        </w:rPr>
        <w:t xml:space="preserve">Поставени са </w:t>
      </w:r>
      <w:r w:rsidRPr="004F15D1">
        <w:rPr>
          <w:lang w:eastAsia="en-US"/>
        </w:rPr>
        <w:t>443</w:t>
      </w:r>
      <w:r w:rsidRPr="00E66F80">
        <w:rPr>
          <w:lang w:eastAsia="en-US"/>
        </w:rPr>
        <w:t xml:space="preserve"> броя технически средства за контрол. Наложени са </w:t>
      </w:r>
      <w:r w:rsidRPr="004F15D1">
        <w:rPr>
          <w:lang w:eastAsia="en-US"/>
        </w:rPr>
        <w:t>50</w:t>
      </w:r>
      <w:r w:rsidRPr="00E66F80">
        <w:rPr>
          <w:lang w:eastAsia="en-US"/>
        </w:rPr>
        <w:t xml:space="preserve"> броя обезпечения на основание чл.121а, ал. 3 от ДОПК, на  обща стойност 124</w:t>
      </w:r>
      <w:r w:rsidRPr="00E66F80">
        <w:rPr>
          <w:lang w:val="en-US" w:eastAsia="en-US"/>
        </w:rPr>
        <w:t> </w:t>
      </w:r>
      <w:r w:rsidRPr="00E66F80">
        <w:rPr>
          <w:lang w:eastAsia="en-US"/>
        </w:rPr>
        <w:t xml:space="preserve">101,0 лева. </w:t>
      </w:r>
    </w:p>
    <w:p w14:paraId="20319359" w14:textId="77777777" w:rsidR="003E14CD" w:rsidRPr="0050767D" w:rsidRDefault="003E14CD" w:rsidP="003E14CD">
      <w:pPr>
        <w:tabs>
          <w:tab w:val="left" w:pos="993"/>
        </w:tabs>
        <w:spacing w:after="120"/>
        <w:ind w:firstLine="709"/>
        <w:jc w:val="both"/>
        <w:rPr>
          <w:lang w:eastAsia="en-US"/>
        </w:rPr>
      </w:pPr>
      <w:r w:rsidRPr="00E66F80">
        <w:rPr>
          <w:lang w:eastAsia="en-US"/>
        </w:rPr>
        <w:t xml:space="preserve">Под координацията на Междуведомствения координационен център за противодействие на контрабандата и контрол на движението на рискови стоки и товари (МКЦПККДРСТ) са извършени  съвместни проверки върху предварително селектирани обекти, осъществяващи търговия с горива. В хода на контролните акции са установени административни нарушения; наложени са ПАМЗО.          </w:t>
      </w:r>
    </w:p>
    <w:p w14:paraId="28EE9380" w14:textId="77777777" w:rsidR="003E14CD" w:rsidRPr="004E71E9" w:rsidRDefault="003E14CD" w:rsidP="003E14CD">
      <w:pPr>
        <w:tabs>
          <w:tab w:val="left" w:pos="993"/>
        </w:tabs>
        <w:spacing w:after="120"/>
        <w:ind w:firstLine="709"/>
        <w:jc w:val="both"/>
        <w:rPr>
          <w:sz w:val="2"/>
          <w:lang w:eastAsia="en-US"/>
        </w:rPr>
      </w:pPr>
    </w:p>
    <w:p w14:paraId="639D6AFE" w14:textId="1A174F0C" w:rsidR="003E14CD" w:rsidRPr="0050767D" w:rsidRDefault="003E14CD" w:rsidP="003E14CD">
      <w:pPr>
        <w:tabs>
          <w:tab w:val="left" w:pos="993"/>
        </w:tabs>
        <w:spacing w:after="120"/>
        <w:ind w:firstLine="709"/>
        <w:jc w:val="both"/>
        <w:rPr>
          <w:b/>
        </w:rPr>
      </w:pPr>
      <w:r w:rsidRPr="0050767D">
        <w:rPr>
          <w:b/>
        </w:rPr>
        <w:t>Индикатори за изпълнение</w:t>
      </w:r>
    </w:p>
    <w:p w14:paraId="291E75C8" w14:textId="77777777" w:rsidR="003E14CD" w:rsidRPr="0050767D" w:rsidRDefault="003E14CD" w:rsidP="003E14CD">
      <w:pPr>
        <w:tabs>
          <w:tab w:val="left" w:pos="993"/>
        </w:tabs>
        <w:spacing w:after="120"/>
        <w:ind w:right="-6" w:firstLine="709"/>
        <w:jc w:val="both"/>
        <w:rPr>
          <w:lang w:eastAsia="en-US"/>
        </w:rPr>
      </w:pPr>
      <w:r w:rsidRPr="0050767D">
        <w:rPr>
          <w:lang w:eastAsia="en-US"/>
        </w:rPr>
        <w:t>При анализ и съпоставка на данните за постъпленията от данъци и задължителни осигурителни вноски за 2022 г., спрямо предходната година, се отчита:</w:t>
      </w:r>
    </w:p>
    <w:p w14:paraId="10993587" w14:textId="77777777" w:rsidR="003E14CD" w:rsidRPr="00E66F80" w:rsidRDefault="003E14CD" w:rsidP="00BD39E0">
      <w:pPr>
        <w:pStyle w:val="ListParagraph"/>
        <w:numPr>
          <w:ilvl w:val="0"/>
          <w:numId w:val="68"/>
        </w:numPr>
        <w:tabs>
          <w:tab w:val="left" w:pos="993"/>
        </w:tabs>
        <w:jc w:val="both"/>
      </w:pPr>
      <w:r w:rsidRPr="00E66F80">
        <w:t>ръст на приходите от данъци и задължителни осигурителни вноски на лица, осъществили ВОП на СВФР – 539,5 млн. лв. (18,7 %);</w:t>
      </w:r>
    </w:p>
    <w:p w14:paraId="60A7348A" w14:textId="77777777" w:rsidR="003E14CD" w:rsidRPr="00E66F80" w:rsidRDefault="003E14CD" w:rsidP="00BD39E0">
      <w:pPr>
        <w:pStyle w:val="ListParagraph"/>
        <w:numPr>
          <w:ilvl w:val="0"/>
          <w:numId w:val="68"/>
        </w:numPr>
        <w:tabs>
          <w:tab w:val="left" w:pos="993"/>
        </w:tabs>
        <w:jc w:val="both"/>
      </w:pPr>
      <w:r w:rsidRPr="00E66F80">
        <w:t>намаление на приходите от данъци и задължителни осигурителни вноски на лица, осъществили ВОД на СВФР – 310,6 млн. лв. (-30  %);</w:t>
      </w:r>
    </w:p>
    <w:p w14:paraId="09976A54" w14:textId="77777777" w:rsidR="003E14CD" w:rsidRPr="00E66F80" w:rsidRDefault="003E14CD" w:rsidP="00BD39E0">
      <w:pPr>
        <w:pStyle w:val="ListParagraph"/>
        <w:numPr>
          <w:ilvl w:val="0"/>
          <w:numId w:val="68"/>
        </w:numPr>
        <w:tabs>
          <w:tab w:val="left" w:pos="993"/>
        </w:tabs>
        <w:jc w:val="both"/>
      </w:pPr>
      <w:r w:rsidRPr="00E66F80">
        <w:t>намаление на приходите от данъци и задължителни осигурителни вноски на лица, извършващи превоз на СВФР – 40,8 млн. лв. (-2,9 %);</w:t>
      </w:r>
    </w:p>
    <w:p w14:paraId="10D6C3FA" w14:textId="77777777" w:rsidR="003E14CD" w:rsidRPr="00E66F80" w:rsidRDefault="003E14CD" w:rsidP="00BD39E0">
      <w:pPr>
        <w:pStyle w:val="ListParagraph"/>
        <w:numPr>
          <w:ilvl w:val="0"/>
          <w:numId w:val="68"/>
        </w:numPr>
        <w:tabs>
          <w:tab w:val="left" w:pos="993"/>
        </w:tabs>
        <w:jc w:val="both"/>
      </w:pPr>
      <w:r w:rsidRPr="00E66F80">
        <w:t>намаление на приходите от данъци и задължителни осигурителни вноски на лица, осъществили доставки на СВФР на територията на страната – 126,1 млн. лв. (-6,5 %);</w:t>
      </w:r>
    </w:p>
    <w:p w14:paraId="1A290EC9" w14:textId="77777777" w:rsidR="003E14CD" w:rsidRPr="00E66F80" w:rsidRDefault="003E14CD" w:rsidP="00BD39E0">
      <w:pPr>
        <w:pStyle w:val="ListParagraph"/>
        <w:numPr>
          <w:ilvl w:val="0"/>
          <w:numId w:val="68"/>
        </w:numPr>
        <w:tabs>
          <w:tab w:val="left" w:pos="993"/>
        </w:tabs>
        <w:jc w:val="both"/>
      </w:pPr>
      <w:r w:rsidRPr="00E66F80">
        <w:t>декларирани от ЗЛ доставки по ВОП на стоки е с ръст в размер на 5 188,2 млн. лв. (31,6 %);</w:t>
      </w:r>
    </w:p>
    <w:p w14:paraId="3428FB01" w14:textId="77777777" w:rsidR="003E14CD" w:rsidRPr="00E66F80" w:rsidRDefault="003E14CD" w:rsidP="00BD39E0">
      <w:pPr>
        <w:pStyle w:val="ListParagraph"/>
        <w:numPr>
          <w:ilvl w:val="0"/>
          <w:numId w:val="68"/>
        </w:numPr>
        <w:tabs>
          <w:tab w:val="left" w:pos="993"/>
        </w:tabs>
        <w:jc w:val="both"/>
        <w:rPr>
          <w:lang w:eastAsia="en-US"/>
        </w:rPr>
      </w:pPr>
      <w:r w:rsidRPr="00E66F80">
        <w:t xml:space="preserve">декларирани от ЗЛ доставки по ВОД на стоки е с ръст в размер на 4 566,6 млн. лв. (43,7 %). </w:t>
      </w:r>
    </w:p>
    <w:p w14:paraId="233221DE" w14:textId="77777777" w:rsidR="003E14CD" w:rsidRPr="00E66F80" w:rsidRDefault="003E14CD" w:rsidP="003E14CD">
      <w:pPr>
        <w:spacing w:after="120"/>
        <w:ind w:right="-2" w:firstLine="709"/>
        <w:jc w:val="both"/>
        <w:rPr>
          <w:lang w:eastAsia="en-US"/>
        </w:rPr>
      </w:pPr>
      <w:r w:rsidRPr="00E66F80">
        <w:rPr>
          <w:lang w:eastAsia="en-US"/>
        </w:rPr>
        <w:t>Анализът на данните показва, че се запазва тенденцията от предходните години за положителен ръст на декларираните данъци и задължителни осигурителни вноски и данъчна основа за ВОП, проверки в страната при лицата, обект на фискален контрол, както и при лицата, превозващи СВФР.</w:t>
      </w:r>
      <w:r w:rsidRPr="0050767D">
        <w:rPr>
          <w:lang w:eastAsia="en-US"/>
        </w:rPr>
        <w:t xml:space="preserve"> </w:t>
      </w:r>
      <w:r w:rsidRPr="00E66F80">
        <w:rPr>
          <w:lang w:eastAsia="en-US"/>
        </w:rPr>
        <w:t xml:space="preserve">  </w:t>
      </w:r>
    </w:p>
    <w:p w14:paraId="554A0695" w14:textId="77777777" w:rsidR="003E14CD" w:rsidRPr="00E66F80" w:rsidRDefault="003E14CD" w:rsidP="003E14CD">
      <w:pPr>
        <w:shd w:val="clear" w:color="auto" w:fill="FFFFFF"/>
        <w:tabs>
          <w:tab w:val="left" w:pos="993"/>
        </w:tabs>
        <w:spacing w:after="120"/>
        <w:ind w:firstLine="709"/>
        <w:jc w:val="both"/>
        <w:rPr>
          <w:b/>
        </w:rPr>
      </w:pPr>
      <w:r w:rsidRPr="00E66F80">
        <w:rPr>
          <w:b/>
        </w:rPr>
        <w:t>Мониторинги на стоки с висок фискален риск</w:t>
      </w:r>
    </w:p>
    <w:p w14:paraId="13EB602B" w14:textId="77777777" w:rsidR="003E14CD" w:rsidRPr="00E66F80" w:rsidRDefault="003E14CD" w:rsidP="003E14CD">
      <w:pPr>
        <w:spacing w:after="120"/>
        <w:ind w:right="-2" w:firstLine="709"/>
        <w:jc w:val="both"/>
        <w:rPr>
          <w:lang w:eastAsia="en-US"/>
        </w:rPr>
      </w:pPr>
      <w:r w:rsidRPr="00E66F80">
        <w:rPr>
          <w:lang w:eastAsia="en-US"/>
        </w:rPr>
        <w:t>Във връзка с фискален контрол върху движението на СВФР на територията на страната през 2022 г. са извършени контролни действия на борси и тържища за търговия на едро на стоки от група „плодове и зеленчуци“. Общо извършени проверки – 535 бр. Наложените обезпечителни мерки на основание чл. 121а, ал. 3 от ДОПК са в размер на 19 620,72 лева.</w:t>
      </w:r>
    </w:p>
    <w:p w14:paraId="47D50386" w14:textId="77777777" w:rsidR="003E14CD" w:rsidRPr="0050767D" w:rsidRDefault="003E14CD" w:rsidP="003E14CD">
      <w:pPr>
        <w:spacing w:after="120"/>
        <w:ind w:firstLine="709"/>
        <w:jc w:val="both"/>
        <w:rPr>
          <w:b/>
          <w:color w:val="000000"/>
        </w:rPr>
      </w:pPr>
      <w:r w:rsidRPr="0050767D">
        <w:rPr>
          <w:b/>
          <w:color w:val="000000"/>
        </w:rPr>
        <w:t>Съвместни контролни действия</w:t>
      </w:r>
    </w:p>
    <w:p w14:paraId="51F50478" w14:textId="77777777" w:rsidR="003E14CD" w:rsidRPr="00E66F80" w:rsidRDefault="003E14CD" w:rsidP="003E14CD">
      <w:pPr>
        <w:spacing w:after="120"/>
        <w:ind w:right="-6" w:firstLine="708"/>
        <w:jc w:val="both"/>
        <w:rPr>
          <w:lang w:eastAsia="en-US"/>
        </w:rPr>
      </w:pPr>
      <w:r w:rsidRPr="0050767D">
        <w:rPr>
          <w:lang w:eastAsia="en-US"/>
        </w:rPr>
        <w:t>Служителите от оперативния център на ГДФК осъществяват денонощно експертна дейност в Междуведомствен координационен център за противодействие на контрабандата и контрол на движението на рискови стоки и товари, като координират и разпределят случаи на органите по приходите, извършващи фискален контрол, в т.ч. и при съвместен контрол с други контролни органи. През 202</w:t>
      </w:r>
      <w:r w:rsidRPr="00E66F80">
        <w:rPr>
          <w:lang w:eastAsia="en-US"/>
        </w:rPr>
        <w:t>2 г. са извършени 1 579 броя такива проверки</w:t>
      </w:r>
      <w:r w:rsidRPr="0050767D">
        <w:rPr>
          <w:lang w:eastAsia="en-US"/>
        </w:rPr>
        <w:t xml:space="preserve">. Служителите оказват и методическо съдействие на проверяваните лица чрез национален телефон и имейл посредством специализирана технологична среда. </w:t>
      </w:r>
    </w:p>
    <w:p w14:paraId="3FB952CD" w14:textId="77777777" w:rsidR="003E14CD" w:rsidRPr="00E66F80" w:rsidRDefault="003E14CD" w:rsidP="003E14CD">
      <w:pPr>
        <w:spacing w:after="120"/>
        <w:ind w:right="-6" w:firstLine="708"/>
        <w:jc w:val="both"/>
        <w:rPr>
          <w:lang w:eastAsia="en-US"/>
        </w:rPr>
      </w:pPr>
      <w:r w:rsidRPr="00E66F80">
        <w:rPr>
          <w:lang w:eastAsia="en-US"/>
        </w:rPr>
        <w:t xml:space="preserve">В оперативен план, служителите на ГДФК участват в съвместни контролни акции с АМ, МВР, ДКСБТ, ДАМТН, БАБХ, БИМ, ИААА, ИАГИТ, КЗП, АПИ, ГДБОП, ДАНС и др. на територията на цялата страна. </w:t>
      </w:r>
    </w:p>
    <w:p w14:paraId="43AA48D5" w14:textId="77777777" w:rsidR="003E14CD" w:rsidRPr="00E66F80" w:rsidRDefault="003E14CD" w:rsidP="003E14CD">
      <w:pPr>
        <w:spacing w:after="120"/>
        <w:ind w:right="-6" w:firstLine="708"/>
        <w:jc w:val="both"/>
        <w:rPr>
          <w:lang w:eastAsia="en-US"/>
        </w:rPr>
      </w:pPr>
      <w:r w:rsidRPr="00E66F80">
        <w:rPr>
          <w:lang w:eastAsia="en-US"/>
        </w:rPr>
        <w:t xml:space="preserve">Въз основа на споразумение за сътрудничество между НАП и Национална агенция за данъчна администрация на Румъния (НАДА) в областта на фискалния контрол, се осъществи целогодишен обмен на информация и мониторинг на над 3 800 камиона на българо-румънската граница. </w:t>
      </w:r>
    </w:p>
    <w:p w14:paraId="76B8DC5B" w14:textId="77777777" w:rsidR="003E14CD" w:rsidRPr="00E66F80" w:rsidRDefault="003E14CD" w:rsidP="003E14CD">
      <w:pPr>
        <w:spacing w:after="120"/>
        <w:ind w:right="-6" w:firstLine="708"/>
        <w:jc w:val="both"/>
        <w:rPr>
          <w:lang w:eastAsia="en-US"/>
        </w:rPr>
      </w:pPr>
      <w:r w:rsidRPr="00E66F80">
        <w:rPr>
          <w:lang w:eastAsia="en-US"/>
        </w:rPr>
        <w:t>Резултатите от съвместните акции:</w:t>
      </w:r>
    </w:p>
    <w:p w14:paraId="2CEA8C1E" w14:textId="77777777" w:rsidR="003E14CD" w:rsidRPr="00E66F80" w:rsidRDefault="003E14CD" w:rsidP="00BD39E0">
      <w:pPr>
        <w:pStyle w:val="ListParagraph"/>
        <w:numPr>
          <w:ilvl w:val="0"/>
          <w:numId w:val="69"/>
        </w:numPr>
        <w:spacing w:after="120"/>
        <w:ind w:right="-6"/>
        <w:jc w:val="both"/>
        <w:rPr>
          <w:lang w:eastAsia="en-US"/>
        </w:rPr>
      </w:pPr>
      <w:r w:rsidRPr="00E66F80">
        <w:rPr>
          <w:lang w:eastAsia="en-US"/>
        </w:rPr>
        <w:t xml:space="preserve">предотвратени контрабандни схеми; </w:t>
      </w:r>
    </w:p>
    <w:p w14:paraId="3D0E1485" w14:textId="77777777" w:rsidR="003E14CD" w:rsidRPr="00E66F80" w:rsidRDefault="003E14CD" w:rsidP="00BD39E0">
      <w:pPr>
        <w:pStyle w:val="ListParagraph"/>
        <w:numPr>
          <w:ilvl w:val="0"/>
          <w:numId w:val="69"/>
        </w:numPr>
        <w:spacing w:after="120"/>
        <w:ind w:right="-6"/>
        <w:jc w:val="both"/>
        <w:rPr>
          <w:lang w:eastAsia="en-US"/>
        </w:rPr>
      </w:pPr>
      <w:r w:rsidRPr="00E66F80">
        <w:rPr>
          <w:lang w:eastAsia="en-US"/>
        </w:rPr>
        <w:t>идентифицирани превантивно стоки, опасни за здравето на хората;</w:t>
      </w:r>
    </w:p>
    <w:p w14:paraId="6035FFF1" w14:textId="77777777" w:rsidR="003E14CD" w:rsidRPr="00E66F80" w:rsidRDefault="003E14CD" w:rsidP="00BD39E0">
      <w:pPr>
        <w:pStyle w:val="ListParagraph"/>
        <w:numPr>
          <w:ilvl w:val="0"/>
          <w:numId w:val="69"/>
        </w:numPr>
        <w:spacing w:after="120"/>
        <w:ind w:right="-6"/>
        <w:jc w:val="both"/>
        <w:rPr>
          <w:lang w:eastAsia="en-US"/>
        </w:rPr>
      </w:pPr>
      <w:r w:rsidRPr="00E66F80">
        <w:rPr>
          <w:lang w:eastAsia="en-US"/>
        </w:rPr>
        <w:t xml:space="preserve">отнети и изоставени стоки в полза на държавата; разпореждане със стоките: безвъзмездно предоставяне на бюджетни организации; продажби на стоките; унищожена стока.   </w:t>
      </w:r>
    </w:p>
    <w:p w14:paraId="12A8A149" w14:textId="77777777" w:rsidR="003E14CD" w:rsidRPr="00E66F80" w:rsidRDefault="003E14CD" w:rsidP="003E14CD">
      <w:pPr>
        <w:spacing w:after="120"/>
        <w:ind w:right="-6" w:firstLine="708"/>
        <w:jc w:val="both"/>
        <w:rPr>
          <w:strike/>
          <w:lang w:eastAsia="en-US"/>
        </w:rPr>
      </w:pPr>
      <w:r w:rsidRPr="00E66F80">
        <w:rPr>
          <w:lang w:eastAsia="en-US"/>
        </w:rPr>
        <w:t>Контролната дейност, която се извършва от органите на ГДФК, се наложи като устойчив механизъм за превантивен и постоянен контрол с дисциплиниращ ефект. Съот</w:t>
      </w:r>
      <w:r w:rsidRPr="00E66F80">
        <w:rPr>
          <w:lang w:eastAsia="en-US"/>
        </w:rPr>
        <w:softHyphen/>
        <w:t>ношението между проверки и нарушения показва ясно по-добра данъчна дисциплина. Отчетен е ръст на оборите, намаляват нарушенията на данъчното законодателство, намаляват фирмите и случаите на налагане на обезпечителни мерки, забелязва се зна</w:t>
      </w:r>
      <w:r w:rsidRPr="00E66F80">
        <w:rPr>
          <w:lang w:eastAsia="en-US"/>
        </w:rPr>
        <w:softHyphen/>
        <w:t>чителна промяна в поведението на търговците към доброволно спазване на данъчните закони. Постигнатите резултати се дължат и на успешното оперативно взаимодействие на ГДФК, както с компетентните дирекции на НАП, така и с други контролни органи</w:t>
      </w:r>
      <w:r w:rsidRPr="00E66F80">
        <w:t>.</w:t>
      </w:r>
      <w:r w:rsidRPr="00E66F80">
        <w:rPr>
          <w:strike/>
          <w:color w:val="000000"/>
          <w:lang w:eastAsia="en-US"/>
        </w:rPr>
        <w:t xml:space="preserve">  </w:t>
      </w:r>
    </w:p>
    <w:p w14:paraId="6A40341A" w14:textId="77777777" w:rsidR="003E14CD" w:rsidRPr="009347C4" w:rsidRDefault="003E14CD" w:rsidP="00D252CA">
      <w:pPr>
        <w:keepNext/>
        <w:widowControl w:val="0"/>
        <w:spacing w:after="120"/>
        <w:ind w:firstLine="709"/>
        <w:jc w:val="both"/>
        <w:rPr>
          <w:rFonts w:eastAsiaTheme="minorHAnsi"/>
          <w:b/>
          <w:kern w:val="28"/>
          <w:lang w:eastAsia="en-US"/>
        </w:rPr>
      </w:pPr>
      <w:bookmarkStart w:id="93" w:name="_Toc476572519"/>
      <w:bookmarkStart w:id="94" w:name="_Toc485720769"/>
      <w:r w:rsidRPr="00E66F80">
        <w:rPr>
          <w:rFonts w:eastAsiaTheme="minorHAnsi"/>
          <w:b/>
          <w:i/>
          <w:kern w:val="28"/>
          <w:lang w:eastAsia="en-US"/>
        </w:rPr>
        <w:t>ІІ. Събиране на просрочени публични вземани</w:t>
      </w:r>
      <w:r w:rsidRPr="00E66F80">
        <w:rPr>
          <w:rFonts w:eastAsiaTheme="minorHAnsi"/>
          <w:b/>
          <w:kern w:val="28"/>
          <w:lang w:eastAsia="en-US"/>
        </w:rPr>
        <w:t>я</w:t>
      </w:r>
      <w:bookmarkEnd w:id="93"/>
      <w:bookmarkEnd w:id="94"/>
    </w:p>
    <w:p w14:paraId="3C1BA755" w14:textId="77777777" w:rsidR="003E14CD" w:rsidRPr="009347C4" w:rsidRDefault="003E14CD" w:rsidP="003E14CD">
      <w:pPr>
        <w:spacing w:after="120"/>
        <w:ind w:firstLine="709"/>
        <w:jc w:val="both"/>
        <w:rPr>
          <w:rFonts w:eastAsiaTheme="minorHAnsi"/>
          <w:b/>
          <w:lang w:eastAsia="en-US"/>
        </w:rPr>
      </w:pPr>
      <w:r w:rsidRPr="009347C4">
        <w:rPr>
          <w:rFonts w:eastAsiaTheme="minorHAnsi"/>
          <w:b/>
          <w:lang w:eastAsia="en-US"/>
        </w:rPr>
        <w:t>1. Резултати от събиране на просрочени публични вземания</w:t>
      </w:r>
    </w:p>
    <w:p w14:paraId="0BEF3236" w14:textId="77777777" w:rsidR="003E14CD" w:rsidRPr="0050767D" w:rsidRDefault="003E14CD" w:rsidP="003E14CD">
      <w:pPr>
        <w:spacing w:after="120"/>
        <w:ind w:firstLine="709"/>
        <w:jc w:val="both"/>
        <w:rPr>
          <w:rFonts w:eastAsiaTheme="minorHAnsi"/>
          <w:b/>
          <w:lang w:eastAsia="en-US"/>
        </w:rPr>
      </w:pPr>
      <w:r w:rsidRPr="0050767D">
        <w:rPr>
          <w:rFonts w:eastAsiaTheme="minorHAnsi"/>
          <w:b/>
          <w:lang w:eastAsia="en-US"/>
        </w:rPr>
        <w:t>1.1. Мерки, целящи стимулиране на доброволното изпълнение</w:t>
      </w:r>
    </w:p>
    <w:p w14:paraId="7265FC49" w14:textId="77777777" w:rsidR="003E14CD" w:rsidRPr="00E66F80" w:rsidRDefault="003E14CD" w:rsidP="003E14CD">
      <w:pPr>
        <w:tabs>
          <w:tab w:val="left" w:pos="993"/>
        </w:tabs>
        <w:ind w:right="-6" w:firstLine="709"/>
        <w:jc w:val="both"/>
        <w:rPr>
          <w:lang w:eastAsia="en-US"/>
        </w:rPr>
      </w:pPr>
      <w:r w:rsidRPr="00E66F80">
        <w:rPr>
          <w:lang w:eastAsia="en-US"/>
        </w:rPr>
        <w:t xml:space="preserve">Наред с текущите действия по събиране на публичните вземания през 2022 г. засилено са прилагани и следните мерки с текущ или постоянен характер, целящи подобряване събираемостта на просрочените публични вземания и намаляване на непогасения дълг: </w:t>
      </w:r>
    </w:p>
    <w:p w14:paraId="4D8C5EFA" w14:textId="77777777" w:rsidR="003E14CD" w:rsidRPr="0050767D" w:rsidRDefault="003E14CD" w:rsidP="003E14CD">
      <w:pPr>
        <w:tabs>
          <w:tab w:val="left" w:pos="993"/>
        </w:tabs>
        <w:ind w:right="-6" w:firstLine="709"/>
        <w:jc w:val="both"/>
        <w:rPr>
          <w:lang w:eastAsia="en-US"/>
        </w:rPr>
      </w:pPr>
      <w:r w:rsidRPr="00E66F80">
        <w:rPr>
          <w:lang w:eastAsia="en-US"/>
        </w:rPr>
        <w:t>Мерки, целящи стимулиране на доброволното изпълнение и минимизиране на административните разходи – изпращане на персонални електронни съобщения до лица с нововъзникнали задължения и/или провеждане на преговори по телефон за поемане на конкретни ангажименти от страна на длъжниците за заплащане на дължимите от тях публични задължения в най-кратки срокове</w:t>
      </w:r>
    </w:p>
    <w:p w14:paraId="1D246A60" w14:textId="77777777" w:rsidR="003E14CD" w:rsidRPr="0050767D" w:rsidRDefault="003E14CD" w:rsidP="003E14CD">
      <w:pPr>
        <w:tabs>
          <w:tab w:val="left" w:pos="993"/>
        </w:tabs>
        <w:spacing w:after="120"/>
        <w:ind w:firstLine="709"/>
        <w:jc w:val="both"/>
      </w:pPr>
      <w:r w:rsidRPr="0050767D">
        <w:rPr>
          <w:b/>
          <w:i/>
        </w:rPr>
        <w:t>Изпращане на електронни съобщения до лица с нововъзникнали задължения</w:t>
      </w:r>
      <w:r w:rsidRPr="0050767D">
        <w:t xml:space="preserve"> </w:t>
      </w:r>
    </w:p>
    <w:p w14:paraId="19119847" w14:textId="77777777" w:rsidR="003E14CD" w:rsidRPr="0050767D" w:rsidRDefault="003E14CD" w:rsidP="009765DA">
      <w:pPr>
        <w:tabs>
          <w:tab w:val="left" w:pos="993"/>
        </w:tabs>
        <w:ind w:firstLine="709"/>
        <w:jc w:val="both"/>
        <w:rPr>
          <w:lang w:eastAsia="en-US"/>
        </w:rPr>
      </w:pPr>
      <w:r w:rsidRPr="0050767D">
        <w:t>Следвайки разбирането, че колкото по-рано се третира един дълг, толкова по-ефективно се събира същия, и през 202</w:t>
      </w:r>
      <w:r w:rsidRPr="004F15D1">
        <w:t>2</w:t>
      </w:r>
      <w:r w:rsidRPr="0050767D">
        <w:t xml:space="preserve"> г. продължи практика за ранно уведомяване на задължените лица, които са пропуснали да платят в пълен размер публичните си задължения в срок. Чрез внедрена в края на 2017 г. </w:t>
      </w:r>
      <w:r w:rsidRPr="0050767D">
        <w:rPr>
          <w:lang w:eastAsia="en-US"/>
        </w:rPr>
        <w:t>автоматизирана функционалност за всяко нововъзникнало публично вземане до съответното задължено лице се изпращат до 4 уведомителни/напомнителни/предупредителни електронни съобщения.</w:t>
      </w:r>
    </w:p>
    <w:p w14:paraId="530BA67F" w14:textId="77777777" w:rsidR="003E14CD" w:rsidRPr="00E66F80" w:rsidRDefault="003E14CD" w:rsidP="009765DA">
      <w:pPr>
        <w:tabs>
          <w:tab w:val="left" w:pos="993"/>
        </w:tabs>
        <w:ind w:firstLine="709"/>
        <w:jc w:val="both"/>
      </w:pPr>
      <w:r w:rsidRPr="00E66F80">
        <w:t xml:space="preserve">В периода от 01.01. до 31.12.2022 г. са изпратени общо 3 064 627 бр. електронни съобщения до лица с непогасени в срок публични задължения. </w:t>
      </w:r>
    </w:p>
    <w:p w14:paraId="00FF33A7" w14:textId="77777777" w:rsidR="003E14CD" w:rsidRPr="0050767D" w:rsidRDefault="003E14CD" w:rsidP="009765DA">
      <w:pPr>
        <w:tabs>
          <w:tab w:val="left" w:pos="993"/>
        </w:tabs>
        <w:ind w:firstLine="709"/>
        <w:jc w:val="both"/>
        <w:rPr>
          <w:lang w:eastAsia="en-US"/>
        </w:rPr>
      </w:pPr>
      <w:r w:rsidRPr="0050767D">
        <w:rPr>
          <w:lang w:eastAsia="en-US"/>
        </w:rPr>
        <w:t xml:space="preserve">Съгласно отчетните данни за 2022 г., </w:t>
      </w:r>
      <w:r w:rsidRPr="00E66F80">
        <w:rPr>
          <w:lang w:eastAsia="en-US"/>
        </w:rPr>
        <w:t xml:space="preserve">над половината от лицата с нововъзникнали задължения </w:t>
      </w:r>
      <w:r w:rsidRPr="004F15D1">
        <w:rPr>
          <w:lang w:eastAsia="en-US"/>
        </w:rPr>
        <w:t>(</w:t>
      </w:r>
      <w:r w:rsidRPr="00E66F80">
        <w:rPr>
          <w:lang w:eastAsia="en-US"/>
        </w:rPr>
        <w:t>51,0 %) са погасили дълга си</w:t>
      </w:r>
      <w:r w:rsidRPr="0050767D">
        <w:rPr>
          <w:lang w:eastAsia="en-US"/>
        </w:rPr>
        <w:t xml:space="preserve">, във връзка с който им е изпратено поне едно уведомително съобщение, в тримесечен срок от изпращането му, а размерът на третирания с мярката дълг намалява в посочения срок с близо </w:t>
      </w:r>
      <w:r w:rsidRPr="00E66F80">
        <w:rPr>
          <w:lang w:eastAsia="en-US"/>
        </w:rPr>
        <w:t xml:space="preserve">73,9 </w:t>
      </w:r>
      <w:r w:rsidRPr="0050767D">
        <w:rPr>
          <w:lang w:eastAsia="en-US"/>
        </w:rPr>
        <w:t xml:space="preserve"> %.</w:t>
      </w:r>
    </w:p>
    <w:p w14:paraId="596D3527" w14:textId="38AD29DE" w:rsidR="003E14CD" w:rsidRPr="0050767D" w:rsidRDefault="003E14CD" w:rsidP="003E14CD">
      <w:pPr>
        <w:tabs>
          <w:tab w:val="left" w:pos="993"/>
        </w:tabs>
        <w:spacing w:after="120"/>
        <w:ind w:firstLine="709"/>
        <w:jc w:val="both"/>
        <w:rPr>
          <w:lang w:eastAsia="en-US"/>
        </w:rPr>
      </w:pPr>
      <w:r w:rsidRPr="0050767D">
        <w:rPr>
          <w:lang w:eastAsia="en-US"/>
        </w:rPr>
        <w:t xml:space="preserve">Изпращането на предупредителни електронни съобщения преди образуването на изпълнителни производства също оказва позитивен резултат – близо </w:t>
      </w:r>
      <w:r w:rsidRPr="00E66F80">
        <w:rPr>
          <w:lang w:eastAsia="en-US"/>
        </w:rPr>
        <w:t>58,0 % от лицата с изпратено предупредително електронно съобщение преди образуването на изпълнително производство са предприели действия за погасяване на дълга – пълно/частично и през следващия месец не са отговаряли на условията за автоматично образуване на изпълнително дело, в т.ч. 28,0 % са погасили изцяло дълга си към края на месеца, следващ месеца на изпращане на съобщението, а размерът на третирания дълг е намалял почти наполовина (49</w:t>
      </w:r>
      <w:r w:rsidR="00956D60">
        <w:rPr>
          <w:lang w:val="en-US" w:eastAsia="en-US"/>
        </w:rPr>
        <w:t> </w:t>
      </w:r>
      <w:r w:rsidRPr="00E66F80">
        <w:rPr>
          <w:lang w:eastAsia="en-US"/>
        </w:rPr>
        <w:t>%).</w:t>
      </w:r>
      <w:r w:rsidRPr="0050767D">
        <w:rPr>
          <w:lang w:eastAsia="en-US"/>
        </w:rPr>
        <w:t xml:space="preserve"> </w:t>
      </w:r>
    </w:p>
    <w:p w14:paraId="4D9D0ECE" w14:textId="77777777" w:rsidR="003E14CD" w:rsidRPr="00E66F80" w:rsidRDefault="003E14CD" w:rsidP="003E14CD">
      <w:pPr>
        <w:tabs>
          <w:tab w:val="left" w:pos="993"/>
        </w:tabs>
        <w:spacing w:after="120"/>
        <w:ind w:firstLine="709"/>
        <w:jc w:val="both"/>
        <w:rPr>
          <w:b/>
          <w:i/>
        </w:rPr>
      </w:pPr>
      <w:r w:rsidRPr="00E66F80">
        <w:rPr>
          <w:b/>
          <w:i/>
        </w:rPr>
        <w:t>Телефонни кампании</w:t>
      </w:r>
      <w:r w:rsidRPr="00E66F80" w:rsidDel="00007A52">
        <w:rPr>
          <w:b/>
          <w:i/>
        </w:rPr>
        <w:t xml:space="preserve"> </w:t>
      </w:r>
    </w:p>
    <w:p w14:paraId="1D4DE0E3" w14:textId="77777777" w:rsidR="003E14CD" w:rsidRPr="00E66F80" w:rsidRDefault="003E14CD" w:rsidP="009765DA">
      <w:pPr>
        <w:tabs>
          <w:tab w:val="left" w:pos="993"/>
        </w:tabs>
        <w:ind w:firstLine="709"/>
        <w:jc w:val="both"/>
      </w:pPr>
      <w:r w:rsidRPr="00E66F80">
        <w:t xml:space="preserve">С оглед осигуряване на възможност за засилено и навременно третиране на всички лица с контактна информация преди образуване на изпълнителни производства по реда на ДОПК е увеличен капацитетът на звеното, ангажирано с провеждане на телефонни кампании спрямо лица с непогасени публични задължения. </w:t>
      </w:r>
    </w:p>
    <w:p w14:paraId="4FB91518" w14:textId="77777777" w:rsidR="003E14CD" w:rsidRPr="00E66F80" w:rsidRDefault="003E14CD" w:rsidP="009765DA">
      <w:pPr>
        <w:tabs>
          <w:tab w:val="left" w:pos="993"/>
        </w:tabs>
        <w:ind w:firstLine="709"/>
        <w:jc w:val="both"/>
      </w:pPr>
      <w:r w:rsidRPr="00E66F80">
        <w:t>Проведени са 2</w:t>
      </w:r>
      <w:r w:rsidRPr="004F15D1">
        <w:t>8</w:t>
      </w:r>
      <w:r w:rsidRPr="00E66F80">
        <w:t xml:space="preserve"> изходящи информационни телефонни кампании, насочени към </w:t>
      </w:r>
      <w:r w:rsidRPr="004F15D1">
        <w:t>104</w:t>
      </w:r>
      <w:r w:rsidRPr="00E66F80">
        <w:rPr>
          <w:lang w:val="en-US"/>
        </w:rPr>
        <w:t> </w:t>
      </w:r>
      <w:r w:rsidRPr="004F15D1">
        <w:t xml:space="preserve">505 </w:t>
      </w:r>
      <w:r w:rsidRPr="00E66F80">
        <w:t>лица с просрочени публични задължения, с цел поемане на конкретни ангажименти от страна на длъжниците за заплащане на дълга в най-кратки срокове и минимизиране на действия, свързани с принудителното му събиране. Осъществен е успешен контакт с 83 643 (80</w:t>
      </w:r>
      <w:r w:rsidRPr="0050767D">
        <w:t>,0</w:t>
      </w:r>
      <w:r w:rsidRPr="00E66F80">
        <w:t xml:space="preserve"> %) от селектираните лица. Отчетено е намаляване на задълженията при 55</w:t>
      </w:r>
      <w:r w:rsidRPr="0050767D">
        <w:t>,0</w:t>
      </w:r>
      <w:r w:rsidRPr="00E66F80">
        <w:t xml:space="preserve"> % от лицата с осъществен контакт, в размер на 127,7 млн. лв., в т.ч. 31</w:t>
      </w:r>
      <w:r w:rsidRPr="0050767D">
        <w:t>,0</w:t>
      </w:r>
      <w:r w:rsidRPr="00E66F80">
        <w:t xml:space="preserve"> % от лицата с осъществен контакт са погасили напълно задълженията си, в размер на 61,9 млн. лева. </w:t>
      </w:r>
    </w:p>
    <w:p w14:paraId="0A6B0F24" w14:textId="77777777" w:rsidR="003E14CD" w:rsidRPr="0050767D" w:rsidRDefault="003E14CD" w:rsidP="009765DA">
      <w:pPr>
        <w:tabs>
          <w:tab w:val="left" w:pos="993"/>
        </w:tabs>
        <w:ind w:firstLine="709"/>
        <w:jc w:val="both"/>
      </w:pPr>
      <w:r w:rsidRPr="0050767D">
        <w:t>Лицата, които въпреки горепосочените мерки не са погасили задълженията си и не са инициирали контакт с администрацията за уточняване начините за погасяването им, са обект на приоритетни действия за обезпечаване и събиране на дълга.</w:t>
      </w:r>
    </w:p>
    <w:p w14:paraId="48308E40" w14:textId="77777777" w:rsidR="003E14CD" w:rsidRPr="0050767D" w:rsidRDefault="003E14CD" w:rsidP="00096435">
      <w:pPr>
        <w:tabs>
          <w:tab w:val="left" w:pos="993"/>
        </w:tabs>
        <w:spacing w:before="120" w:after="120"/>
        <w:ind w:firstLine="709"/>
        <w:jc w:val="both"/>
        <w:rPr>
          <w:rFonts w:eastAsiaTheme="minorHAnsi"/>
          <w:b/>
          <w:lang w:eastAsia="en-US"/>
        </w:rPr>
      </w:pPr>
      <w:r w:rsidRPr="0050767D">
        <w:rPr>
          <w:rFonts w:eastAsiaTheme="minorHAnsi"/>
          <w:b/>
          <w:lang w:eastAsia="en-US"/>
        </w:rPr>
        <w:t>1.2. Мерки за принудително събиране на вземанията от некоректни длъжници</w:t>
      </w:r>
    </w:p>
    <w:p w14:paraId="09CE139B" w14:textId="77777777" w:rsidR="003E14CD" w:rsidRPr="0050767D" w:rsidRDefault="003E14CD" w:rsidP="003E14CD">
      <w:pPr>
        <w:tabs>
          <w:tab w:val="left" w:pos="993"/>
        </w:tabs>
        <w:spacing w:after="120"/>
        <w:ind w:firstLine="709"/>
        <w:jc w:val="both"/>
        <w:rPr>
          <w:rFonts w:eastAsiaTheme="minorHAnsi"/>
          <w:b/>
          <w:i/>
          <w:lang w:eastAsia="en-US"/>
        </w:rPr>
      </w:pPr>
      <w:r w:rsidRPr="0050767D">
        <w:rPr>
          <w:rFonts w:eastAsiaTheme="minorHAnsi"/>
          <w:b/>
          <w:i/>
          <w:lang w:eastAsia="en-US"/>
        </w:rPr>
        <w:t>Постоянен мониторинг по отношение на длъжници с просрочени задължения</w:t>
      </w:r>
    </w:p>
    <w:p w14:paraId="41D2D96E" w14:textId="77777777" w:rsidR="003E14CD" w:rsidRPr="00E66F80" w:rsidRDefault="003E14CD" w:rsidP="009765DA">
      <w:pPr>
        <w:tabs>
          <w:tab w:val="left" w:pos="993"/>
        </w:tabs>
        <w:ind w:firstLine="709"/>
        <w:jc w:val="both"/>
      </w:pPr>
      <w:r w:rsidRPr="0050767D">
        <w:t xml:space="preserve">И през 2022 г. продължи постоянният мониторинг </w:t>
      </w:r>
      <w:r w:rsidRPr="00E66F80">
        <w:t xml:space="preserve">върху предприетите действия за обезпечаване и събиране на публични задължения на лица с най-големи по размер дългове, категоризирани като събираеми и частично събираеми. </w:t>
      </w:r>
    </w:p>
    <w:p w14:paraId="50EC2CAC" w14:textId="77777777" w:rsidR="003E14CD" w:rsidRPr="0050767D" w:rsidRDefault="003E14CD" w:rsidP="009765DA">
      <w:pPr>
        <w:tabs>
          <w:tab w:val="left" w:pos="993"/>
        </w:tabs>
        <w:ind w:firstLine="709"/>
        <w:jc w:val="both"/>
      </w:pPr>
      <w:r w:rsidRPr="0050767D">
        <w:t>Мярката включва провеждането на персонални срещи от страна на директорите на ТД на НАП с лицата, с цел предоставяне на обезпечения и/или извършване на цялостни или частични плащания на просрочените дългове, ефективно наблюдение на поетите от длъжниците ангажименти и навременен контрол за третирането им от страна на компетентните органи – актуална оценка на икономическия статус на задълженото лице, своевременно налагане на обезпечителни мерки, издаване на разрешения за неотложни плащания, разсрочване/отсрочване, реализиране на имуществото, извършване на ревизии и проверки при необходимост и други.</w:t>
      </w:r>
    </w:p>
    <w:p w14:paraId="0F7AA8EA" w14:textId="77777777" w:rsidR="003E14CD" w:rsidRPr="0050767D" w:rsidRDefault="003E14CD" w:rsidP="009765DA">
      <w:pPr>
        <w:tabs>
          <w:tab w:val="left" w:pos="993"/>
        </w:tabs>
        <w:ind w:right="-6" w:firstLine="709"/>
        <w:jc w:val="both"/>
      </w:pPr>
      <w:r w:rsidRPr="00E66F80">
        <w:t>При 3 786 бр. от наблюдаваните лица е отчетено намаление на размера на дълга</w:t>
      </w:r>
      <w:r w:rsidRPr="0050767D">
        <w:t>,</w:t>
      </w:r>
      <w:r w:rsidRPr="00E66F80">
        <w:t xml:space="preserve"> в периода, в който са обект на мониторинг</w:t>
      </w:r>
      <w:r w:rsidRPr="0050767D">
        <w:t>,</w:t>
      </w:r>
      <w:r w:rsidRPr="00E66F80">
        <w:t xml:space="preserve"> с 534,1 млн. лв., като 811 от тях са погасили изцяло задълженията в общ размер на 249,1 млн. лева.</w:t>
      </w:r>
    </w:p>
    <w:p w14:paraId="6FAED818" w14:textId="77777777" w:rsidR="003E14CD" w:rsidRPr="0050767D" w:rsidRDefault="003E14CD" w:rsidP="00096435">
      <w:pPr>
        <w:tabs>
          <w:tab w:val="left" w:pos="993"/>
        </w:tabs>
        <w:spacing w:before="120" w:after="120"/>
        <w:ind w:right="-6" w:firstLine="709"/>
        <w:jc w:val="both"/>
        <w:rPr>
          <w:b/>
          <w:bCs/>
          <w:i/>
        </w:rPr>
      </w:pPr>
      <w:r w:rsidRPr="0050767D">
        <w:rPr>
          <w:b/>
          <w:bCs/>
          <w:i/>
        </w:rPr>
        <w:t>Ежемесечен мониторинг</w:t>
      </w:r>
    </w:p>
    <w:p w14:paraId="21A50EAD" w14:textId="77777777" w:rsidR="003E14CD" w:rsidRPr="0050767D" w:rsidRDefault="003E14CD" w:rsidP="00096435">
      <w:pPr>
        <w:ind w:firstLine="709"/>
        <w:jc w:val="both"/>
      </w:pPr>
      <w:r w:rsidRPr="0050767D">
        <w:t>Осъществява се текущо наблюдение по отношение формирането на публични задължения от търговци на течни горива, както и лица, притежаващи лицензии и разрешения за производство и съхранение на акцизни стоки под режим отложено плащане, за организиране на хазартни игри и дейности по смисъла на чл. 4 от Закона за хазарта, или упражняващи дейност по Закона за частната охранителна дейност и лица – лицензирани превозвачи по смисъла на Закона за автомобилните превози, извършващи обществен превоз на пътници и товари на територията на Република България и Общността.</w:t>
      </w:r>
    </w:p>
    <w:p w14:paraId="5430C35C" w14:textId="77777777" w:rsidR="003E14CD" w:rsidRPr="0050767D" w:rsidRDefault="003E14CD" w:rsidP="00096435">
      <w:pPr>
        <w:ind w:firstLine="709"/>
        <w:jc w:val="both"/>
      </w:pPr>
      <w:r w:rsidRPr="0050767D">
        <w:t>Мярката има превантивен характер и цели промяна на поведението на наблюдаваните лица в посока плащане на задълженията в срок. За лицата, които системно не изпълняват задълженията си, се уведомяват съответните лицензиращи органи, с оглед предприемане на действия по отнемане на предоставените им лицензи.</w:t>
      </w:r>
    </w:p>
    <w:p w14:paraId="6DC38952" w14:textId="77777777" w:rsidR="003E14CD" w:rsidRPr="0050767D" w:rsidRDefault="003E14CD" w:rsidP="00096435">
      <w:pPr>
        <w:spacing w:before="120" w:after="120"/>
        <w:ind w:firstLine="709"/>
        <w:jc w:val="both"/>
        <w:rPr>
          <w:b/>
          <w:bCs/>
          <w:i/>
        </w:rPr>
      </w:pPr>
      <w:r w:rsidRPr="0050767D">
        <w:rPr>
          <w:b/>
          <w:bCs/>
          <w:i/>
        </w:rPr>
        <w:t>Мерки по отношение на земеделските производители</w:t>
      </w:r>
    </w:p>
    <w:p w14:paraId="0177F405" w14:textId="77777777" w:rsidR="003E14CD" w:rsidRPr="0050767D" w:rsidRDefault="003E14CD" w:rsidP="003E14CD">
      <w:pPr>
        <w:spacing w:after="120"/>
        <w:ind w:firstLine="709"/>
        <w:jc w:val="both"/>
        <w:rPr>
          <w:lang w:eastAsia="en-US"/>
        </w:rPr>
      </w:pPr>
      <w:r w:rsidRPr="0050767D">
        <w:rPr>
          <w:lang w:eastAsia="en-US"/>
        </w:rPr>
        <w:t>Насочване на изпълнените към вземания на длъжници - земеделски производители, от Държавен фонд „Земеделие“ (ДФЗ).</w:t>
      </w:r>
      <w:r w:rsidRPr="00E66F80">
        <w:rPr>
          <w:lang w:eastAsia="en-US"/>
        </w:rPr>
        <w:t xml:space="preserve"> </w:t>
      </w:r>
      <w:r w:rsidRPr="0050767D">
        <w:rPr>
          <w:lang w:eastAsia="en-US"/>
        </w:rPr>
        <w:t>През 2022 г., на база на Инструкцията за взаимодействие и обмен на информация между НАП и ДФЗ, в НАП са постъпили 36 бр. списъци с лица – земеделски производители, одобрени за получаване на парични помощи от ДФЗ по различни схеми и програми за подпомагане за 2022 г., в т.ч. – над 25 хил. лица с просрочени публични задължения. Същите са били предмет на приоритетни действия от страна на публичните изпълнители в НАП, като при липса на доброволно плащане на дълга са запорирани банковите им сметки, по които са изплащани сумите от ДФЗ.</w:t>
      </w:r>
    </w:p>
    <w:p w14:paraId="71D92693" w14:textId="77777777" w:rsidR="003E14CD" w:rsidRPr="0050767D" w:rsidRDefault="003E14CD" w:rsidP="003E14CD">
      <w:pPr>
        <w:spacing w:after="120"/>
        <w:ind w:firstLine="709"/>
        <w:jc w:val="both"/>
        <w:rPr>
          <w:b/>
          <w:bCs/>
          <w:i/>
        </w:rPr>
      </w:pPr>
      <w:r w:rsidRPr="0050767D">
        <w:rPr>
          <w:b/>
          <w:bCs/>
          <w:i/>
        </w:rPr>
        <w:t>Насочване на изпълнението към вземания на длъжници (изпълнители по договори) от трети лица - разпоредители с бюджет</w:t>
      </w:r>
    </w:p>
    <w:p w14:paraId="32A9CF8A" w14:textId="77777777" w:rsidR="003E14CD" w:rsidRPr="0050767D" w:rsidRDefault="003E14CD" w:rsidP="009A2203">
      <w:pPr>
        <w:ind w:right="-6" w:firstLine="709"/>
        <w:jc w:val="both"/>
      </w:pPr>
      <w:r w:rsidRPr="0050767D">
        <w:rPr>
          <w:lang w:eastAsia="en-US"/>
        </w:rPr>
        <w:t>Една от основните мерки за събиране на публичните задължения от длъжници, явяващи се изпълнители по договори с лица-разпоредители с бюджетни средства, е приоритетно насочване на изпълнението към предстоящите плащания по тези договори. В тази връзка е прието Решение на Министерския съвет № 592/21.08.2018 г.</w:t>
      </w:r>
      <w:r w:rsidRPr="0050767D">
        <w:t xml:space="preserve"> за условията и реда за разплащанията на разпоредители с бюджет по договори</w:t>
      </w:r>
      <w:r w:rsidRPr="0050767D">
        <w:rPr>
          <w:lang w:eastAsia="en-US"/>
        </w:rPr>
        <w:t>, което</w:t>
      </w:r>
      <w:r w:rsidRPr="0050767D">
        <w:rPr>
          <w:bCs/>
          <w:lang w:eastAsia="en-US"/>
        </w:rPr>
        <w:t xml:space="preserve"> </w:t>
      </w:r>
      <w:r w:rsidRPr="0050767D">
        <w:t xml:space="preserve">регламентира ред за разпоредителите с бюджет, а именно да уведомяват приходните администрации, както за предстоящите плащания по договори или първични платежни документи, </w:t>
      </w:r>
      <w:r w:rsidRPr="0050767D">
        <w:rPr>
          <w:lang w:eastAsia="en-US"/>
        </w:rPr>
        <w:t xml:space="preserve">така и за сключените от тях </w:t>
      </w:r>
      <w:r w:rsidRPr="0050767D">
        <w:t xml:space="preserve">договори. Промяната цели да повиши приходите в бюджета. </w:t>
      </w:r>
    </w:p>
    <w:p w14:paraId="378BA2FF" w14:textId="77777777" w:rsidR="003E14CD" w:rsidRPr="0050767D" w:rsidRDefault="003E14CD" w:rsidP="009A2203">
      <w:pPr>
        <w:ind w:right="-6" w:firstLine="709"/>
        <w:jc w:val="both"/>
      </w:pPr>
      <w:r w:rsidRPr="00E66F80">
        <w:t xml:space="preserve">През 2022 г. по реда на РМС № 592/ 2018 г. в информационната система, обезпечаваща процеса, са регистрирани 591 984 броя </w:t>
      </w:r>
      <w:r w:rsidRPr="0050767D">
        <w:rPr>
          <w:lang w:eastAsia="en-US"/>
        </w:rPr>
        <w:t>(с 2,5 % повече от 2021 г.)</w:t>
      </w:r>
      <w:r w:rsidRPr="00E66F80">
        <w:t xml:space="preserve"> уведомления за предстоящи плащания, като 33 043 броя от тях са насочени за предприемане на действия от публичен изпълнител в компетентната ТД на НАП. Във връзка с постъпилите уведомления са събрани суми в размер на 348,3 млн. лева.</w:t>
      </w:r>
    </w:p>
    <w:p w14:paraId="02F8DD84" w14:textId="77777777" w:rsidR="003E14CD" w:rsidRPr="0050767D" w:rsidRDefault="003E14CD" w:rsidP="009A2203">
      <w:pPr>
        <w:ind w:right="-6" w:firstLine="567"/>
        <w:jc w:val="both"/>
        <w:rPr>
          <w:lang w:eastAsia="en-US"/>
        </w:rPr>
      </w:pPr>
      <w:r w:rsidRPr="0050767D">
        <w:rPr>
          <w:lang w:eastAsia="en-US"/>
        </w:rPr>
        <w:t xml:space="preserve">Мярката е доказала ефективността си, като в резултат от прилагането ѝ реално постъпилите суми от въвеждането ѝ в края на 2014 г. до края на 2021 г. са в размер на 1 643,5 млн. лева. </w:t>
      </w:r>
    </w:p>
    <w:p w14:paraId="2056D25E" w14:textId="77777777" w:rsidR="003E14CD" w:rsidRPr="0050767D" w:rsidRDefault="003E14CD" w:rsidP="009A2203">
      <w:pPr>
        <w:tabs>
          <w:tab w:val="num" w:pos="709"/>
        </w:tabs>
        <w:spacing w:before="120" w:after="120"/>
        <w:ind w:firstLine="709"/>
        <w:jc w:val="both"/>
        <w:rPr>
          <w:b/>
          <w:i/>
          <w:lang w:eastAsia="en-US"/>
        </w:rPr>
      </w:pPr>
      <w:r w:rsidRPr="0050767D">
        <w:rPr>
          <w:b/>
          <w:i/>
          <w:lang w:eastAsia="en-US"/>
        </w:rPr>
        <w:t>Електронна комуникация с длъжници, публични взискатели и заинтересовани страни</w:t>
      </w:r>
    </w:p>
    <w:p w14:paraId="3DD12995" w14:textId="77777777" w:rsidR="003E14CD" w:rsidRPr="00E66F80" w:rsidRDefault="003E14CD" w:rsidP="003E14CD">
      <w:pPr>
        <w:spacing w:line="276" w:lineRule="auto"/>
        <w:ind w:right="-142"/>
        <w:jc w:val="both"/>
        <w:rPr>
          <w:b/>
        </w:rPr>
      </w:pPr>
      <w:r w:rsidRPr="00E66F80">
        <w:rPr>
          <w:b/>
        </w:rPr>
        <w:t>Увеличаване на дела на комуникацията с длъжници, публични взискатели и заинтересовани страни по електронен път.</w:t>
      </w:r>
    </w:p>
    <w:p w14:paraId="1C3503E9" w14:textId="77777777" w:rsidR="003E14CD" w:rsidRPr="00E66F80" w:rsidRDefault="003E14CD" w:rsidP="009A2203">
      <w:pPr>
        <w:ind w:right="-6" w:firstLine="567"/>
        <w:jc w:val="both"/>
        <w:rPr>
          <w:lang w:eastAsia="en-US"/>
        </w:rPr>
      </w:pPr>
      <w:r w:rsidRPr="00E66F80">
        <w:rPr>
          <w:lang w:eastAsia="en-US"/>
        </w:rPr>
        <w:t>Внедрени са нови и са надградени съществуващи функционалности в Информационна система „Събиране“, които дават възможност за издаване и съхраняване на електронни документи, подписани с квалифициран електронен подпис, както и за автоматизираното  им връчване по електронен път. В резултат на това е увеличен дела на електронната комуникация на публичните изпълнители с длъжниците, публичните взискатели, банки и други заинтересовани страни и през 2022 г. чрез Информационна система „Връчване“ са връчени 653 924 бр. документи за целите на принудителното събиране на просрочени публични задължения – с 395 134 бр. (252,7 %) повече спрямо 2021 година.</w:t>
      </w:r>
    </w:p>
    <w:p w14:paraId="38E3BFC3" w14:textId="77777777" w:rsidR="003E14CD" w:rsidRPr="00E66F80" w:rsidRDefault="003E14CD" w:rsidP="009A2203">
      <w:pPr>
        <w:ind w:firstLine="567"/>
        <w:jc w:val="both"/>
      </w:pPr>
      <w:r w:rsidRPr="00E66F80">
        <w:rPr>
          <w:lang w:eastAsia="en-US"/>
        </w:rPr>
        <w:t>В резултат от една страна на ръста в потреблението и инфлацията, водещи до по-голям размер на декларирания, респ. просрочения данък по ЗДДС, а от друга страна на комплексното прилагане на горепосочените мерки, както и в допълнение, текущите действия по водените срещу длъжниците изпълнителни</w:t>
      </w:r>
      <w:r w:rsidRPr="00E66F80">
        <w:t xml:space="preserve"> производства, през 2022 г. беше отчетен:</w:t>
      </w:r>
    </w:p>
    <w:p w14:paraId="14406593" w14:textId="77777777" w:rsidR="003E14CD" w:rsidRPr="00E66F80" w:rsidRDefault="003E14CD" w:rsidP="009A2203">
      <w:pPr>
        <w:ind w:firstLine="720"/>
        <w:jc w:val="both"/>
      </w:pPr>
      <w:r w:rsidRPr="00E66F80">
        <w:t xml:space="preserve">- ръст на събраните суми за погасяване на неплатените в срок данъци и задължителни осигурителни вноски - 5 027,0 млн. лв. към 31.12.2022 г. при 3 889,4 млн. лв. към 31.12.2021 г., което е увеличение от 1 137,6 млн. лв. (ръст от над 29 %);  </w:t>
      </w:r>
    </w:p>
    <w:p w14:paraId="058561B1" w14:textId="77777777" w:rsidR="003E14CD" w:rsidRPr="00E66F80" w:rsidRDefault="003E14CD" w:rsidP="009A2203">
      <w:pPr>
        <w:ind w:firstLine="720"/>
        <w:jc w:val="both"/>
      </w:pPr>
      <w:r w:rsidRPr="00E66F80">
        <w:t xml:space="preserve">- по-висока събираемост като цяло на нововъзникналите просрочени задължения - с 5,7 % повече спрямо 2021 г., което е ръст от 8,1 % на годишна база. По-висока събираемост се отчита както по отношение на задълженията по декларации по ЗДДС (увеличение респективно с 5,5 % и 6,8 %), ЗКПО (увеличение съответно с 4,4 % или ръст от 5,8 %) и ЗДДФЛ (увеличение с 3,9 %, ръст от 4,9 %), така и по отношение на задълженията за задължителни осигурителни вноски (увеличение с 3,4 %, ръст от 4,5 %); </w:t>
      </w:r>
    </w:p>
    <w:p w14:paraId="690179FF" w14:textId="77777777" w:rsidR="003E14CD" w:rsidRPr="00E66F80" w:rsidRDefault="003E14CD" w:rsidP="009A2203">
      <w:pPr>
        <w:ind w:firstLine="720"/>
        <w:jc w:val="both"/>
      </w:pPr>
      <w:r w:rsidRPr="00E66F80">
        <w:t>- ръст на общата събираемост на просрочените публични задължения с взискател НАП - 31,9 % по-висока събираемост през 2022 г. спрямо 2021 г.;</w:t>
      </w:r>
    </w:p>
    <w:p w14:paraId="78B21C67" w14:textId="77777777" w:rsidR="003E14CD" w:rsidRPr="0050767D" w:rsidRDefault="003E14CD" w:rsidP="009A2203">
      <w:pPr>
        <w:ind w:firstLine="720"/>
        <w:jc w:val="both"/>
      </w:pPr>
      <w:r w:rsidRPr="00E66F80">
        <w:t>- 98,2 % от всички новодекларирани задължения са погасени до 31.12.2022 г. – това включва както доброволното изпълнение, така и събраните нови просрочия, което е с 0,4 % повече спрямо 2021 година.</w:t>
      </w:r>
    </w:p>
    <w:p w14:paraId="63F8836B" w14:textId="77777777" w:rsidR="003E14CD" w:rsidRPr="0050767D" w:rsidRDefault="003E14CD" w:rsidP="004E71E9">
      <w:pPr>
        <w:spacing w:before="120" w:after="120"/>
        <w:ind w:firstLine="709"/>
        <w:jc w:val="both"/>
        <w:rPr>
          <w:rFonts w:eastAsiaTheme="minorHAnsi"/>
          <w:b/>
          <w:kern w:val="28"/>
          <w:lang w:eastAsia="en-US"/>
        </w:rPr>
      </w:pPr>
      <w:bookmarkStart w:id="95" w:name="_Toc474939199"/>
      <w:bookmarkStart w:id="96" w:name="_Toc476572520"/>
      <w:r w:rsidRPr="00E66F80">
        <w:rPr>
          <w:rFonts w:eastAsiaTheme="minorHAnsi"/>
          <w:b/>
          <w:kern w:val="28"/>
          <w:lang w:eastAsia="en-US"/>
        </w:rPr>
        <w:t>2. Държавни вземания</w:t>
      </w:r>
      <w:bookmarkEnd w:id="95"/>
      <w:bookmarkEnd w:id="96"/>
    </w:p>
    <w:p w14:paraId="4FD67E35" w14:textId="77777777" w:rsidR="003E14CD" w:rsidRPr="0050767D" w:rsidRDefault="003E14CD" w:rsidP="003E14CD">
      <w:pPr>
        <w:spacing w:after="120"/>
        <w:ind w:firstLine="709"/>
        <w:jc w:val="both"/>
        <w:rPr>
          <w:rFonts w:eastAsiaTheme="minorHAnsi"/>
          <w:b/>
          <w:kern w:val="28"/>
          <w:lang w:eastAsia="en-US"/>
        </w:rPr>
      </w:pPr>
      <w:r w:rsidRPr="0050767D">
        <w:rPr>
          <w:rFonts w:eastAsiaTheme="minorHAnsi"/>
          <w:b/>
          <w:kern w:val="28"/>
          <w:lang w:eastAsia="en-US"/>
        </w:rPr>
        <w:t xml:space="preserve">2.1. IIродажба на конфискувани, отнети и изоставени в полза на държавата и придобитите в производството по несъстоятелност имущества </w:t>
      </w:r>
    </w:p>
    <w:p w14:paraId="72B48507" w14:textId="77777777" w:rsidR="003E14CD" w:rsidRPr="0050767D" w:rsidRDefault="003E14CD" w:rsidP="009A2203">
      <w:pPr>
        <w:ind w:firstLine="567"/>
        <w:jc w:val="both"/>
        <w:rPr>
          <w:color w:val="000000"/>
        </w:rPr>
      </w:pPr>
      <w:r w:rsidRPr="00E66F80">
        <w:rPr>
          <w:color w:val="000000"/>
        </w:rPr>
        <w:t xml:space="preserve">През 2022 г. приходите от реализация на конфискувани, отнети и изоставени в полза на държавата вещи са в размер на </w:t>
      </w:r>
      <w:r w:rsidRPr="00E66F80">
        <w:t xml:space="preserve">4,4 </w:t>
      </w:r>
      <w:r w:rsidRPr="00E66F80">
        <w:rPr>
          <w:bCs/>
          <w:color w:val="000000"/>
        </w:rPr>
        <w:t xml:space="preserve">млн. </w:t>
      </w:r>
      <w:r w:rsidRPr="00E66F80">
        <w:rPr>
          <w:color w:val="000000"/>
        </w:rPr>
        <w:t>л</w:t>
      </w:r>
      <w:r w:rsidRPr="00E66F80">
        <w:rPr>
          <w:color w:val="000000"/>
          <w:lang w:val="en-US"/>
        </w:rPr>
        <w:t>e</w:t>
      </w:r>
      <w:r w:rsidRPr="00E66F80">
        <w:rPr>
          <w:color w:val="000000"/>
        </w:rPr>
        <w:t>ва</w:t>
      </w:r>
      <w:r w:rsidRPr="00E66F80">
        <w:t xml:space="preserve">. От тях 2,4 млн. лева са от продажба на имущества, възложени на НАП по реда на Закон за отнемане в полза на държавата на незаконно придобито имущество (ЗОПДНПИ (отм.) и Закона за предотвратяване на корупцията и отнемане на незаконно придобитото имущество (ЗПКОНПИ). </w:t>
      </w:r>
      <w:r w:rsidRPr="0050767D">
        <w:rPr>
          <w:color w:val="000000"/>
        </w:rPr>
        <w:t>Няма имущества, придобити от държавата в производства по несъстоятелност.</w:t>
      </w:r>
    </w:p>
    <w:p w14:paraId="12604C37" w14:textId="77777777" w:rsidR="003E14CD" w:rsidRPr="0050767D" w:rsidRDefault="003E14CD" w:rsidP="009A2203">
      <w:pPr>
        <w:ind w:firstLine="567"/>
        <w:jc w:val="both"/>
        <w:rPr>
          <w:color w:val="000000"/>
        </w:rPr>
      </w:pPr>
      <w:r w:rsidRPr="0050767D">
        <w:rPr>
          <w:color w:val="000000"/>
        </w:rPr>
        <w:t xml:space="preserve">Основната част от приходите е формирана от вещи, които са приети от НАП по актове на органи на съдебната власт, включително постановени по отменения Закон за отнемане в полза на държавата на незаконно придобито имущество </w:t>
      </w:r>
      <w:r w:rsidRPr="0050767D">
        <w:t xml:space="preserve">(ЗОПДНПИ (отм.)) </w:t>
      </w:r>
      <w:r w:rsidRPr="0050767D">
        <w:rPr>
          <w:color w:val="000000"/>
        </w:rPr>
        <w:t xml:space="preserve">и Закона за предотвратяване на корупцията и отнемане на незаконно придобитото имущество (ЗПКОНПИ). От търгове, проведени по реда на ДОПК, са реализирани приходи от 2,8 млн. лева. </w:t>
      </w:r>
    </w:p>
    <w:p w14:paraId="13589866" w14:textId="77777777" w:rsidR="003E14CD" w:rsidRPr="0050767D" w:rsidRDefault="003E14CD" w:rsidP="009A2203">
      <w:pPr>
        <w:pStyle w:val="BodyText"/>
        <w:spacing w:after="0"/>
        <w:ind w:firstLine="709"/>
        <w:jc w:val="both"/>
      </w:pPr>
      <w:r w:rsidRPr="0050767D">
        <w:t xml:space="preserve">Значителна част постъпления са от продажбата на отнети в полза на държавата недвижими имоти </w:t>
      </w:r>
      <w:r w:rsidRPr="00E66F80">
        <w:t>– 4,1 млн. лева</w:t>
      </w:r>
      <w:r w:rsidRPr="0050767D">
        <w:t>. Няма промяна по отношение на затруднената реализация на недвижимите имоти, предвид лошото им състояние, наличието на тежести върху част от тях (ипотеки, възбрани), както и лошата слава на бившите им собственици.</w:t>
      </w:r>
    </w:p>
    <w:p w14:paraId="48DB404B" w14:textId="77777777" w:rsidR="003E14CD" w:rsidRPr="0050767D" w:rsidRDefault="003E14CD" w:rsidP="009A2203">
      <w:pPr>
        <w:ind w:firstLine="709"/>
        <w:jc w:val="both"/>
      </w:pPr>
      <w:r w:rsidRPr="00E66F80">
        <w:t>През 2022 г. са актуализирани 3 процедури за осъществяване на дейности по приемане, управление, съхранение и продажба на конфискувани, отнети и изоставени в полза на държавата имущества</w:t>
      </w:r>
      <w:r w:rsidRPr="0050767D">
        <w:t xml:space="preserve">.  </w:t>
      </w:r>
    </w:p>
    <w:p w14:paraId="1E3E62C7" w14:textId="77777777" w:rsidR="003E14CD" w:rsidRPr="0050767D" w:rsidRDefault="003E14CD" w:rsidP="009A2203">
      <w:pPr>
        <w:spacing w:before="120" w:after="120"/>
        <w:ind w:firstLine="709"/>
        <w:jc w:val="both"/>
        <w:rPr>
          <w:b/>
        </w:rPr>
      </w:pPr>
      <w:r w:rsidRPr="0050767D">
        <w:rPr>
          <w:b/>
        </w:rPr>
        <w:t>2.2. Действия по събиране на публични вземания в производствата по несъстоятелност</w:t>
      </w:r>
    </w:p>
    <w:p w14:paraId="5A60247D" w14:textId="77777777" w:rsidR="003E14CD" w:rsidRPr="0050767D" w:rsidRDefault="003E14CD" w:rsidP="009A2203">
      <w:pPr>
        <w:pStyle w:val="BodyText"/>
        <w:spacing w:after="0"/>
        <w:ind w:firstLine="709"/>
        <w:jc w:val="both"/>
      </w:pPr>
      <w:r w:rsidRPr="0050767D">
        <w:t xml:space="preserve">НАП осъществява процесуално представителство на държавата в производствата по несъстоятелност, в които държавата е кредитор.  </w:t>
      </w:r>
    </w:p>
    <w:p w14:paraId="3564B217" w14:textId="77777777" w:rsidR="003E14CD" w:rsidRPr="0050767D" w:rsidRDefault="003E14CD" w:rsidP="009A2203">
      <w:pPr>
        <w:ind w:firstLine="709"/>
        <w:jc w:val="both"/>
        <w:rPr>
          <w:lang w:eastAsia="en-US"/>
        </w:rPr>
      </w:pPr>
      <w:r w:rsidRPr="0050767D">
        <w:rPr>
          <w:lang w:eastAsia="en-US"/>
        </w:rPr>
        <w:t xml:space="preserve">Събраните публични вземания от търговци в открити производства по несъстоятелност през </w:t>
      </w:r>
      <w:r w:rsidRPr="00E66F80">
        <w:rPr>
          <w:lang w:eastAsia="en-US"/>
        </w:rPr>
        <w:t>2022 г. са в размер на 27,3 млн. лева.</w:t>
      </w:r>
    </w:p>
    <w:p w14:paraId="7310FEA9" w14:textId="77777777" w:rsidR="003E14CD" w:rsidRPr="00E66F80" w:rsidRDefault="003E14CD" w:rsidP="009A2203">
      <w:pPr>
        <w:ind w:firstLine="709"/>
        <w:jc w:val="both"/>
        <w:rPr>
          <w:lang w:eastAsia="en-US"/>
        </w:rPr>
      </w:pPr>
      <w:r w:rsidRPr="0050767D">
        <w:rPr>
          <w:lang w:eastAsia="en-US"/>
        </w:rPr>
        <w:t xml:space="preserve">Събраните суми са формирани от разпределение на суми в производството по несъстоятелност, в резултат от осребряване на имущества на несъстоятелни търговци – </w:t>
      </w:r>
      <w:r w:rsidRPr="00E66F80">
        <w:rPr>
          <w:lang w:eastAsia="en-US"/>
        </w:rPr>
        <w:t>26,4 млн. лв. и от доброволни плащания от трети лица – 0,9 млн. лева. Събраните суми през 2022 г. са с 67,0 % повече от събраните през 2021 г., със 170,0 % повече от събраните през 2020 г. и с 586,0 % повече от планираните за събиране приходи.</w:t>
      </w:r>
    </w:p>
    <w:p w14:paraId="6E067F38" w14:textId="77777777" w:rsidR="003E14CD" w:rsidRPr="0050767D" w:rsidRDefault="003E14CD" w:rsidP="009A2203">
      <w:pPr>
        <w:ind w:firstLine="709"/>
        <w:jc w:val="both"/>
        <w:rPr>
          <w:lang w:eastAsia="en-US"/>
        </w:rPr>
      </w:pPr>
      <w:r w:rsidRPr="0050767D">
        <w:rPr>
          <w:lang w:eastAsia="en-US"/>
        </w:rPr>
        <w:t xml:space="preserve">През 2022 г. е осъществен контрол върху изготвени от синдиците на търговци в открито производство по несъстоятелност </w:t>
      </w:r>
      <w:r w:rsidRPr="00E66F80">
        <w:rPr>
          <w:lang w:eastAsia="en-US"/>
        </w:rPr>
        <w:t xml:space="preserve">1 142 акта, от които 776 списъка на приети, респ. неприети вземания и 366 сметки за разпределение. Предприети са съответните процесуални действия чрез изготвянето на 206 възражения, от които 139 с правно основание чл. 690 от Търговски закон </w:t>
      </w:r>
      <w:r w:rsidRPr="004F15D1">
        <w:rPr>
          <w:lang w:eastAsia="en-US"/>
        </w:rPr>
        <w:t>(</w:t>
      </w:r>
      <w:r w:rsidRPr="00E66F80">
        <w:rPr>
          <w:lang w:eastAsia="en-US"/>
        </w:rPr>
        <w:t>ТЗ</w:t>
      </w:r>
      <w:r w:rsidRPr="004F15D1">
        <w:rPr>
          <w:lang w:eastAsia="en-US"/>
        </w:rPr>
        <w:t>)</w:t>
      </w:r>
      <w:r w:rsidRPr="00E66F80">
        <w:rPr>
          <w:lang w:eastAsia="en-US"/>
        </w:rPr>
        <w:t xml:space="preserve"> и 67 възражения с правно основание чл. 728 от ТЗ.</w:t>
      </w:r>
    </w:p>
    <w:p w14:paraId="0A4B81DB" w14:textId="77777777" w:rsidR="003E14CD" w:rsidRPr="0050767D" w:rsidRDefault="003E14CD" w:rsidP="009A2203">
      <w:pPr>
        <w:spacing w:before="120" w:after="120"/>
        <w:ind w:firstLine="709"/>
        <w:jc w:val="both"/>
        <w:rPr>
          <w:b/>
        </w:rPr>
      </w:pPr>
      <w:r w:rsidRPr="0050767D">
        <w:rPr>
          <w:b/>
        </w:rPr>
        <w:t>2.3. Действия по събиране на частни държавни вземания</w:t>
      </w:r>
    </w:p>
    <w:p w14:paraId="0DC16170" w14:textId="77777777" w:rsidR="003E14CD" w:rsidRPr="00E66F80" w:rsidRDefault="003E14CD" w:rsidP="009A2203">
      <w:pPr>
        <w:ind w:firstLine="709"/>
        <w:jc w:val="both"/>
        <w:rPr>
          <w:lang w:eastAsia="en-US"/>
        </w:rPr>
      </w:pPr>
      <w:r w:rsidRPr="00E66F80">
        <w:rPr>
          <w:lang w:eastAsia="en-US"/>
        </w:rPr>
        <w:t xml:space="preserve">През 2022 г. събраните суми за частни държавни вземания са в размер на 6,9 млн. лв., от които 0,2 млн. лв. са платени с компенсаторни инструменти. </w:t>
      </w:r>
    </w:p>
    <w:p w14:paraId="4EC3C5FA" w14:textId="77777777" w:rsidR="003E14CD" w:rsidRPr="00E66F80" w:rsidRDefault="003E14CD" w:rsidP="009A2203">
      <w:pPr>
        <w:ind w:firstLine="709"/>
        <w:jc w:val="both"/>
        <w:rPr>
          <w:lang w:eastAsia="en-US"/>
        </w:rPr>
      </w:pPr>
      <w:r w:rsidRPr="00E66F80">
        <w:rPr>
          <w:lang w:eastAsia="en-US"/>
        </w:rPr>
        <w:t xml:space="preserve">Администрирани са вземания по чл. 3, ал. 7, т. 6 от Закон за Националната агенция за приходите (ЗНАП) срещу 484 длъжници (по програми САПАРД, ФАР, ОП „Развитие на човешките ресурси”, ОП „Административен капацитет”, ОП „Развитие на конкурентоспособността на българската икономика”, ОП „Околна среда”, ОП „Регионално развитие” и др.), като преписките по 43 от тях са приключени през годината. Събирането на средствата, подлежащи на възстановяване по европейски програми, продължава да е приоритет в работата по обезпечаване и събиране на частни държавни вземания. През 2022 г. са постъпили 1,0 млн. лв. във връзка с предадени през предходни години преписки, а през 2021 г. са събрани 4 млн. лева. </w:t>
      </w:r>
    </w:p>
    <w:p w14:paraId="478EDBD1" w14:textId="77777777" w:rsidR="003E14CD" w:rsidRPr="00E66F80" w:rsidRDefault="003E14CD" w:rsidP="009A2203">
      <w:pPr>
        <w:ind w:firstLine="709"/>
        <w:jc w:val="both"/>
        <w:rPr>
          <w:lang w:eastAsia="en-US"/>
        </w:rPr>
      </w:pPr>
      <w:r w:rsidRPr="00E66F80">
        <w:rPr>
          <w:lang w:eastAsia="en-US"/>
        </w:rPr>
        <w:t>През 2022 г. на НАП са предадени за събиране 10 017 изпълнителни листа, издадени в полза на Националното бюро за правна помощ (НБПП), 51 преписки за вземания по чл. 3, ал. 7, т. 5 и 6 от ЗНАП и 117 преписки по Закона за кредитиране на студенти и докторанти (ЗКСД). В информационната система за администриране на частни държавни вземания са въведени 30 457 изпълнителни листа за длъжници на НБПП и 100,0 % от преписките за останалите видове вземания.</w:t>
      </w:r>
    </w:p>
    <w:p w14:paraId="4E93AC27" w14:textId="77777777" w:rsidR="003E14CD" w:rsidRPr="00E66F80" w:rsidRDefault="003E14CD" w:rsidP="009A2203">
      <w:pPr>
        <w:ind w:firstLine="709"/>
        <w:jc w:val="both"/>
        <w:rPr>
          <w:lang w:eastAsia="en-US"/>
        </w:rPr>
      </w:pPr>
      <w:r w:rsidRPr="00E66F80">
        <w:rPr>
          <w:lang w:eastAsia="en-US"/>
        </w:rPr>
        <w:t>С оглед предприемане на действия по установяване и събиране на частни държавни вземания (ЧДВ), през 2022 г. са изготвени 16 143 молби за образуване/ присъединяване по изпълнителни дела при 14 033 за 2021 година. През 2022 г. не са издавани актове за установяване на ЧДВ.</w:t>
      </w:r>
    </w:p>
    <w:p w14:paraId="12403C19" w14:textId="77777777" w:rsidR="003E14CD" w:rsidRPr="00E66F80" w:rsidRDefault="003E14CD" w:rsidP="009A2203">
      <w:pPr>
        <w:ind w:firstLine="709"/>
        <w:jc w:val="both"/>
        <w:rPr>
          <w:lang w:eastAsia="en-US"/>
        </w:rPr>
      </w:pPr>
      <w:r w:rsidRPr="00E66F80">
        <w:rPr>
          <w:lang w:eastAsia="en-US"/>
        </w:rPr>
        <w:t xml:space="preserve">През 2022 г. са получени 29 344 призовки и съобщения, свързани с производства относно ЧДВ, по които са предприети последващи действия. За сравнение - през 2021 г. са приети 30 395, а през 2020 г. – 28 028 призовки и съобщения. </w:t>
      </w:r>
    </w:p>
    <w:p w14:paraId="454E3C16" w14:textId="77777777" w:rsidR="003E14CD" w:rsidRPr="00E66F80" w:rsidRDefault="003E14CD" w:rsidP="009A2203">
      <w:pPr>
        <w:ind w:firstLine="709"/>
        <w:jc w:val="both"/>
        <w:rPr>
          <w:lang w:eastAsia="en-US"/>
        </w:rPr>
      </w:pPr>
      <w:r w:rsidRPr="00E66F80">
        <w:rPr>
          <w:lang w:eastAsia="en-US"/>
        </w:rPr>
        <w:t>От предадените за събиране, през 2022 г., преписки е извършвано проучване на имущественото състояние на всички лица, за които през периода са изготвени молби за образуване/ присъединяване по изпълнителни дела за вземания на НБПП, както и проучване по отношение на 97,7 % от получените през 2022 г. преписки за останалите видове администрирани вземания, за които е било необходимо.</w:t>
      </w:r>
    </w:p>
    <w:p w14:paraId="6563E9E3" w14:textId="77777777" w:rsidR="003E14CD" w:rsidRPr="00FE1886" w:rsidRDefault="003E14CD" w:rsidP="00D252CA">
      <w:pPr>
        <w:spacing w:before="240" w:after="120"/>
        <w:ind w:firstLine="709"/>
        <w:jc w:val="both"/>
        <w:rPr>
          <w:b/>
          <w:bCs/>
          <w:lang w:eastAsia="en-US"/>
        </w:rPr>
      </w:pPr>
      <w:r w:rsidRPr="00FE1886">
        <w:rPr>
          <w:b/>
          <w:u w:val="single"/>
        </w:rPr>
        <w:t>Мерки, предприети от Агенция „Митници“</w:t>
      </w:r>
    </w:p>
    <w:p w14:paraId="451097C2" w14:textId="77777777" w:rsidR="003E14CD" w:rsidRDefault="003E14CD" w:rsidP="003E14CD">
      <w:pPr>
        <w:autoSpaceDE w:val="0"/>
        <w:autoSpaceDN w:val="0"/>
        <w:adjustRightInd w:val="0"/>
        <w:spacing w:after="120"/>
        <w:ind w:firstLine="709"/>
        <w:jc w:val="both"/>
      </w:pPr>
      <w:r>
        <w:t xml:space="preserve">През 2022 г. митническите органи при осъществяване на контролните им функции и реализиране на административнонаказателна отговорност на лицата, нарушили Закона за митниците (ЗМ), Закона за акцизите и данъчните складове (ЗАДС), Валутния закон (ВЗ), Закона за пътищата (ЗП), Закон за движение по пътищата (ЗДвП), Закона за безмитната търговия </w:t>
      </w:r>
      <w:r w:rsidRPr="004F15D1">
        <w:t>(</w:t>
      </w:r>
      <w:r>
        <w:t>ЗБТ</w:t>
      </w:r>
      <w:r w:rsidRPr="004F15D1">
        <w:t xml:space="preserve">) </w:t>
      </w:r>
      <w:r>
        <w:t xml:space="preserve">и Закона за административното регулиране на икономическите дейности </w:t>
      </w:r>
      <w:r w:rsidRPr="004F15D1">
        <w:t>(</w:t>
      </w:r>
      <w:r>
        <w:t>ЗАРИД</w:t>
      </w:r>
      <w:r w:rsidRPr="004F15D1">
        <w:t>)</w:t>
      </w:r>
      <w:r>
        <w:t>, свързани с нефт и продукти от нефтен произход са съставили общо 9 435 броя акта за установяване на административни нарушения, които надвишават с приблизително 59,0 % тези през 2021 година. Спад с около 9,0 %, спрямо предходната година бележи броя на издадените решения за прекратяване на административнонаказателни производства, като през 2022 г. те възлизат на 782 броя.</w:t>
      </w:r>
    </w:p>
    <w:p w14:paraId="289AD5B4" w14:textId="77777777" w:rsidR="003E14CD" w:rsidRDefault="003E14CD" w:rsidP="009A2203">
      <w:pPr>
        <w:autoSpaceDE w:val="0"/>
        <w:autoSpaceDN w:val="0"/>
        <w:adjustRightInd w:val="0"/>
        <w:ind w:firstLine="709"/>
        <w:jc w:val="both"/>
      </w:pPr>
      <w:r>
        <w:t>През разглеждания период в резултат на контролни действия са съставени:</w:t>
      </w:r>
    </w:p>
    <w:p w14:paraId="57052744" w14:textId="77777777" w:rsidR="003E14CD" w:rsidRDefault="003E14CD" w:rsidP="009A2203">
      <w:pPr>
        <w:autoSpaceDE w:val="0"/>
        <w:autoSpaceDN w:val="0"/>
        <w:adjustRightInd w:val="0"/>
        <w:ind w:firstLine="709"/>
        <w:jc w:val="both"/>
      </w:pPr>
      <w:r>
        <w:t>- 5 332 броя акта за установяване на митнически нарушения, като техният брой бележи ръст около 35,0 % спрямо тези съставени през 2021 година;</w:t>
      </w:r>
    </w:p>
    <w:p w14:paraId="7BC0437A" w14:textId="77777777" w:rsidR="003E14CD" w:rsidRDefault="003E14CD" w:rsidP="009A2203">
      <w:pPr>
        <w:autoSpaceDE w:val="0"/>
        <w:autoSpaceDN w:val="0"/>
        <w:adjustRightInd w:val="0"/>
        <w:ind w:firstLine="709"/>
        <w:jc w:val="both"/>
      </w:pPr>
      <w:r>
        <w:t>- 1 298 броя акта за установяване на нарушения по ЗАДС;</w:t>
      </w:r>
    </w:p>
    <w:p w14:paraId="19E98F1E" w14:textId="77777777" w:rsidR="003E14CD" w:rsidRDefault="003E14CD" w:rsidP="009A2203">
      <w:pPr>
        <w:autoSpaceDE w:val="0"/>
        <w:autoSpaceDN w:val="0"/>
        <w:adjustRightInd w:val="0"/>
        <w:ind w:firstLine="709"/>
        <w:jc w:val="both"/>
      </w:pPr>
      <w:r>
        <w:t>- 197 броя акта за установяване на нарушения по валутното законодателство, които спрямо 2021 г. бележат ръст с около 12,0 %;</w:t>
      </w:r>
    </w:p>
    <w:p w14:paraId="302425AD" w14:textId="77777777" w:rsidR="003E14CD" w:rsidRDefault="003E14CD" w:rsidP="009A2203">
      <w:pPr>
        <w:autoSpaceDE w:val="0"/>
        <w:autoSpaceDN w:val="0"/>
        <w:adjustRightInd w:val="0"/>
        <w:ind w:firstLine="709"/>
        <w:jc w:val="both"/>
      </w:pPr>
      <w:r>
        <w:t>- 4 броя акта за нарушение на ЗП, които спрямо 2021 г. бележат спад с повече от 50,0 %;</w:t>
      </w:r>
    </w:p>
    <w:p w14:paraId="75C62507" w14:textId="77777777" w:rsidR="003E14CD" w:rsidRDefault="003E14CD" w:rsidP="009A2203">
      <w:pPr>
        <w:autoSpaceDE w:val="0"/>
        <w:autoSpaceDN w:val="0"/>
        <w:adjustRightInd w:val="0"/>
        <w:ind w:firstLine="709"/>
        <w:jc w:val="both"/>
      </w:pPr>
      <w:r>
        <w:t>- 2 596 броя акта за установяване на нарушение на ЗДвП, които спрямо 2021 г. са над 27 пъти повече;</w:t>
      </w:r>
    </w:p>
    <w:p w14:paraId="4D876CD0" w14:textId="77777777" w:rsidR="003E14CD" w:rsidRDefault="003E14CD" w:rsidP="009A2203">
      <w:pPr>
        <w:autoSpaceDE w:val="0"/>
        <w:autoSpaceDN w:val="0"/>
        <w:adjustRightInd w:val="0"/>
        <w:ind w:firstLine="709"/>
        <w:jc w:val="both"/>
      </w:pPr>
      <w:r>
        <w:t>- 3 броя акта за установяване на административни нарушения по ЗБТ;</w:t>
      </w:r>
    </w:p>
    <w:p w14:paraId="5F66375C" w14:textId="77777777" w:rsidR="003E14CD" w:rsidRDefault="003E14CD" w:rsidP="009A2203">
      <w:pPr>
        <w:autoSpaceDE w:val="0"/>
        <w:autoSpaceDN w:val="0"/>
        <w:adjustRightInd w:val="0"/>
        <w:ind w:firstLine="709"/>
        <w:jc w:val="both"/>
      </w:pPr>
      <w:r>
        <w:t>- 5 броя акта за установяване на нарушения по ЗАРИД, свързани с нефт и продукти от нефтен произход.</w:t>
      </w:r>
    </w:p>
    <w:p w14:paraId="6F66AF6B" w14:textId="77777777" w:rsidR="003E14CD" w:rsidRDefault="003E14CD" w:rsidP="009A2203">
      <w:pPr>
        <w:autoSpaceDE w:val="0"/>
        <w:autoSpaceDN w:val="0"/>
        <w:adjustRightInd w:val="0"/>
        <w:ind w:firstLine="709"/>
        <w:jc w:val="both"/>
      </w:pPr>
      <w:r>
        <w:t>През отчетния период са образувани 344 броя досъдебни производства, от които 92 броя по чл. 234, 193 броя по чл. 242, 1 брой по чл. 242а, 55 броя по чл. 251 и 3 броя по чл. 255 от Наказателния кодекс (НК).</w:t>
      </w:r>
    </w:p>
    <w:p w14:paraId="51648465" w14:textId="77777777" w:rsidR="003E14CD" w:rsidRDefault="003E14CD" w:rsidP="009A2203">
      <w:pPr>
        <w:ind w:firstLine="709"/>
        <w:jc w:val="both"/>
      </w:pPr>
      <w:r>
        <w:t>През 2022 г. българските митнически органи са установили, пренасяни през границата на страната парични средства, недекларирани по съответния ред в общо 134 случая, а откритите парични средства са с равностойност 43 141 297 лева. Данните показват, че през 2022 г. са били открити парични средства в размер почти 2 пъти по-голям от сумата на установените парични средства през 2021 година. За сравнение, в периода 01.01.2021 г. – 31.12.2021 г. са били открити 21 802 211 лв., което беше рекорд и надминаваше сумата на установените парични средства общо в предходните пет години (2016 - 2020 г.). През 2022 г. този рекорд е удвоен. 103 от случаите са констатирани през второто шестмесечие на 2022 г., като наблюдаваният ръст в установения размер на недекларирани парични средства е 120 % спрямо първата половина от годината. Пренасяните недекларирани парични средства са в различни валути. Най-голям е делът на установените банкноти в евро и британски лири. Откривани са шведски крони, щатски долари, норвежки крони, украински гривни, български левове и турски лири.</w:t>
      </w:r>
    </w:p>
    <w:p w14:paraId="1837FF85" w14:textId="77777777" w:rsidR="003E14CD" w:rsidRDefault="003E14CD" w:rsidP="00B91385">
      <w:pPr>
        <w:ind w:firstLine="709"/>
        <w:jc w:val="both"/>
      </w:pPr>
      <w:r>
        <w:t>През 2022 г. в 77 случая, митническите служители са открили недекларирани злато и златни изделия с общо тегло 137 602 грама. През 2021 г. са задържани 134 094 грама, което беше рекордно количество, надминаващо размера на установените общо в предходните 4 години изделия (2017 - 2020 г.). Откритите златни изделия през 2022 г. са с близо 3,0 % повече в сравнение с 2021 година.</w:t>
      </w:r>
    </w:p>
    <w:p w14:paraId="37524937" w14:textId="77777777" w:rsidR="003E14CD" w:rsidRDefault="003E14CD" w:rsidP="00B91385">
      <w:pPr>
        <w:ind w:firstLine="709"/>
        <w:jc w:val="both"/>
      </w:pPr>
      <w:r>
        <w:t>При среброто и сребърните изделия, количествата задържани през 2022 г., възлизат на 92 100 грама в 10 случая, което е с 30,0 % по-малко от установеното през предходната година, когато са установени 132 815 грама.</w:t>
      </w:r>
    </w:p>
    <w:p w14:paraId="6ACF89C9" w14:textId="77777777" w:rsidR="003E14CD" w:rsidRDefault="003E14CD" w:rsidP="00B91385">
      <w:pPr>
        <w:ind w:firstLine="709"/>
        <w:jc w:val="both"/>
      </w:pPr>
      <w:r>
        <w:t xml:space="preserve">С оглед активните действия на митническите органи, свързани с прилагане на правомощията им по реда на ЗАДС и ЗМ, както и тези за разследване на престъпления, са обезпечени като доказателства по ЗАДС, задържани по ЗМ и иззети по реда на Наказателно-процесуалния </w:t>
      </w:r>
      <w:r w:rsidRPr="008D5A29">
        <w:t>кодекс (НПК) следните количества</w:t>
      </w:r>
      <w:r>
        <w:t xml:space="preserve"> акцизни стоки: </w:t>
      </w:r>
    </w:p>
    <w:p w14:paraId="36E5D6D0" w14:textId="77777777" w:rsidR="003E14CD" w:rsidRDefault="003E14CD" w:rsidP="00BD39E0">
      <w:pPr>
        <w:pStyle w:val="ListParagraph"/>
        <w:numPr>
          <w:ilvl w:val="0"/>
          <w:numId w:val="65"/>
        </w:numPr>
        <w:spacing w:after="120"/>
        <w:jc w:val="both"/>
      </w:pPr>
      <w:r>
        <w:t xml:space="preserve">41 606 889 къса цигари; </w:t>
      </w:r>
    </w:p>
    <w:p w14:paraId="2A6EA788" w14:textId="77777777" w:rsidR="003E14CD" w:rsidRDefault="003E14CD" w:rsidP="00BD39E0">
      <w:pPr>
        <w:pStyle w:val="ListParagraph"/>
        <w:numPr>
          <w:ilvl w:val="0"/>
          <w:numId w:val="65"/>
        </w:numPr>
        <w:spacing w:after="120"/>
        <w:jc w:val="both"/>
      </w:pPr>
      <w:r>
        <w:t xml:space="preserve">4 244 кг тютюн за пушене (вкл. тютюн за наргиле); </w:t>
      </w:r>
    </w:p>
    <w:p w14:paraId="721DC832" w14:textId="77777777" w:rsidR="003E14CD" w:rsidRDefault="003E14CD" w:rsidP="00BD39E0">
      <w:pPr>
        <w:pStyle w:val="ListParagraph"/>
        <w:numPr>
          <w:ilvl w:val="0"/>
          <w:numId w:val="65"/>
        </w:numPr>
        <w:spacing w:after="120"/>
        <w:jc w:val="both"/>
      </w:pPr>
      <w:r>
        <w:t xml:space="preserve">45 739 литра етилов алкохол и високоалкохолни напитки; </w:t>
      </w:r>
    </w:p>
    <w:p w14:paraId="7B96246A" w14:textId="77777777" w:rsidR="003E14CD" w:rsidRDefault="003E14CD" w:rsidP="00BD39E0">
      <w:pPr>
        <w:pStyle w:val="ListParagraph"/>
        <w:numPr>
          <w:ilvl w:val="0"/>
          <w:numId w:val="65"/>
        </w:numPr>
        <w:spacing w:after="120"/>
        <w:jc w:val="both"/>
      </w:pPr>
      <w:r>
        <w:t xml:space="preserve">1 222 литра бира; </w:t>
      </w:r>
    </w:p>
    <w:p w14:paraId="49FFF942" w14:textId="77777777" w:rsidR="003E14CD" w:rsidRDefault="003E14CD" w:rsidP="00BD39E0">
      <w:pPr>
        <w:pStyle w:val="ListParagraph"/>
        <w:numPr>
          <w:ilvl w:val="0"/>
          <w:numId w:val="65"/>
        </w:numPr>
        <w:spacing w:after="120"/>
        <w:jc w:val="both"/>
      </w:pPr>
      <w:r>
        <w:t xml:space="preserve">4 963 литра вино; </w:t>
      </w:r>
    </w:p>
    <w:p w14:paraId="7C0A3177" w14:textId="77777777" w:rsidR="003E14CD" w:rsidRDefault="003E14CD" w:rsidP="00BD39E0">
      <w:pPr>
        <w:pStyle w:val="ListParagraph"/>
        <w:numPr>
          <w:ilvl w:val="0"/>
          <w:numId w:val="65"/>
        </w:numPr>
        <w:spacing w:after="120"/>
        <w:jc w:val="both"/>
      </w:pPr>
      <w:r>
        <w:t xml:space="preserve">165 444 литра и 16 564 кг енергийни продукти. </w:t>
      </w:r>
    </w:p>
    <w:p w14:paraId="2E188FED" w14:textId="77777777" w:rsidR="003E14CD" w:rsidRDefault="003E14CD" w:rsidP="00B91385">
      <w:pPr>
        <w:ind w:firstLine="709"/>
        <w:jc w:val="both"/>
      </w:pPr>
      <w:r>
        <w:t xml:space="preserve">През отчетния период, в резултат на осъществения акцизен и митнически контрол са предотвратени щети за бюджета в размер на над 8,9 млн. лева (над 8,0 млн. лева акциз за цигари, над 0,6 млн. лева акциз за тютюн за пушене, над 0,2 млн. лева акциз за етилов алкохол и алкохолни напитки, над 0,1 млн. лева акциз за енергийни продукти). </w:t>
      </w:r>
    </w:p>
    <w:p w14:paraId="7F564DF0" w14:textId="77777777" w:rsidR="003E14CD" w:rsidRPr="00E20976" w:rsidRDefault="003E14CD" w:rsidP="00B91385">
      <w:pPr>
        <w:ind w:firstLine="709"/>
        <w:jc w:val="both"/>
      </w:pPr>
      <w:r>
        <w:t xml:space="preserve">Продължи изпълнението и прилагането на влезлия в сила от месец февруари 2019 г. план за изпълнение на съвместни контролни действия от структури на МВР и Агенция „Митници” при въвеждане на петролни продукти на територията на Република България от плавателни средства в пристанища на територията на Русе, Бургас и Варна. </w:t>
      </w:r>
      <w:r w:rsidRPr="00FE1886">
        <w:t>През 202</w:t>
      </w:r>
      <w:r>
        <w:t>2</w:t>
      </w:r>
      <w:r w:rsidRPr="00FE1886">
        <w:t xml:space="preserve"> г. митническата администрация участва в провеждането на следните </w:t>
      </w:r>
      <w:r w:rsidRPr="00E20976">
        <w:t>международни операции:</w:t>
      </w:r>
    </w:p>
    <w:p w14:paraId="2CF8DE09" w14:textId="77777777" w:rsidR="003E14CD" w:rsidRDefault="003E14CD" w:rsidP="00BD39E0">
      <w:pPr>
        <w:pStyle w:val="ListParagraph"/>
        <w:numPr>
          <w:ilvl w:val="0"/>
          <w:numId w:val="66"/>
        </w:numPr>
        <w:spacing w:after="120"/>
        <w:jc w:val="both"/>
      </w:pPr>
      <w:r>
        <w:t xml:space="preserve">В рамките на СМО, Европол, Интерпол и ОЛАФ: </w:t>
      </w:r>
    </w:p>
    <w:p w14:paraId="626ABDD5" w14:textId="77777777" w:rsidR="003E14CD" w:rsidRDefault="003E14CD" w:rsidP="00BD39E0">
      <w:pPr>
        <w:pStyle w:val="ListParagraph"/>
        <w:numPr>
          <w:ilvl w:val="0"/>
          <w:numId w:val="67"/>
        </w:numPr>
        <w:spacing w:after="120"/>
        <w:jc w:val="both"/>
      </w:pPr>
      <w:r>
        <w:t xml:space="preserve">международна операция „DUBLETON“, насочени към противодействието на измами и фалшифициране на алкохолни напитки; </w:t>
      </w:r>
    </w:p>
    <w:p w14:paraId="340187EB" w14:textId="77777777" w:rsidR="003E14CD" w:rsidRDefault="003E14CD" w:rsidP="00BD39E0">
      <w:pPr>
        <w:pStyle w:val="ListParagraph"/>
        <w:numPr>
          <w:ilvl w:val="0"/>
          <w:numId w:val="67"/>
        </w:numPr>
        <w:spacing w:after="120"/>
        <w:jc w:val="both"/>
      </w:pPr>
      <w:r>
        <w:t>LAKE 2021-2022 – свързана с трафика на европейска змиорка;</w:t>
      </w:r>
    </w:p>
    <w:p w14:paraId="39C81FA8" w14:textId="77777777" w:rsidR="003E14CD" w:rsidRDefault="003E14CD" w:rsidP="00BD39E0">
      <w:pPr>
        <w:pStyle w:val="ListParagraph"/>
        <w:numPr>
          <w:ilvl w:val="0"/>
          <w:numId w:val="67"/>
        </w:numPr>
        <w:spacing w:after="120"/>
        <w:jc w:val="both"/>
      </w:pPr>
      <w:r>
        <w:t xml:space="preserve">EMPACT – оперативна дейност 3.3 – „Престъпления срещу околната среда – касаеща нелегалната търговия с флуоросъдържащи парникови газове“; </w:t>
      </w:r>
    </w:p>
    <w:p w14:paraId="4D734F57" w14:textId="77777777" w:rsidR="003E14CD" w:rsidRDefault="003E14CD" w:rsidP="00BD39E0">
      <w:pPr>
        <w:pStyle w:val="ListParagraph"/>
        <w:numPr>
          <w:ilvl w:val="0"/>
          <w:numId w:val="67"/>
        </w:numPr>
        <w:spacing w:after="120"/>
        <w:jc w:val="both"/>
      </w:pPr>
      <w:r>
        <w:t>EMPACT – оперативна дейност  2.4 – „Предотвратяване, разкриване и борба с незаконния трафик на отпадъци през външните граници на ЕС“. Операции TOX и TRASH;</w:t>
      </w:r>
    </w:p>
    <w:p w14:paraId="5BB7983E" w14:textId="77777777" w:rsidR="003E14CD" w:rsidRDefault="003E14CD" w:rsidP="00BD39E0">
      <w:pPr>
        <w:pStyle w:val="ListParagraph"/>
        <w:numPr>
          <w:ilvl w:val="0"/>
          <w:numId w:val="67"/>
        </w:numPr>
        <w:spacing w:after="120"/>
        <w:jc w:val="both"/>
      </w:pPr>
      <w:r>
        <w:t>PANDORA VII – свързана с трафика на културни ценности;</w:t>
      </w:r>
    </w:p>
    <w:p w14:paraId="2D5861FC" w14:textId="77777777" w:rsidR="003E14CD" w:rsidRDefault="003E14CD" w:rsidP="00BD39E0">
      <w:pPr>
        <w:pStyle w:val="ListParagraph"/>
        <w:numPr>
          <w:ilvl w:val="0"/>
          <w:numId w:val="67"/>
        </w:numPr>
        <w:spacing w:after="120"/>
        <w:jc w:val="both"/>
      </w:pPr>
      <w:r>
        <w:t>DEMETER VIII – свързана с трансграничния трафик на отпадъци и вещества разрушаващи озоновия слой;</w:t>
      </w:r>
    </w:p>
    <w:p w14:paraId="32B3C3C2" w14:textId="77777777" w:rsidR="003E14CD" w:rsidRDefault="003E14CD" w:rsidP="00BD39E0">
      <w:pPr>
        <w:pStyle w:val="ListParagraph"/>
        <w:numPr>
          <w:ilvl w:val="0"/>
          <w:numId w:val="67"/>
        </w:numPr>
        <w:spacing w:after="120"/>
        <w:jc w:val="both"/>
      </w:pPr>
      <w:r>
        <w:t>THUNDER – свързана с трафика на защитени видове от дивата флора и фауна;</w:t>
      </w:r>
    </w:p>
    <w:p w14:paraId="3569C0B2" w14:textId="77777777" w:rsidR="003E14CD" w:rsidRDefault="003E14CD" w:rsidP="00BD39E0">
      <w:pPr>
        <w:pStyle w:val="ListParagraph"/>
        <w:numPr>
          <w:ilvl w:val="0"/>
          <w:numId w:val="67"/>
        </w:numPr>
        <w:spacing w:after="120"/>
        <w:jc w:val="both"/>
      </w:pPr>
      <w:r>
        <w:t>STOP II, Фаза 3 – превенция на незаконната търговия с фалшиви и опасни за човешкото здраве лекарства, дезинфектанти и лични предпазни средства, свързани с разпространението на Covid – 19 (oперацията е проведена под ръководството на Световната митническа организация);</w:t>
      </w:r>
    </w:p>
    <w:p w14:paraId="351230A0" w14:textId="77777777" w:rsidR="003E14CD" w:rsidRDefault="003E14CD" w:rsidP="00BD39E0">
      <w:pPr>
        <w:pStyle w:val="ListParagraph"/>
        <w:numPr>
          <w:ilvl w:val="0"/>
          <w:numId w:val="67"/>
        </w:numPr>
        <w:spacing w:after="120"/>
        <w:jc w:val="both"/>
      </w:pPr>
      <w:r>
        <w:t>BAMBOO - операция на ЕК, насочена към проверка на стоки, съдържащи меламин и формалдехид, опасни за човешкото здраве;</w:t>
      </w:r>
    </w:p>
    <w:p w14:paraId="15E03A4D" w14:textId="77777777" w:rsidR="003E14CD" w:rsidRDefault="003E14CD" w:rsidP="00BD39E0">
      <w:pPr>
        <w:pStyle w:val="ListParagraph"/>
        <w:numPr>
          <w:ilvl w:val="0"/>
          <w:numId w:val="67"/>
        </w:numPr>
        <w:spacing w:after="120"/>
        <w:jc w:val="both"/>
      </w:pPr>
      <w:r>
        <w:t>SILVER AXE VII – организирана от EUROPOL, проведена в сътрудничество с  OLAF и насочена срещу разпространението на контрабандни, фалшиви и неразрешени за употреба препарати за растителна защита;</w:t>
      </w:r>
    </w:p>
    <w:p w14:paraId="56295D16" w14:textId="77777777" w:rsidR="003E14CD" w:rsidRDefault="003E14CD" w:rsidP="00BD39E0">
      <w:pPr>
        <w:pStyle w:val="ListParagraph"/>
        <w:numPr>
          <w:ilvl w:val="0"/>
          <w:numId w:val="67"/>
        </w:numPr>
        <w:spacing w:after="120"/>
        <w:jc w:val="both"/>
      </w:pPr>
      <w:r>
        <w:t>OPSON XI и OPSON XII – организирани от INTERPOL и насочени срещу разпространението на фалшифицирана храна и хранителни продукти, включително и напитки в ЕC;</w:t>
      </w:r>
    </w:p>
    <w:p w14:paraId="0BE4E8EA" w14:textId="77777777" w:rsidR="003E14CD" w:rsidRDefault="003E14CD" w:rsidP="00BD39E0">
      <w:pPr>
        <w:pStyle w:val="ListParagraph"/>
        <w:numPr>
          <w:ilvl w:val="0"/>
          <w:numId w:val="67"/>
        </w:numPr>
        <w:spacing w:after="120"/>
        <w:jc w:val="both"/>
      </w:pPr>
      <w:r>
        <w:t xml:space="preserve">LUDUS II и LUDUS III– проведени по инициатива на EUROPOL и OLAF и насочени срещу разпространението на фалшифицирани и неотговарящи на стандартите детски играчки; </w:t>
      </w:r>
    </w:p>
    <w:p w14:paraId="67C81D44" w14:textId="77777777" w:rsidR="003E14CD" w:rsidRDefault="003E14CD" w:rsidP="00BD39E0">
      <w:pPr>
        <w:pStyle w:val="ListParagraph"/>
        <w:numPr>
          <w:ilvl w:val="0"/>
          <w:numId w:val="67"/>
        </w:numPr>
        <w:spacing w:after="120"/>
        <w:jc w:val="both"/>
      </w:pPr>
      <w:r>
        <w:t>BALKAN GATE 2, насочена срещу разпространението на фалшиви и пиратски стоки по Балканския път, организирана от СМО в сътрудничество с  ЕВРОПОЛ.</w:t>
      </w:r>
    </w:p>
    <w:p w14:paraId="0317A5C1" w14:textId="77777777" w:rsidR="003E14CD" w:rsidRDefault="003E14CD" w:rsidP="00BD39E0">
      <w:pPr>
        <w:pStyle w:val="ListParagraph"/>
        <w:numPr>
          <w:ilvl w:val="0"/>
          <w:numId w:val="66"/>
        </w:numPr>
        <w:spacing w:after="120"/>
        <w:jc w:val="both"/>
      </w:pPr>
      <w:r>
        <w:t xml:space="preserve">В рамките на ЕМПАКТ „Акцизи ”: </w:t>
      </w:r>
    </w:p>
    <w:p w14:paraId="3D3E8DBE" w14:textId="77777777" w:rsidR="003E14CD" w:rsidRDefault="003E14CD" w:rsidP="00BD39E0">
      <w:pPr>
        <w:pStyle w:val="ListParagraph"/>
        <w:numPr>
          <w:ilvl w:val="0"/>
          <w:numId w:val="67"/>
        </w:numPr>
        <w:spacing w:after="120"/>
        <w:jc w:val="both"/>
      </w:pPr>
      <w:r>
        <w:t>Операция „Chain Bridge 2022/3“, насочена към оперативно проследяване движението на рискови нефтопродукти до крайни потребители на територията на ЕС.</w:t>
      </w:r>
    </w:p>
    <w:p w14:paraId="23D08772" w14:textId="77777777" w:rsidR="003E14CD" w:rsidRDefault="003E14CD" w:rsidP="00B91385">
      <w:pPr>
        <w:autoSpaceDE w:val="0"/>
        <w:ind w:firstLine="709"/>
        <w:jc w:val="both"/>
      </w:pPr>
      <w:r>
        <w:t xml:space="preserve">През 2022 г. по инициатива и под ръководството на Междуведомствения координационен център за противодействие на контрабандата и контрол на движението на рискови стоки и товари при ГДБОП/МВР (МКЦПККДРСТ) са извършени над 180 проверки на търговски обекти за продажба на течни и твърди горива, съвместно с органите на МВР, ДАНС, НАП и ДАМТН. </w:t>
      </w:r>
    </w:p>
    <w:p w14:paraId="11E8ED98" w14:textId="77777777" w:rsidR="003E14CD" w:rsidRDefault="003E14CD" w:rsidP="00B91385">
      <w:pPr>
        <w:autoSpaceDE w:val="0"/>
        <w:ind w:firstLine="709"/>
        <w:jc w:val="both"/>
      </w:pPr>
      <w:r>
        <w:t xml:space="preserve">Допълнително, във връзка с план за съвместен контрол, в периода януари – декември 2022 г., съвместно с органите на АПИ и ИААА и под ръководството на МКЦПККДРСТ са проведени 6 специализирани операции за контрол на пътни превозни средства, извършващи превоз на енергийни продукти по обществени пътища в нарушение на допустимите норми за маса и натоварване на оси. </w:t>
      </w:r>
    </w:p>
    <w:p w14:paraId="2FEF9724" w14:textId="77777777" w:rsidR="003E14CD" w:rsidRDefault="003E14CD" w:rsidP="00B91385">
      <w:pPr>
        <w:autoSpaceDE w:val="0"/>
        <w:ind w:firstLine="709"/>
        <w:jc w:val="both"/>
      </w:pPr>
      <w:r>
        <w:t>Бяха организирани и съвместни контролни действия със служители от Изпълнителна Агенция по лозата и виното и Агенция „Митници“ във връзка с нелегалната продажба на наливно вино.</w:t>
      </w:r>
    </w:p>
    <w:p w14:paraId="15861F64" w14:textId="77777777" w:rsidR="003E14CD" w:rsidRDefault="003E14CD" w:rsidP="00B91385">
      <w:pPr>
        <w:autoSpaceDE w:val="0"/>
        <w:ind w:firstLine="709"/>
        <w:jc w:val="both"/>
      </w:pPr>
      <w:r>
        <w:t>Извършван е периодичен обмен на информация с НАП с цел предотвратяване и разкриване на дейности, свързани с данъчни и акцизни нарушения при вътреобщностни сделки с енергийни продукти. Във връзка с извършен съвместен анализ от служители на Централно управление на НАП и Централно митническо управление на АМ на данъчнозадължени лица и транспортни средства с рисково поведение са организирани и проведени две съвместни операции по наблюдение в реално време на транспортни средства, от мястото на товарене на гориво в данъчен склад до конкретните обекти на получаване. В хода на операциите са установени нарушения на данъчното законодателство.</w:t>
      </w:r>
    </w:p>
    <w:p w14:paraId="556EF49A" w14:textId="77777777" w:rsidR="003E14CD" w:rsidRDefault="003E14CD" w:rsidP="00B91385">
      <w:pPr>
        <w:autoSpaceDE w:val="0"/>
        <w:ind w:firstLine="709"/>
        <w:jc w:val="both"/>
      </w:pPr>
      <w:r>
        <w:t>През 2022 г. от звената за последващ контрол е осъществена контролна дейност по прилагане на акцизното и митническото законодателство, както следва:</w:t>
      </w:r>
    </w:p>
    <w:p w14:paraId="1CAA9768" w14:textId="77777777" w:rsidR="003E14CD" w:rsidRDefault="003E14CD" w:rsidP="00B91385">
      <w:pPr>
        <w:autoSpaceDE w:val="0"/>
        <w:ind w:firstLine="709"/>
        <w:jc w:val="both"/>
      </w:pPr>
      <w:r>
        <w:t>- Извършени 39  ревизии за установяване, изменяне и/или прихващане на задължения за акциз, както и за възстановяване и/или прихващане на недължимо платени или събрани от лицето суми по реда на ДОПК, във връзка с разпоредбите на ЗАДС. Установените с ревизионни актове задължения за заплащане на акциз са 10,1 млн. лв., лихви за просрочие 6,6 млн. лева и надвнесени суми за акциз – 1,1 млн. лева. Ефективно постъпилите суми в държавния бюджет от установени с ревизионен акт задължения за акциз и лихви за просрочие са общо в размер на 4,7 млн. лева;</w:t>
      </w:r>
    </w:p>
    <w:p w14:paraId="577F33FE" w14:textId="77777777" w:rsidR="003E14CD" w:rsidRDefault="003E14CD" w:rsidP="00B91385">
      <w:pPr>
        <w:autoSpaceDE w:val="0"/>
        <w:ind w:firstLine="709"/>
        <w:jc w:val="both"/>
      </w:pPr>
      <w:r>
        <w:t>- Извършени 173  проверки (насрещни, по делегация и за установяване на факти и обстоятелства);</w:t>
      </w:r>
    </w:p>
    <w:p w14:paraId="45FA6E7D" w14:textId="7CE677DC" w:rsidR="003E14CD" w:rsidRDefault="003E14CD" w:rsidP="00B91385">
      <w:pPr>
        <w:pStyle w:val="ListParagraph"/>
        <w:numPr>
          <w:ilvl w:val="0"/>
          <w:numId w:val="58"/>
        </w:numPr>
        <w:tabs>
          <w:tab w:val="left" w:pos="851"/>
        </w:tabs>
        <w:ind w:left="0" w:firstLine="709"/>
        <w:contextualSpacing w:val="0"/>
        <w:jc w:val="both"/>
      </w:pPr>
      <w:r>
        <w:t>Извършени 103 проверки в рамките на последващия контрол, в резултат на които са установени суми за досъбиране на мито в размер на 1,9 млн. лева и ДДС в размер на 1,9</w:t>
      </w:r>
      <w:r w:rsidR="009A1DE9">
        <w:rPr>
          <w:lang w:val="en-US"/>
        </w:rPr>
        <w:t> </w:t>
      </w:r>
      <w:r>
        <w:t>млн. лева.</w:t>
      </w:r>
    </w:p>
    <w:p w14:paraId="14634B5A" w14:textId="37BD60CE" w:rsidR="003B2313" w:rsidRPr="00BD39E0" w:rsidRDefault="003B2313" w:rsidP="004D74B5">
      <w:pPr>
        <w:pStyle w:val="Heading3"/>
        <w:pageBreakBefore/>
        <w:numPr>
          <w:ilvl w:val="1"/>
          <w:numId w:val="7"/>
        </w:numPr>
        <w:spacing w:before="0" w:after="0"/>
        <w:ind w:left="714" w:hanging="357"/>
        <w:rPr>
          <w:rFonts w:ascii="Times New Roman" w:hAnsi="Times New Roman"/>
          <w:sz w:val="24"/>
          <w:lang w:val="bg-BG"/>
        </w:rPr>
      </w:pPr>
      <w:bookmarkStart w:id="97" w:name="_Toc146037890"/>
      <w:r w:rsidRPr="00BD39E0">
        <w:rPr>
          <w:rFonts w:ascii="Times New Roman" w:hAnsi="Times New Roman"/>
          <w:sz w:val="24"/>
          <w:lang w:val="bg-BG"/>
        </w:rPr>
        <w:t>Изпълнение на приходите по консолидираната фискална програма</w:t>
      </w:r>
      <w:bookmarkEnd w:id="91"/>
      <w:bookmarkEnd w:id="97"/>
    </w:p>
    <w:p w14:paraId="404E7C5C" w14:textId="77777777" w:rsidR="003B2313" w:rsidRPr="007B48E9" w:rsidRDefault="003B2313" w:rsidP="003B2313">
      <w:pPr>
        <w:tabs>
          <w:tab w:val="left" w:pos="900"/>
        </w:tabs>
        <w:ind w:firstLine="900"/>
        <w:jc w:val="both"/>
        <w:rPr>
          <w:color w:val="0070C0"/>
          <w:sz w:val="8"/>
          <w:szCs w:val="8"/>
        </w:rPr>
      </w:pPr>
    </w:p>
    <w:p w14:paraId="166F8CE0" w14:textId="77777777" w:rsidR="00BD39E0" w:rsidRPr="00786859" w:rsidRDefault="00BD39E0" w:rsidP="00BD39E0">
      <w:pPr>
        <w:ind w:firstLine="709"/>
        <w:jc w:val="both"/>
      </w:pPr>
      <w:bookmarkStart w:id="98" w:name="_Toc261276577"/>
      <w:bookmarkStart w:id="99" w:name="_Toc393728065"/>
      <w:bookmarkStart w:id="100" w:name="_Toc357527091"/>
      <w:bookmarkStart w:id="101" w:name="_Toc326315906"/>
      <w:bookmarkStart w:id="102" w:name="_Toc324863414"/>
      <w:bookmarkStart w:id="103" w:name="_Toc462146114"/>
      <w:bookmarkStart w:id="104" w:name="_Toc494102632"/>
      <w:bookmarkStart w:id="105" w:name="_Toc11323412"/>
      <w:bookmarkStart w:id="106" w:name="_Toc18316945"/>
      <w:r w:rsidRPr="00786859">
        <w:t>Отчетът на общите приходи, помощи и дарения  по КФП за периода 20</w:t>
      </w:r>
      <w:r w:rsidRPr="00786859">
        <w:rPr>
          <w:lang w:val="ru-RU"/>
        </w:rPr>
        <w:t>20</w:t>
      </w:r>
      <w:r w:rsidRPr="00786859">
        <w:t xml:space="preserve"> г. – 202</w:t>
      </w:r>
      <w:r w:rsidRPr="00786859">
        <w:rPr>
          <w:lang w:val="ru-RU"/>
        </w:rPr>
        <w:t>2</w:t>
      </w:r>
      <w:r w:rsidRPr="00786859">
        <w:t> г. по основни групи, представени и като процент от БВП, е както следва:</w:t>
      </w:r>
    </w:p>
    <w:p w14:paraId="507C20A0" w14:textId="77777777" w:rsidR="00BD39E0" w:rsidRPr="00786859" w:rsidRDefault="00BD39E0" w:rsidP="00BD39E0">
      <w:pPr>
        <w:ind w:firstLine="540"/>
        <w:jc w:val="both"/>
        <w:rPr>
          <w:sz w:val="8"/>
          <w:szCs w:val="8"/>
        </w:rPr>
      </w:pPr>
    </w:p>
    <w:p w14:paraId="44FC7D41" w14:textId="77777777" w:rsidR="00BD39E0" w:rsidRPr="00786859" w:rsidRDefault="00BD39E0" w:rsidP="00BD39E0">
      <w:pPr>
        <w:spacing w:before="120" w:after="120"/>
        <w:jc w:val="center"/>
        <w:rPr>
          <w:b/>
          <w:i/>
        </w:rPr>
      </w:pPr>
      <w:r w:rsidRPr="00786859">
        <w:rPr>
          <w:b/>
          <w:i/>
        </w:rPr>
        <w:t>Приходи, помощи и дарения  по КФП за периода 20</w:t>
      </w:r>
      <w:r w:rsidRPr="00786859">
        <w:rPr>
          <w:b/>
          <w:i/>
          <w:lang w:val="ru-RU"/>
        </w:rPr>
        <w:t>20</w:t>
      </w:r>
      <w:r w:rsidRPr="00786859">
        <w:rPr>
          <w:b/>
          <w:i/>
        </w:rPr>
        <w:t xml:space="preserve"> г. – 202</w:t>
      </w:r>
      <w:r w:rsidRPr="00786859">
        <w:rPr>
          <w:b/>
          <w:i/>
          <w:lang w:val="ru-RU"/>
        </w:rPr>
        <w:t>2</w:t>
      </w:r>
      <w:r w:rsidRPr="00786859">
        <w:rPr>
          <w:b/>
          <w:i/>
        </w:rPr>
        <w:t xml:space="preserve"> г.</w:t>
      </w:r>
    </w:p>
    <w:tbl>
      <w:tblPr>
        <w:tblW w:w="9360" w:type="dxa"/>
        <w:tblInd w:w="-23" w:type="dxa"/>
        <w:tblLook w:val="04A0" w:firstRow="1" w:lastRow="0" w:firstColumn="1" w:lastColumn="0" w:noHBand="0" w:noVBand="1"/>
      </w:tblPr>
      <w:tblGrid>
        <w:gridCol w:w="2344"/>
        <w:gridCol w:w="983"/>
        <w:gridCol w:w="713"/>
        <w:gridCol w:w="915"/>
        <w:gridCol w:w="713"/>
        <w:gridCol w:w="867"/>
        <w:gridCol w:w="716"/>
        <w:gridCol w:w="1150"/>
        <w:gridCol w:w="959"/>
      </w:tblGrid>
      <w:tr w:rsidR="00BD39E0" w:rsidRPr="007B48E9" w14:paraId="38131E85" w14:textId="77777777" w:rsidTr="00D337DB">
        <w:trPr>
          <w:trHeight w:val="317"/>
        </w:trPr>
        <w:tc>
          <w:tcPr>
            <w:tcW w:w="2344" w:type="dxa"/>
            <w:tcBorders>
              <w:top w:val="double" w:sz="6" w:space="0" w:color="800000"/>
              <w:left w:val="double" w:sz="6" w:space="0" w:color="800000"/>
              <w:right w:val="single" w:sz="8" w:space="0" w:color="FFFFFF"/>
            </w:tcBorders>
            <w:shd w:val="clear" w:color="000000" w:fill="800000"/>
            <w:vAlign w:val="center"/>
            <w:hideMark/>
          </w:tcPr>
          <w:p w14:paraId="255E0C5E" w14:textId="77777777" w:rsidR="00BD39E0" w:rsidRPr="007B48E9" w:rsidRDefault="00BD39E0" w:rsidP="00D337DB">
            <w:pPr>
              <w:rPr>
                <w:b/>
                <w:bCs/>
                <w:color w:val="0070C0"/>
              </w:rPr>
            </w:pPr>
            <w:r w:rsidRPr="007B48E9">
              <w:rPr>
                <w:b/>
                <w:bCs/>
                <w:color w:val="0070C0"/>
              </w:rPr>
              <w:t> </w:t>
            </w:r>
          </w:p>
          <w:p w14:paraId="240D3F40" w14:textId="77777777" w:rsidR="00BD39E0" w:rsidRPr="007B48E9" w:rsidRDefault="00BD39E0" w:rsidP="00D337DB">
            <w:pPr>
              <w:rPr>
                <w:b/>
                <w:bCs/>
                <w:color w:val="0070C0"/>
              </w:rPr>
            </w:pPr>
            <w:r w:rsidRPr="007B48E9">
              <w:rPr>
                <w:b/>
                <w:bCs/>
                <w:color w:val="0070C0"/>
              </w:rPr>
              <w:t> </w:t>
            </w:r>
          </w:p>
        </w:tc>
        <w:tc>
          <w:tcPr>
            <w:tcW w:w="1696" w:type="dxa"/>
            <w:gridSpan w:val="2"/>
            <w:tcBorders>
              <w:top w:val="double" w:sz="6" w:space="0" w:color="800000"/>
              <w:left w:val="single" w:sz="8" w:space="0" w:color="FFFFFF"/>
              <w:bottom w:val="single" w:sz="8" w:space="0" w:color="FFFFFF"/>
              <w:right w:val="single" w:sz="8" w:space="0" w:color="FFFFFF"/>
            </w:tcBorders>
            <w:shd w:val="clear" w:color="000000" w:fill="800000"/>
            <w:noWrap/>
            <w:vAlign w:val="center"/>
            <w:hideMark/>
          </w:tcPr>
          <w:p w14:paraId="2B405092" w14:textId="77777777" w:rsidR="00BD39E0" w:rsidRPr="00786859" w:rsidRDefault="00BD39E0" w:rsidP="00D337DB">
            <w:pPr>
              <w:jc w:val="center"/>
              <w:rPr>
                <w:b/>
                <w:bCs/>
                <w:color w:val="FFFFFF" w:themeColor="background1"/>
                <w:sz w:val="20"/>
                <w:szCs w:val="20"/>
              </w:rPr>
            </w:pPr>
            <w:r w:rsidRPr="00786859">
              <w:rPr>
                <w:b/>
                <w:bCs/>
                <w:color w:val="FFFFFF" w:themeColor="background1"/>
                <w:sz w:val="20"/>
                <w:szCs w:val="20"/>
              </w:rPr>
              <w:t>20</w:t>
            </w:r>
            <w:r>
              <w:rPr>
                <w:b/>
                <w:bCs/>
                <w:color w:val="FFFFFF" w:themeColor="background1"/>
                <w:sz w:val="20"/>
                <w:szCs w:val="20"/>
                <w:lang w:val="en-US"/>
              </w:rPr>
              <w:t>20</w:t>
            </w:r>
            <w:r w:rsidRPr="00786859">
              <w:rPr>
                <w:b/>
                <w:bCs/>
                <w:color w:val="FFFFFF" w:themeColor="background1"/>
                <w:sz w:val="20"/>
                <w:szCs w:val="20"/>
              </w:rPr>
              <w:t xml:space="preserve"> г.</w:t>
            </w:r>
          </w:p>
        </w:tc>
        <w:tc>
          <w:tcPr>
            <w:tcW w:w="1628" w:type="dxa"/>
            <w:gridSpan w:val="2"/>
            <w:tcBorders>
              <w:top w:val="double" w:sz="6" w:space="0" w:color="800000"/>
              <w:left w:val="single" w:sz="8" w:space="0" w:color="FFFFFF"/>
              <w:bottom w:val="single" w:sz="8" w:space="0" w:color="FFFFFF"/>
              <w:right w:val="single" w:sz="8" w:space="0" w:color="FFFFFF"/>
            </w:tcBorders>
            <w:shd w:val="clear" w:color="000000" w:fill="800000"/>
            <w:vAlign w:val="center"/>
            <w:hideMark/>
          </w:tcPr>
          <w:p w14:paraId="5D5FAE1B" w14:textId="77777777" w:rsidR="00BD39E0" w:rsidRPr="00786859" w:rsidRDefault="00BD39E0" w:rsidP="00D337DB">
            <w:pPr>
              <w:jc w:val="center"/>
              <w:rPr>
                <w:b/>
                <w:bCs/>
                <w:color w:val="FFFFFF" w:themeColor="background1"/>
                <w:sz w:val="20"/>
                <w:szCs w:val="20"/>
              </w:rPr>
            </w:pPr>
            <w:r w:rsidRPr="00786859">
              <w:rPr>
                <w:b/>
                <w:bCs/>
                <w:color w:val="FFFFFF" w:themeColor="background1"/>
                <w:sz w:val="20"/>
                <w:szCs w:val="20"/>
              </w:rPr>
              <w:t>202</w:t>
            </w:r>
            <w:r>
              <w:rPr>
                <w:b/>
                <w:bCs/>
                <w:color w:val="FFFFFF" w:themeColor="background1"/>
                <w:sz w:val="20"/>
                <w:szCs w:val="20"/>
                <w:lang w:val="en-US"/>
              </w:rPr>
              <w:t>1</w:t>
            </w:r>
            <w:r w:rsidRPr="00786859">
              <w:rPr>
                <w:b/>
                <w:bCs/>
                <w:color w:val="FFFFFF" w:themeColor="background1"/>
                <w:sz w:val="20"/>
                <w:szCs w:val="20"/>
              </w:rPr>
              <w:t xml:space="preserve"> г.</w:t>
            </w:r>
          </w:p>
        </w:tc>
        <w:tc>
          <w:tcPr>
            <w:tcW w:w="3692" w:type="dxa"/>
            <w:gridSpan w:val="4"/>
            <w:tcBorders>
              <w:top w:val="double" w:sz="6" w:space="0" w:color="800000"/>
              <w:left w:val="single" w:sz="8" w:space="0" w:color="FFFFFF"/>
              <w:bottom w:val="single" w:sz="8" w:space="0" w:color="FFFFFF"/>
              <w:right w:val="double" w:sz="6" w:space="0" w:color="800000"/>
            </w:tcBorders>
            <w:shd w:val="clear" w:color="000000" w:fill="800000"/>
            <w:vAlign w:val="center"/>
            <w:hideMark/>
          </w:tcPr>
          <w:p w14:paraId="3AA71D12" w14:textId="77777777" w:rsidR="00BD39E0" w:rsidRPr="00786859" w:rsidRDefault="00BD39E0" w:rsidP="00D337DB">
            <w:pPr>
              <w:jc w:val="center"/>
              <w:rPr>
                <w:b/>
                <w:bCs/>
                <w:color w:val="FFFFFF" w:themeColor="background1"/>
                <w:sz w:val="20"/>
                <w:szCs w:val="20"/>
              </w:rPr>
            </w:pPr>
            <w:r w:rsidRPr="00786859">
              <w:rPr>
                <w:b/>
                <w:bCs/>
                <w:color w:val="FFFFFF" w:themeColor="background1"/>
                <w:sz w:val="20"/>
                <w:szCs w:val="20"/>
              </w:rPr>
              <w:t>202</w:t>
            </w:r>
            <w:r>
              <w:rPr>
                <w:b/>
                <w:bCs/>
                <w:color w:val="FFFFFF" w:themeColor="background1"/>
                <w:sz w:val="20"/>
                <w:szCs w:val="20"/>
                <w:lang w:val="en-US"/>
              </w:rPr>
              <w:t>2</w:t>
            </w:r>
            <w:r w:rsidRPr="00786859">
              <w:rPr>
                <w:b/>
                <w:bCs/>
                <w:color w:val="FFFFFF" w:themeColor="background1"/>
                <w:sz w:val="20"/>
                <w:szCs w:val="20"/>
              </w:rPr>
              <w:t xml:space="preserve"> г.</w:t>
            </w:r>
          </w:p>
        </w:tc>
      </w:tr>
      <w:tr w:rsidR="00BD39E0" w:rsidRPr="007B48E9" w14:paraId="1F272573" w14:textId="77777777" w:rsidTr="00D337DB">
        <w:trPr>
          <w:trHeight w:val="282"/>
        </w:trPr>
        <w:tc>
          <w:tcPr>
            <w:tcW w:w="2344" w:type="dxa"/>
            <w:tcBorders>
              <w:top w:val="nil"/>
              <w:left w:val="double" w:sz="6" w:space="0" w:color="800000"/>
              <w:bottom w:val="double" w:sz="6" w:space="0" w:color="800000"/>
              <w:right w:val="single" w:sz="8" w:space="0" w:color="FFFFFF"/>
            </w:tcBorders>
            <w:shd w:val="clear" w:color="000000" w:fill="800000"/>
            <w:vAlign w:val="center"/>
            <w:hideMark/>
          </w:tcPr>
          <w:p w14:paraId="5086AC22" w14:textId="77777777" w:rsidR="00BD39E0" w:rsidRPr="007B48E9" w:rsidRDefault="00BD39E0" w:rsidP="00D337DB">
            <w:pPr>
              <w:jc w:val="right"/>
              <w:rPr>
                <w:b/>
                <w:bCs/>
                <w:color w:val="0070C0"/>
                <w:sz w:val="22"/>
                <w:szCs w:val="22"/>
              </w:rPr>
            </w:pPr>
            <w:r w:rsidRPr="00786859">
              <w:rPr>
                <w:b/>
                <w:bCs/>
                <w:color w:val="FFFFFF" w:themeColor="background1"/>
                <w:sz w:val="22"/>
                <w:szCs w:val="22"/>
              </w:rPr>
              <w:t>(млн. лв.)</w:t>
            </w:r>
          </w:p>
        </w:tc>
        <w:tc>
          <w:tcPr>
            <w:tcW w:w="983" w:type="dxa"/>
            <w:tcBorders>
              <w:top w:val="nil"/>
              <w:left w:val="nil"/>
              <w:bottom w:val="double" w:sz="6" w:space="0" w:color="800000"/>
              <w:right w:val="single" w:sz="8" w:space="0" w:color="FFFFFF"/>
            </w:tcBorders>
            <w:shd w:val="clear" w:color="000000" w:fill="800000"/>
            <w:vAlign w:val="center"/>
            <w:hideMark/>
          </w:tcPr>
          <w:p w14:paraId="598669B2"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Отчет</w:t>
            </w:r>
          </w:p>
        </w:tc>
        <w:tc>
          <w:tcPr>
            <w:tcW w:w="713" w:type="dxa"/>
            <w:tcBorders>
              <w:top w:val="nil"/>
              <w:left w:val="nil"/>
              <w:bottom w:val="double" w:sz="6" w:space="0" w:color="800000"/>
              <w:right w:val="single" w:sz="8" w:space="0" w:color="FFFFFF"/>
            </w:tcBorders>
            <w:shd w:val="clear" w:color="000000" w:fill="800000"/>
            <w:vAlign w:val="center"/>
            <w:hideMark/>
          </w:tcPr>
          <w:p w14:paraId="1491A73C"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%БВП</w:t>
            </w:r>
          </w:p>
        </w:tc>
        <w:tc>
          <w:tcPr>
            <w:tcW w:w="915" w:type="dxa"/>
            <w:tcBorders>
              <w:top w:val="nil"/>
              <w:left w:val="nil"/>
              <w:bottom w:val="double" w:sz="6" w:space="0" w:color="800000"/>
              <w:right w:val="single" w:sz="8" w:space="0" w:color="FFFFFF"/>
            </w:tcBorders>
            <w:shd w:val="clear" w:color="000000" w:fill="800000"/>
            <w:vAlign w:val="center"/>
            <w:hideMark/>
          </w:tcPr>
          <w:p w14:paraId="32C96CE8"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Отчет</w:t>
            </w:r>
          </w:p>
        </w:tc>
        <w:tc>
          <w:tcPr>
            <w:tcW w:w="713" w:type="dxa"/>
            <w:tcBorders>
              <w:top w:val="nil"/>
              <w:left w:val="nil"/>
              <w:bottom w:val="double" w:sz="6" w:space="0" w:color="800000"/>
              <w:right w:val="single" w:sz="8" w:space="0" w:color="FFFFFF"/>
            </w:tcBorders>
            <w:shd w:val="clear" w:color="000000" w:fill="800000"/>
            <w:vAlign w:val="center"/>
            <w:hideMark/>
          </w:tcPr>
          <w:p w14:paraId="7463DE63"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%БВП</w:t>
            </w:r>
          </w:p>
        </w:tc>
        <w:tc>
          <w:tcPr>
            <w:tcW w:w="867" w:type="dxa"/>
            <w:tcBorders>
              <w:top w:val="nil"/>
              <w:left w:val="nil"/>
              <w:bottom w:val="double" w:sz="6" w:space="0" w:color="800000"/>
              <w:right w:val="single" w:sz="8" w:space="0" w:color="FFFFFF"/>
            </w:tcBorders>
            <w:shd w:val="clear" w:color="000000" w:fill="800000"/>
            <w:vAlign w:val="center"/>
            <w:hideMark/>
          </w:tcPr>
          <w:p w14:paraId="36578190"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Отчет</w:t>
            </w:r>
          </w:p>
        </w:tc>
        <w:tc>
          <w:tcPr>
            <w:tcW w:w="716" w:type="dxa"/>
            <w:tcBorders>
              <w:top w:val="nil"/>
              <w:left w:val="nil"/>
              <w:bottom w:val="double" w:sz="6" w:space="0" w:color="800000"/>
              <w:right w:val="double" w:sz="6" w:space="0" w:color="800000"/>
            </w:tcBorders>
            <w:shd w:val="clear" w:color="000000" w:fill="800000"/>
            <w:vAlign w:val="center"/>
            <w:hideMark/>
          </w:tcPr>
          <w:p w14:paraId="5612460E"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%БВП</w:t>
            </w:r>
          </w:p>
        </w:tc>
        <w:tc>
          <w:tcPr>
            <w:tcW w:w="1150" w:type="dxa"/>
            <w:tcBorders>
              <w:top w:val="nil"/>
              <w:left w:val="nil"/>
              <w:bottom w:val="double" w:sz="6" w:space="0" w:color="800000"/>
              <w:right w:val="double" w:sz="6" w:space="0" w:color="800000"/>
            </w:tcBorders>
            <w:shd w:val="clear" w:color="000000" w:fill="800000"/>
          </w:tcPr>
          <w:p w14:paraId="161671A3" w14:textId="77777777" w:rsidR="00BD39E0" w:rsidRPr="003A1E72" w:rsidRDefault="00BD39E0" w:rsidP="00D337DB">
            <w:pPr>
              <w:jc w:val="center"/>
              <w:rPr>
                <w:b/>
                <w:bCs/>
                <w:color w:val="FFFFFF" w:themeColor="background1"/>
                <w:sz w:val="16"/>
                <w:szCs w:val="16"/>
              </w:rPr>
            </w:pPr>
            <w:r>
              <w:rPr>
                <w:b/>
                <w:bCs/>
                <w:color w:val="FFFFFF" w:themeColor="background1"/>
                <w:sz w:val="16"/>
                <w:szCs w:val="16"/>
              </w:rPr>
              <w:t>Отчет на съпоставима база</w:t>
            </w:r>
          </w:p>
        </w:tc>
        <w:tc>
          <w:tcPr>
            <w:tcW w:w="959" w:type="dxa"/>
            <w:tcBorders>
              <w:top w:val="nil"/>
              <w:left w:val="nil"/>
              <w:bottom w:val="double" w:sz="6" w:space="0" w:color="800000"/>
              <w:right w:val="double" w:sz="6" w:space="0" w:color="800000"/>
            </w:tcBorders>
            <w:shd w:val="clear" w:color="000000" w:fill="800000"/>
          </w:tcPr>
          <w:p w14:paraId="761238ED" w14:textId="77777777" w:rsidR="00BD39E0" w:rsidRDefault="00BD39E0" w:rsidP="00D337DB">
            <w:pPr>
              <w:jc w:val="center"/>
              <w:rPr>
                <w:b/>
                <w:bCs/>
                <w:color w:val="FFFFFF" w:themeColor="background1"/>
                <w:sz w:val="16"/>
                <w:szCs w:val="16"/>
              </w:rPr>
            </w:pPr>
          </w:p>
          <w:p w14:paraId="341EDD93" w14:textId="77777777" w:rsidR="00BD39E0" w:rsidRPr="00786859" w:rsidRDefault="00BD39E0" w:rsidP="00D337DB">
            <w:pPr>
              <w:jc w:val="center"/>
              <w:rPr>
                <w:b/>
                <w:bCs/>
                <w:color w:val="FFFFFF" w:themeColor="background1"/>
                <w:sz w:val="16"/>
                <w:szCs w:val="16"/>
              </w:rPr>
            </w:pPr>
            <w:r w:rsidRPr="00786859">
              <w:rPr>
                <w:b/>
                <w:bCs/>
                <w:color w:val="FFFFFF" w:themeColor="background1"/>
                <w:sz w:val="16"/>
                <w:szCs w:val="16"/>
              </w:rPr>
              <w:t>%БВП</w:t>
            </w:r>
          </w:p>
        </w:tc>
      </w:tr>
      <w:tr w:rsidR="00830245" w:rsidRPr="00786859" w14:paraId="332C7AC8"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3BD46679" w14:textId="77777777" w:rsidR="00830245" w:rsidRPr="003A1E72" w:rsidRDefault="00830245" w:rsidP="00830245">
            <w:pPr>
              <w:rPr>
                <w:b/>
                <w:bCs/>
                <w:sz w:val="18"/>
                <w:szCs w:val="18"/>
              </w:rPr>
            </w:pPr>
            <w:r w:rsidRPr="003A1E72">
              <w:rPr>
                <w:b/>
                <w:bCs/>
                <w:sz w:val="18"/>
                <w:szCs w:val="18"/>
              </w:rPr>
              <w:t>ОБЩО ПРИХОДИ, ПОМОЩИ И ДАРЕНИЯ</w:t>
            </w:r>
          </w:p>
        </w:tc>
        <w:tc>
          <w:tcPr>
            <w:tcW w:w="983" w:type="dxa"/>
            <w:tcBorders>
              <w:top w:val="nil"/>
              <w:left w:val="nil"/>
              <w:bottom w:val="nil"/>
              <w:right w:val="single" w:sz="8" w:space="0" w:color="800000"/>
            </w:tcBorders>
            <w:shd w:val="clear" w:color="000000" w:fill="FFFFCC"/>
            <w:vAlign w:val="center"/>
            <w:hideMark/>
          </w:tcPr>
          <w:p w14:paraId="5E6C048D" w14:textId="77777777" w:rsidR="00830245" w:rsidRPr="003A1E72" w:rsidRDefault="00830245" w:rsidP="00830245">
            <w:pPr>
              <w:jc w:val="right"/>
              <w:rPr>
                <w:sz w:val="18"/>
                <w:szCs w:val="18"/>
              </w:rPr>
            </w:pPr>
            <w:r w:rsidRPr="003A1E72">
              <w:rPr>
                <w:b/>
                <w:bCs/>
                <w:sz w:val="18"/>
                <w:szCs w:val="18"/>
              </w:rPr>
              <w:t>44 317,7</w:t>
            </w:r>
          </w:p>
        </w:tc>
        <w:tc>
          <w:tcPr>
            <w:tcW w:w="713" w:type="dxa"/>
            <w:tcBorders>
              <w:top w:val="double" w:sz="6" w:space="0" w:color="800000"/>
              <w:left w:val="nil"/>
              <w:bottom w:val="nil"/>
              <w:right w:val="double" w:sz="6" w:space="0" w:color="800000"/>
            </w:tcBorders>
            <w:shd w:val="clear" w:color="000000" w:fill="FFFFCC"/>
            <w:vAlign w:val="center"/>
            <w:hideMark/>
          </w:tcPr>
          <w:p w14:paraId="70F771D5" w14:textId="77777777" w:rsidR="00830245" w:rsidRPr="003A1E72" w:rsidRDefault="00830245" w:rsidP="00830245">
            <w:pPr>
              <w:jc w:val="right"/>
              <w:rPr>
                <w:b/>
                <w:bCs/>
                <w:sz w:val="18"/>
                <w:szCs w:val="18"/>
              </w:rPr>
            </w:pPr>
            <w:r w:rsidRPr="003A1E72">
              <w:rPr>
                <w:b/>
                <w:bCs/>
                <w:sz w:val="18"/>
                <w:szCs w:val="18"/>
              </w:rPr>
              <w:t>36,</w:t>
            </w:r>
            <w:r>
              <w:rPr>
                <w:b/>
                <w:bCs/>
                <w:sz w:val="18"/>
                <w:szCs w:val="18"/>
              </w:rPr>
              <w:t>8</w:t>
            </w:r>
            <w:r w:rsidRPr="003A1E72">
              <w:rPr>
                <w:b/>
                <w:bCs/>
                <w:sz w:val="18"/>
                <w:szCs w:val="18"/>
              </w:rPr>
              <w:t>%</w:t>
            </w:r>
          </w:p>
        </w:tc>
        <w:tc>
          <w:tcPr>
            <w:tcW w:w="915" w:type="dxa"/>
            <w:tcBorders>
              <w:top w:val="nil"/>
              <w:left w:val="nil"/>
              <w:bottom w:val="nil"/>
              <w:right w:val="single" w:sz="8" w:space="0" w:color="800000"/>
            </w:tcBorders>
            <w:shd w:val="clear" w:color="000000" w:fill="FFFFCC"/>
            <w:vAlign w:val="center"/>
            <w:hideMark/>
          </w:tcPr>
          <w:p w14:paraId="5FD6E5B3" w14:textId="77777777" w:rsidR="00830245" w:rsidRPr="003A1E72" w:rsidRDefault="00830245" w:rsidP="00830245">
            <w:pPr>
              <w:tabs>
                <w:tab w:val="left" w:pos="792"/>
              </w:tabs>
              <w:jc w:val="right"/>
              <w:rPr>
                <w:sz w:val="18"/>
                <w:szCs w:val="18"/>
              </w:rPr>
            </w:pPr>
            <w:r w:rsidRPr="003A1E72">
              <w:rPr>
                <w:b/>
                <w:bCs/>
                <w:sz w:val="18"/>
                <w:szCs w:val="18"/>
                <w:lang w:val="en-US"/>
              </w:rPr>
              <w:t>52</w:t>
            </w:r>
            <w:r w:rsidRPr="003A1E72">
              <w:rPr>
                <w:b/>
                <w:bCs/>
                <w:sz w:val="18"/>
                <w:szCs w:val="18"/>
              </w:rPr>
              <w:t xml:space="preserve"> </w:t>
            </w:r>
            <w:r w:rsidRPr="003A1E72">
              <w:rPr>
                <w:b/>
                <w:bCs/>
                <w:sz w:val="18"/>
                <w:szCs w:val="18"/>
                <w:lang w:val="en-US"/>
              </w:rPr>
              <w:t>458</w:t>
            </w:r>
            <w:r w:rsidRPr="003A1E72">
              <w:rPr>
                <w:b/>
                <w:bCs/>
                <w:sz w:val="18"/>
                <w:szCs w:val="18"/>
              </w:rPr>
              <w:t>,</w:t>
            </w:r>
            <w:r w:rsidRPr="003A1E72">
              <w:rPr>
                <w:b/>
                <w:bCs/>
                <w:sz w:val="18"/>
                <w:szCs w:val="18"/>
                <w:lang w:val="en-US"/>
              </w:rPr>
              <w:t>9</w:t>
            </w:r>
          </w:p>
        </w:tc>
        <w:tc>
          <w:tcPr>
            <w:tcW w:w="713" w:type="dxa"/>
            <w:tcBorders>
              <w:top w:val="double" w:sz="6" w:space="0" w:color="800000"/>
              <w:left w:val="nil"/>
              <w:bottom w:val="nil"/>
              <w:right w:val="double" w:sz="6" w:space="0" w:color="800000"/>
            </w:tcBorders>
            <w:shd w:val="clear" w:color="000000" w:fill="FFFFCC"/>
            <w:vAlign w:val="center"/>
            <w:hideMark/>
          </w:tcPr>
          <w:p w14:paraId="5236DE77" w14:textId="77777777" w:rsidR="00830245" w:rsidRPr="003A1E72" w:rsidRDefault="00830245" w:rsidP="00830245">
            <w:pPr>
              <w:jc w:val="right"/>
              <w:rPr>
                <w:sz w:val="18"/>
                <w:szCs w:val="18"/>
              </w:rPr>
            </w:pPr>
            <w:r w:rsidRPr="003A1E72">
              <w:rPr>
                <w:b/>
                <w:bCs/>
                <w:sz w:val="18"/>
                <w:szCs w:val="18"/>
              </w:rPr>
              <w:t>3</w:t>
            </w:r>
            <w:r>
              <w:rPr>
                <w:b/>
                <w:bCs/>
                <w:sz w:val="18"/>
                <w:szCs w:val="18"/>
              </w:rPr>
              <w:t>7,7</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1E015E4A" w14:textId="44CA334C" w:rsidR="00830245" w:rsidRPr="00830245" w:rsidRDefault="00830245" w:rsidP="00830245">
            <w:pPr>
              <w:jc w:val="right"/>
              <w:rPr>
                <w:b/>
                <w:bCs/>
                <w:sz w:val="18"/>
                <w:szCs w:val="18"/>
              </w:rPr>
            </w:pPr>
            <w:r>
              <w:rPr>
                <w:b/>
                <w:bCs/>
                <w:sz w:val="18"/>
                <w:szCs w:val="18"/>
              </w:rPr>
              <w:t>64 788,7</w:t>
            </w:r>
          </w:p>
        </w:tc>
        <w:tc>
          <w:tcPr>
            <w:tcW w:w="716" w:type="dxa"/>
            <w:tcBorders>
              <w:top w:val="nil"/>
              <w:left w:val="nil"/>
              <w:bottom w:val="nil"/>
              <w:right w:val="single" w:sz="8" w:space="0" w:color="800000"/>
            </w:tcBorders>
            <w:shd w:val="clear" w:color="000000" w:fill="FFFFCC"/>
            <w:vAlign w:val="center"/>
            <w:hideMark/>
          </w:tcPr>
          <w:p w14:paraId="358AF54E" w14:textId="56233109" w:rsidR="00830245" w:rsidRPr="00830245" w:rsidRDefault="00830245" w:rsidP="00830245">
            <w:pPr>
              <w:jc w:val="right"/>
              <w:rPr>
                <w:b/>
                <w:bCs/>
                <w:sz w:val="18"/>
                <w:szCs w:val="18"/>
              </w:rPr>
            </w:pPr>
            <w:r>
              <w:rPr>
                <w:b/>
                <w:bCs/>
                <w:sz w:val="18"/>
                <w:szCs w:val="18"/>
              </w:rPr>
              <w:t>39,2%</w:t>
            </w:r>
          </w:p>
        </w:tc>
        <w:tc>
          <w:tcPr>
            <w:tcW w:w="1150" w:type="dxa"/>
            <w:tcBorders>
              <w:top w:val="nil"/>
              <w:left w:val="nil"/>
              <w:bottom w:val="nil"/>
              <w:right w:val="single" w:sz="8" w:space="0" w:color="800000"/>
            </w:tcBorders>
            <w:shd w:val="clear" w:color="000000" w:fill="FFFFCC"/>
            <w:vAlign w:val="center"/>
          </w:tcPr>
          <w:p w14:paraId="2EF1828F" w14:textId="35C82D49" w:rsidR="00830245" w:rsidRPr="003A1E72" w:rsidRDefault="00830245" w:rsidP="00830245">
            <w:pPr>
              <w:tabs>
                <w:tab w:val="left" w:pos="792"/>
              </w:tabs>
              <w:jc w:val="right"/>
              <w:rPr>
                <w:b/>
                <w:bCs/>
                <w:sz w:val="18"/>
                <w:szCs w:val="18"/>
              </w:rPr>
            </w:pPr>
            <w:r>
              <w:rPr>
                <w:b/>
                <w:bCs/>
                <w:sz w:val="18"/>
                <w:szCs w:val="18"/>
              </w:rPr>
              <w:t>61 607,7</w:t>
            </w:r>
          </w:p>
        </w:tc>
        <w:tc>
          <w:tcPr>
            <w:tcW w:w="959" w:type="dxa"/>
            <w:tcBorders>
              <w:top w:val="nil"/>
              <w:left w:val="nil"/>
              <w:bottom w:val="nil"/>
              <w:right w:val="single" w:sz="8" w:space="0" w:color="800000"/>
            </w:tcBorders>
            <w:shd w:val="clear" w:color="000000" w:fill="FFFFCC"/>
            <w:vAlign w:val="center"/>
          </w:tcPr>
          <w:p w14:paraId="022A7DE5" w14:textId="10253D59" w:rsidR="00830245" w:rsidRPr="003A1E72" w:rsidRDefault="00830245" w:rsidP="00830245">
            <w:pPr>
              <w:jc w:val="right"/>
              <w:rPr>
                <w:b/>
                <w:bCs/>
                <w:sz w:val="18"/>
                <w:szCs w:val="18"/>
              </w:rPr>
            </w:pPr>
            <w:r>
              <w:rPr>
                <w:b/>
                <w:bCs/>
                <w:sz w:val="18"/>
                <w:szCs w:val="18"/>
              </w:rPr>
              <w:t>37,3%</w:t>
            </w:r>
          </w:p>
        </w:tc>
      </w:tr>
      <w:tr w:rsidR="00830245" w:rsidRPr="00786859" w14:paraId="63FF02FB"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4C6F142A" w14:textId="77777777" w:rsidR="00830245" w:rsidRPr="003A1E72" w:rsidRDefault="00830245" w:rsidP="00830245">
            <w:pPr>
              <w:rPr>
                <w:b/>
                <w:bCs/>
                <w:sz w:val="18"/>
                <w:szCs w:val="18"/>
              </w:rPr>
            </w:pPr>
            <w:r w:rsidRPr="003A1E72">
              <w:rPr>
                <w:b/>
                <w:bCs/>
                <w:sz w:val="18"/>
                <w:szCs w:val="18"/>
              </w:rPr>
              <w:t> </w:t>
            </w:r>
          </w:p>
        </w:tc>
        <w:tc>
          <w:tcPr>
            <w:tcW w:w="983" w:type="dxa"/>
            <w:tcBorders>
              <w:top w:val="nil"/>
              <w:left w:val="nil"/>
              <w:bottom w:val="nil"/>
              <w:right w:val="single" w:sz="8" w:space="0" w:color="800000"/>
            </w:tcBorders>
            <w:shd w:val="clear" w:color="000000" w:fill="FFFFCC"/>
            <w:vAlign w:val="center"/>
            <w:hideMark/>
          </w:tcPr>
          <w:p w14:paraId="5C656101"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384743B9" w14:textId="77777777" w:rsidR="00830245" w:rsidRPr="003A1E72" w:rsidRDefault="00830245" w:rsidP="00830245">
            <w:pPr>
              <w:jc w:val="right"/>
              <w:rPr>
                <w:b/>
                <w:bCs/>
                <w:sz w:val="18"/>
                <w:szCs w:val="18"/>
              </w:rPr>
            </w:pPr>
            <w:r w:rsidRPr="003A1E72">
              <w:rPr>
                <w:b/>
                <w:bCs/>
                <w:sz w:val="18"/>
                <w:szCs w:val="18"/>
              </w:rPr>
              <w:t> </w:t>
            </w:r>
          </w:p>
        </w:tc>
        <w:tc>
          <w:tcPr>
            <w:tcW w:w="915" w:type="dxa"/>
            <w:tcBorders>
              <w:top w:val="nil"/>
              <w:left w:val="nil"/>
              <w:bottom w:val="nil"/>
              <w:right w:val="single" w:sz="8" w:space="0" w:color="800000"/>
            </w:tcBorders>
            <w:shd w:val="clear" w:color="000000" w:fill="FFFFCC"/>
            <w:vAlign w:val="center"/>
            <w:hideMark/>
          </w:tcPr>
          <w:p w14:paraId="20FDDA50"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45ACFB31" w14:textId="77777777" w:rsidR="00830245" w:rsidRPr="003A1E72" w:rsidRDefault="00830245" w:rsidP="00830245">
            <w:pPr>
              <w:jc w:val="right"/>
              <w:rPr>
                <w:sz w:val="18"/>
                <w:szCs w:val="18"/>
              </w:rPr>
            </w:pPr>
            <w:r w:rsidRPr="003A1E72">
              <w:rPr>
                <w:b/>
                <w:bCs/>
                <w:sz w:val="18"/>
                <w:szCs w:val="18"/>
              </w:rPr>
              <w:t> </w:t>
            </w:r>
          </w:p>
        </w:tc>
        <w:tc>
          <w:tcPr>
            <w:tcW w:w="867" w:type="dxa"/>
            <w:tcBorders>
              <w:top w:val="nil"/>
              <w:left w:val="nil"/>
              <w:bottom w:val="nil"/>
              <w:right w:val="single" w:sz="8" w:space="0" w:color="800000"/>
            </w:tcBorders>
            <w:shd w:val="clear" w:color="000000" w:fill="FFFFCC"/>
            <w:vAlign w:val="center"/>
          </w:tcPr>
          <w:p w14:paraId="182D4F42" w14:textId="1C1ED5FC" w:rsidR="00830245" w:rsidRPr="00233B16" w:rsidRDefault="00830245" w:rsidP="00830245">
            <w:pPr>
              <w:tabs>
                <w:tab w:val="left" w:pos="792"/>
              </w:tabs>
              <w:jc w:val="right"/>
              <w:rPr>
                <w:b/>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1D466342" w14:textId="01288AC3" w:rsidR="00830245" w:rsidRPr="00830245" w:rsidRDefault="00830245" w:rsidP="00830245">
            <w:pPr>
              <w:jc w:val="right"/>
              <w:rPr>
                <w:b/>
                <w:bCs/>
                <w:sz w:val="18"/>
                <w:szCs w:val="18"/>
              </w:rPr>
            </w:pPr>
            <w:r>
              <w:rPr>
                <w:b/>
                <w:bCs/>
                <w:sz w:val="18"/>
                <w:szCs w:val="18"/>
              </w:rPr>
              <w:t> </w:t>
            </w:r>
          </w:p>
        </w:tc>
        <w:tc>
          <w:tcPr>
            <w:tcW w:w="1150" w:type="dxa"/>
            <w:tcBorders>
              <w:top w:val="nil"/>
              <w:left w:val="nil"/>
              <w:bottom w:val="nil"/>
              <w:right w:val="single" w:sz="8" w:space="0" w:color="800000"/>
            </w:tcBorders>
            <w:shd w:val="clear" w:color="000000" w:fill="FFFFCC"/>
            <w:vAlign w:val="center"/>
          </w:tcPr>
          <w:p w14:paraId="305A8B02" w14:textId="0B5FFFC8" w:rsidR="00830245" w:rsidRPr="003A1E72"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1C938FC4" w14:textId="60E4642F" w:rsidR="00830245" w:rsidRPr="003A1E72" w:rsidRDefault="00830245" w:rsidP="00830245">
            <w:pPr>
              <w:jc w:val="right"/>
              <w:rPr>
                <w:b/>
                <w:bCs/>
                <w:sz w:val="18"/>
                <w:szCs w:val="18"/>
              </w:rPr>
            </w:pPr>
            <w:r>
              <w:rPr>
                <w:b/>
                <w:bCs/>
                <w:sz w:val="18"/>
                <w:szCs w:val="18"/>
              </w:rPr>
              <w:t> </w:t>
            </w:r>
          </w:p>
        </w:tc>
      </w:tr>
      <w:tr w:rsidR="00830245" w:rsidRPr="00786859" w14:paraId="30B844FC"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49223A8A" w14:textId="77777777" w:rsidR="00830245" w:rsidRPr="003A1E72" w:rsidRDefault="00830245" w:rsidP="00830245">
            <w:pPr>
              <w:rPr>
                <w:b/>
                <w:bCs/>
                <w:sz w:val="18"/>
                <w:szCs w:val="18"/>
              </w:rPr>
            </w:pPr>
            <w:r w:rsidRPr="003A1E72">
              <w:rPr>
                <w:b/>
                <w:bCs/>
                <w:sz w:val="18"/>
                <w:szCs w:val="18"/>
              </w:rPr>
              <w:t>Данъчни приходи</w:t>
            </w:r>
          </w:p>
        </w:tc>
        <w:tc>
          <w:tcPr>
            <w:tcW w:w="983" w:type="dxa"/>
            <w:tcBorders>
              <w:top w:val="nil"/>
              <w:left w:val="nil"/>
              <w:bottom w:val="nil"/>
              <w:right w:val="single" w:sz="8" w:space="0" w:color="800000"/>
            </w:tcBorders>
            <w:shd w:val="clear" w:color="000000" w:fill="FFFFCC"/>
            <w:vAlign w:val="center"/>
            <w:hideMark/>
          </w:tcPr>
          <w:p w14:paraId="412C946D" w14:textId="77777777" w:rsidR="00830245" w:rsidRPr="003A1E72" w:rsidRDefault="00830245" w:rsidP="00830245">
            <w:pPr>
              <w:jc w:val="right"/>
              <w:rPr>
                <w:sz w:val="18"/>
                <w:szCs w:val="18"/>
              </w:rPr>
            </w:pPr>
            <w:r w:rsidRPr="003A1E72">
              <w:rPr>
                <w:b/>
                <w:bCs/>
                <w:sz w:val="18"/>
                <w:szCs w:val="18"/>
              </w:rPr>
              <w:t>35 848,3</w:t>
            </w:r>
          </w:p>
        </w:tc>
        <w:tc>
          <w:tcPr>
            <w:tcW w:w="713" w:type="dxa"/>
            <w:tcBorders>
              <w:top w:val="nil"/>
              <w:left w:val="nil"/>
              <w:bottom w:val="nil"/>
              <w:right w:val="double" w:sz="6" w:space="0" w:color="800000"/>
            </w:tcBorders>
            <w:shd w:val="clear" w:color="000000" w:fill="FFFFCC"/>
            <w:vAlign w:val="center"/>
            <w:hideMark/>
          </w:tcPr>
          <w:p w14:paraId="664700B2" w14:textId="77777777" w:rsidR="00830245" w:rsidRPr="003A1E72" w:rsidRDefault="00830245" w:rsidP="00830245">
            <w:pPr>
              <w:jc w:val="right"/>
              <w:rPr>
                <w:b/>
                <w:bCs/>
                <w:sz w:val="18"/>
                <w:szCs w:val="18"/>
              </w:rPr>
            </w:pPr>
            <w:r w:rsidRPr="003A1E72">
              <w:rPr>
                <w:b/>
                <w:bCs/>
                <w:sz w:val="18"/>
                <w:szCs w:val="18"/>
                <w:lang w:val="en-US"/>
              </w:rPr>
              <w:t>29</w:t>
            </w:r>
            <w:r w:rsidRPr="003A1E72">
              <w:rPr>
                <w:b/>
                <w:bCs/>
                <w:sz w:val="18"/>
                <w:szCs w:val="18"/>
              </w:rPr>
              <w:t>,</w:t>
            </w:r>
            <w:r>
              <w:rPr>
                <w:b/>
                <w:bCs/>
                <w:sz w:val="18"/>
                <w:szCs w:val="18"/>
              </w:rPr>
              <w:t>7</w:t>
            </w:r>
            <w:r w:rsidRPr="003A1E72">
              <w:rPr>
                <w:b/>
                <w:bCs/>
                <w:sz w:val="18"/>
                <w:szCs w:val="18"/>
              </w:rPr>
              <w:t>%</w:t>
            </w:r>
          </w:p>
        </w:tc>
        <w:tc>
          <w:tcPr>
            <w:tcW w:w="915" w:type="dxa"/>
            <w:tcBorders>
              <w:top w:val="nil"/>
              <w:left w:val="nil"/>
              <w:bottom w:val="nil"/>
              <w:right w:val="single" w:sz="8" w:space="0" w:color="800000"/>
            </w:tcBorders>
            <w:shd w:val="clear" w:color="000000" w:fill="FFFFCC"/>
            <w:vAlign w:val="center"/>
            <w:hideMark/>
          </w:tcPr>
          <w:p w14:paraId="4CF2AA78" w14:textId="77777777" w:rsidR="00830245" w:rsidRPr="003A1E72" w:rsidRDefault="00830245" w:rsidP="00830245">
            <w:pPr>
              <w:tabs>
                <w:tab w:val="left" w:pos="792"/>
              </w:tabs>
              <w:jc w:val="right"/>
              <w:rPr>
                <w:sz w:val="18"/>
                <w:szCs w:val="18"/>
              </w:rPr>
            </w:pPr>
            <w:r w:rsidRPr="003A1E72">
              <w:rPr>
                <w:b/>
                <w:bCs/>
                <w:sz w:val="18"/>
                <w:szCs w:val="18"/>
                <w:lang w:val="en-US"/>
              </w:rPr>
              <w:t>40</w:t>
            </w:r>
            <w:r w:rsidRPr="003A1E72">
              <w:rPr>
                <w:b/>
                <w:bCs/>
                <w:sz w:val="18"/>
                <w:szCs w:val="18"/>
              </w:rPr>
              <w:t xml:space="preserve"> </w:t>
            </w:r>
            <w:r w:rsidRPr="003A1E72">
              <w:rPr>
                <w:b/>
                <w:bCs/>
                <w:sz w:val="18"/>
                <w:szCs w:val="18"/>
                <w:lang w:val="en-US"/>
              </w:rPr>
              <w:t>876</w:t>
            </w:r>
            <w:r w:rsidRPr="003A1E72">
              <w:rPr>
                <w:b/>
                <w:bCs/>
                <w:sz w:val="18"/>
                <w:szCs w:val="18"/>
              </w:rPr>
              <w:t>,3</w:t>
            </w:r>
          </w:p>
        </w:tc>
        <w:tc>
          <w:tcPr>
            <w:tcW w:w="713" w:type="dxa"/>
            <w:tcBorders>
              <w:top w:val="nil"/>
              <w:left w:val="nil"/>
              <w:bottom w:val="nil"/>
              <w:right w:val="double" w:sz="6" w:space="0" w:color="800000"/>
            </w:tcBorders>
            <w:shd w:val="clear" w:color="000000" w:fill="FFFFCC"/>
            <w:vAlign w:val="center"/>
            <w:hideMark/>
          </w:tcPr>
          <w:p w14:paraId="14829676" w14:textId="77777777" w:rsidR="00830245" w:rsidRPr="003A1E72" w:rsidRDefault="00830245" w:rsidP="00830245">
            <w:pPr>
              <w:jc w:val="right"/>
              <w:rPr>
                <w:sz w:val="18"/>
                <w:szCs w:val="18"/>
              </w:rPr>
            </w:pPr>
            <w:r>
              <w:rPr>
                <w:b/>
                <w:bCs/>
                <w:sz w:val="18"/>
                <w:szCs w:val="18"/>
              </w:rPr>
              <w:t>29,4</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70D2F0AD" w14:textId="3E2F7C95" w:rsidR="00830245" w:rsidRPr="00233B16" w:rsidRDefault="00830245" w:rsidP="00830245">
            <w:pPr>
              <w:tabs>
                <w:tab w:val="left" w:pos="792"/>
              </w:tabs>
              <w:jc w:val="right"/>
              <w:rPr>
                <w:b/>
                <w:bCs/>
                <w:sz w:val="18"/>
                <w:szCs w:val="18"/>
                <w:lang w:val="en-US"/>
              </w:rPr>
            </w:pPr>
            <w:r>
              <w:rPr>
                <w:b/>
                <w:bCs/>
                <w:sz w:val="18"/>
                <w:szCs w:val="18"/>
              </w:rPr>
              <w:t>46 783,0</w:t>
            </w:r>
          </w:p>
        </w:tc>
        <w:tc>
          <w:tcPr>
            <w:tcW w:w="716" w:type="dxa"/>
            <w:tcBorders>
              <w:top w:val="nil"/>
              <w:left w:val="nil"/>
              <w:bottom w:val="nil"/>
              <w:right w:val="single" w:sz="8" w:space="0" w:color="800000"/>
            </w:tcBorders>
            <w:shd w:val="clear" w:color="000000" w:fill="FFFFCC"/>
            <w:vAlign w:val="center"/>
            <w:hideMark/>
          </w:tcPr>
          <w:p w14:paraId="67680572" w14:textId="337C2E44" w:rsidR="00830245" w:rsidRPr="00830245" w:rsidRDefault="00830245" w:rsidP="00830245">
            <w:pPr>
              <w:jc w:val="right"/>
              <w:rPr>
                <w:b/>
                <w:bCs/>
                <w:sz w:val="18"/>
                <w:szCs w:val="18"/>
              </w:rPr>
            </w:pPr>
            <w:r>
              <w:rPr>
                <w:b/>
                <w:bCs/>
                <w:sz w:val="18"/>
                <w:szCs w:val="18"/>
              </w:rPr>
              <w:t>28,3%</w:t>
            </w:r>
          </w:p>
        </w:tc>
        <w:tc>
          <w:tcPr>
            <w:tcW w:w="1150" w:type="dxa"/>
            <w:tcBorders>
              <w:top w:val="nil"/>
              <w:left w:val="nil"/>
              <w:bottom w:val="nil"/>
              <w:right w:val="single" w:sz="8" w:space="0" w:color="800000"/>
            </w:tcBorders>
            <w:shd w:val="clear" w:color="000000" w:fill="FFFFCC"/>
            <w:vAlign w:val="center"/>
          </w:tcPr>
          <w:p w14:paraId="1CA5D622" w14:textId="48953BA3" w:rsidR="00830245" w:rsidRPr="003A1E72" w:rsidRDefault="00830245" w:rsidP="00830245">
            <w:pPr>
              <w:tabs>
                <w:tab w:val="left" w:pos="792"/>
              </w:tabs>
              <w:jc w:val="right"/>
              <w:rPr>
                <w:b/>
                <w:bCs/>
                <w:sz w:val="18"/>
                <w:szCs w:val="18"/>
              </w:rPr>
            </w:pPr>
            <w:r>
              <w:rPr>
                <w:b/>
                <w:bCs/>
                <w:sz w:val="18"/>
                <w:szCs w:val="18"/>
              </w:rPr>
              <w:t>46 783,0</w:t>
            </w:r>
          </w:p>
        </w:tc>
        <w:tc>
          <w:tcPr>
            <w:tcW w:w="959" w:type="dxa"/>
            <w:tcBorders>
              <w:top w:val="nil"/>
              <w:left w:val="nil"/>
              <w:bottom w:val="nil"/>
              <w:right w:val="single" w:sz="8" w:space="0" w:color="800000"/>
            </w:tcBorders>
            <w:shd w:val="clear" w:color="000000" w:fill="FFFFCC"/>
            <w:vAlign w:val="center"/>
          </w:tcPr>
          <w:p w14:paraId="2114A986" w14:textId="2DD594A8" w:rsidR="00830245" w:rsidRPr="003A1E72" w:rsidRDefault="00830245" w:rsidP="00830245">
            <w:pPr>
              <w:jc w:val="right"/>
              <w:rPr>
                <w:b/>
                <w:bCs/>
                <w:sz w:val="18"/>
                <w:szCs w:val="18"/>
              </w:rPr>
            </w:pPr>
            <w:r>
              <w:rPr>
                <w:b/>
                <w:bCs/>
                <w:sz w:val="18"/>
                <w:szCs w:val="18"/>
              </w:rPr>
              <w:t>28,3%</w:t>
            </w:r>
          </w:p>
        </w:tc>
      </w:tr>
      <w:tr w:rsidR="00830245" w:rsidRPr="00786859" w14:paraId="2CA8A178"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283B4014" w14:textId="77777777" w:rsidR="00830245" w:rsidRPr="003A1E72" w:rsidRDefault="00830245" w:rsidP="00830245">
            <w:pPr>
              <w:rPr>
                <w:b/>
                <w:bCs/>
                <w:sz w:val="18"/>
                <w:szCs w:val="18"/>
              </w:rPr>
            </w:pPr>
            <w:r w:rsidRPr="003A1E72">
              <w:rPr>
                <w:b/>
                <w:bCs/>
                <w:sz w:val="18"/>
                <w:szCs w:val="18"/>
              </w:rPr>
              <w:t> </w:t>
            </w:r>
          </w:p>
        </w:tc>
        <w:tc>
          <w:tcPr>
            <w:tcW w:w="983" w:type="dxa"/>
            <w:tcBorders>
              <w:top w:val="nil"/>
              <w:left w:val="nil"/>
              <w:bottom w:val="nil"/>
              <w:right w:val="single" w:sz="8" w:space="0" w:color="800000"/>
            </w:tcBorders>
            <w:shd w:val="clear" w:color="000000" w:fill="FFFFCC"/>
            <w:vAlign w:val="center"/>
            <w:hideMark/>
          </w:tcPr>
          <w:p w14:paraId="04161284"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5DD0FDDC" w14:textId="77777777" w:rsidR="00830245" w:rsidRPr="003A1E72" w:rsidRDefault="00830245" w:rsidP="00830245">
            <w:pPr>
              <w:jc w:val="right"/>
              <w:rPr>
                <w:b/>
                <w:bCs/>
                <w:sz w:val="18"/>
                <w:szCs w:val="18"/>
              </w:rPr>
            </w:pPr>
            <w:r w:rsidRPr="003A1E72">
              <w:rPr>
                <w:b/>
                <w:bCs/>
                <w:sz w:val="18"/>
                <w:szCs w:val="18"/>
              </w:rPr>
              <w:t> </w:t>
            </w:r>
          </w:p>
        </w:tc>
        <w:tc>
          <w:tcPr>
            <w:tcW w:w="915" w:type="dxa"/>
            <w:tcBorders>
              <w:top w:val="nil"/>
              <w:left w:val="nil"/>
              <w:bottom w:val="nil"/>
              <w:right w:val="single" w:sz="8" w:space="0" w:color="800000"/>
            </w:tcBorders>
            <w:shd w:val="clear" w:color="000000" w:fill="FFFFCC"/>
            <w:vAlign w:val="center"/>
            <w:hideMark/>
          </w:tcPr>
          <w:p w14:paraId="35A7CBB2"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013E3F4A" w14:textId="77777777" w:rsidR="00830245" w:rsidRPr="003A1E72" w:rsidRDefault="00830245" w:rsidP="00830245">
            <w:pPr>
              <w:jc w:val="right"/>
              <w:rPr>
                <w:sz w:val="18"/>
                <w:szCs w:val="18"/>
              </w:rPr>
            </w:pPr>
            <w:r w:rsidRPr="003A1E72">
              <w:rPr>
                <w:b/>
                <w:bCs/>
                <w:sz w:val="18"/>
                <w:szCs w:val="18"/>
              </w:rPr>
              <w:t> </w:t>
            </w:r>
          </w:p>
        </w:tc>
        <w:tc>
          <w:tcPr>
            <w:tcW w:w="867" w:type="dxa"/>
            <w:tcBorders>
              <w:top w:val="nil"/>
              <w:left w:val="nil"/>
              <w:bottom w:val="nil"/>
              <w:right w:val="single" w:sz="8" w:space="0" w:color="800000"/>
            </w:tcBorders>
            <w:shd w:val="clear" w:color="000000" w:fill="FFFFCC"/>
            <w:vAlign w:val="center"/>
          </w:tcPr>
          <w:p w14:paraId="4C0EA245" w14:textId="3ECB394B" w:rsidR="00830245" w:rsidRPr="00233B16" w:rsidRDefault="00830245" w:rsidP="00830245">
            <w:pPr>
              <w:tabs>
                <w:tab w:val="left" w:pos="792"/>
              </w:tabs>
              <w:jc w:val="right"/>
              <w:rPr>
                <w:b/>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6874073C" w14:textId="3319E738" w:rsidR="00830245" w:rsidRPr="00830245" w:rsidRDefault="00830245" w:rsidP="00830245">
            <w:pPr>
              <w:jc w:val="right"/>
              <w:rPr>
                <w:b/>
                <w:bCs/>
                <w:sz w:val="18"/>
                <w:szCs w:val="18"/>
              </w:rPr>
            </w:pPr>
            <w:r>
              <w:rPr>
                <w:b/>
                <w:bCs/>
                <w:sz w:val="18"/>
                <w:szCs w:val="18"/>
              </w:rPr>
              <w:t> </w:t>
            </w:r>
          </w:p>
        </w:tc>
        <w:tc>
          <w:tcPr>
            <w:tcW w:w="1150" w:type="dxa"/>
            <w:tcBorders>
              <w:top w:val="nil"/>
              <w:left w:val="nil"/>
              <w:bottom w:val="nil"/>
              <w:right w:val="single" w:sz="8" w:space="0" w:color="800000"/>
            </w:tcBorders>
            <w:shd w:val="clear" w:color="000000" w:fill="FFFFCC"/>
            <w:vAlign w:val="center"/>
          </w:tcPr>
          <w:p w14:paraId="464669C1" w14:textId="03C82C2F" w:rsidR="00830245" w:rsidRPr="003A1E72"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1653EC9B" w14:textId="74762166" w:rsidR="00830245" w:rsidRPr="003A1E72" w:rsidRDefault="00830245" w:rsidP="00830245">
            <w:pPr>
              <w:jc w:val="right"/>
              <w:rPr>
                <w:b/>
                <w:bCs/>
                <w:sz w:val="18"/>
                <w:szCs w:val="18"/>
              </w:rPr>
            </w:pPr>
            <w:r>
              <w:rPr>
                <w:b/>
                <w:bCs/>
                <w:sz w:val="18"/>
                <w:szCs w:val="18"/>
              </w:rPr>
              <w:t> </w:t>
            </w:r>
          </w:p>
        </w:tc>
      </w:tr>
      <w:tr w:rsidR="00830245" w:rsidRPr="00786859" w14:paraId="460F2199"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5C47440C" w14:textId="77777777" w:rsidR="00830245" w:rsidRPr="003A1E72" w:rsidRDefault="00830245" w:rsidP="00830245">
            <w:pPr>
              <w:rPr>
                <w:b/>
                <w:bCs/>
                <w:sz w:val="18"/>
                <w:szCs w:val="18"/>
              </w:rPr>
            </w:pPr>
            <w:r w:rsidRPr="003A1E72">
              <w:rPr>
                <w:b/>
                <w:bCs/>
                <w:iCs/>
                <w:sz w:val="18"/>
                <w:szCs w:val="18"/>
              </w:rPr>
              <w:t xml:space="preserve">Преки данъци </w:t>
            </w:r>
          </w:p>
        </w:tc>
        <w:tc>
          <w:tcPr>
            <w:tcW w:w="983" w:type="dxa"/>
            <w:tcBorders>
              <w:top w:val="nil"/>
              <w:left w:val="nil"/>
              <w:bottom w:val="nil"/>
              <w:right w:val="single" w:sz="8" w:space="0" w:color="800000"/>
            </w:tcBorders>
            <w:shd w:val="clear" w:color="000000" w:fill="FFFFCC"/>
            <w:vAlign w:val="center"/>
            <w:hideMark/>
          </w:tcPr>
          <w:p w14:paraId="350A56D4" w14:textId="77777777" w:rsidR="00830245" w:rsidRPr="003A1E72" w:rsidRDefault="00830245" w:rsidP="00830245">
            <w:pPr>
              <w:jc w:val="right"/>
              <w:rPr>
                <w:sz w:val="18"/>
                <w:szCs w:val="18"/>
              </w:rPr>
            </w:pPr>
            <w:r w:rsidRPr="003A1E72">
              <w:rPr>
                <w:b/>
                <w:bCs/>
                <w:sz w:val="18"/>
                <w:szCs w:val="18"/>
              </w:rPr>
              <w:t>6 913,6</w:t>
            </w:r>
          </w:p>
        </w:tc>
        <w:tc>
          <w:tcPr>
            <w:tcW w:w="713" w:type="dxa"/>
            <w:tcBorders>
              <w:top w:val="nil"/>
              <w:left w:val="nil"/>
              <w:bottom w:val="nil"/>
              <w:right w:val="double" w:sz="6" w:space="0" w:color="800000"/>
            </w:tcBorders>
            <w:shd w:val="clear" w:color="000000" w:fill="FFFFCC"/>
            <w:vAlign w:val="center"/>
            <w:hideMark/>
          </w:tcPr>
          <w:p w14:paraId="68B1CE04" w14:textId="77777777" w:rsidR="00830245" w:rsidRPr="003A1E72" w:rsidRDefault="00830245" w:rsidP="00830245">
            <w:pPr>
              <w:jc w:val="right"/>
              <w:rPr>
                <w:b/>
                <w:bCs/>
                <w:sz w:val="18"/>
                <w:szCs w:val="18"/>
              </w:rPr>
            </w:pPr>
            <w:r w:rsidRPr="003A1E72">
              <w:rPr>
                <w:b/>
                <w:bCs/>
                <w:sz w:val="18"/>
                <w:szCs w:val="18"/>
              </w:rPr>
              <w:t>5,</w:t>
            </w:r>
            <w:r>
              <w:rPr>
                <w:b/>
                <w:bCs/>
                <w:sz w:val="18"/>
                <w:szCs w:val="18"/>
              </w:rPr>
              <w:t>7</w:t>
            </w:r>
            <w:r w:rsidRPr="003A1E72">
              <w:rPr>
                <w:b/>
                <w:bCs/>
                <w:sz w:val="18"/>
                <w:szCs w:val="18"/>
              </w:rPr>
              <w:t>%</w:t>
            </w:r>
          </w:p>
        </w:tc>
        <w:tc>
          <w:tcPr>
            <w:tcW w:w="915" w:type="dxa"/>
            <w:tcBorders>
              <w:top w:val="nil"/>
              <w:left w:val="nil"/>
              <w:bottom w:val="nil"/>
              <w:right w:val="single" w:sz="8" w:space="0" w:color="800000"/>
            </w:tcBorders>
            <w:shd w:val="clear" w:color="000000" w:fill="FFFFCC"/>
            <w:vAlign w:val="center"/>
            <w:hideMark/>
          </w:tcPr>
          <w:p w14:paraId="083968D7" w14:textId="77777777" w:rsidR="00830245" w:rsidRPr="003A1E72" w:rsidRDefault="00830245" w:rsidP="00830245">
            <w:pPr>
              <w:tabs>
                <w:tab w:val="left" w:pos="792"/>
              </w:tabs>
              <w:jc w:val="right"/>
              <w:rPr>
                <w:sz w:val="18"/>
                <w:szCs w:val="18"/>
              </w:rPr>
            </w:pPr>
            <w:r w:rsidRPr="003A1E72">
              <w:rPr>
                <w:b/>
                <w:bCs/>
                <w:sz w:val="18"/>
                <w:szCs w:val="18"/>
                <w:lang w:val="en-US"/>
              </w:rPr>
              <w:t>8</w:t>
            </w:r>
            <w:r w:rsidRPr="003A1E72">
              <w:rPr>
                <w:b/>
                <w:bCs/>
                <w:sz w:val="18"/>
                <w:szCs w:val="18"/>
              </w:rPr>
              <w:t xml:space="preserve"> </w:t>
            </w:r>
            <w:r w:rsidRPr="003A1E72">
              <w:rPr>
                <w:b/>
                <w:bCs/>
                <w:sz w:val="18"/>
                <w:szCs w:val="18"/>
                <w:lang w:val="en-US"/>
              </w:rPr>
              <w:t>258</w:t>
            </w:r>
            <w:r w:rsidRPr="003A1E72">
              <w:rPr>
                <w:b/>
                <w:bCs/>
                <w:sz w:val="18"/>
                <w:szCs w:val="18"/>
              </w:rPr>
              <w:t>,</w:t>
            </w:r>
            <w:r w:rsidRPr="003A1E72">
              <w:rPr>
                <w:b/>
                <w:bCs/>
                <w:sz w:val="18"/>
                <w:szCs w:val="18"/>
                <w:lang w:val="en-US"/>
              </w:rPr>
              <w:t>4</w:t>
            </w:r>
          </w:p>
        </w:tc>
        <w:tc>
          <w:tcPr>
            <w:tcW w:w="713" w:type="dxa"/>
            <w:tcBorders>
              <w:top w:val="nil"/>
              <w:left w:val="nil"/>
              <w:bottom w:val="nil"/>
              <w:right w:val="double" w:sz="6" w:space="0" w:color="800000"/>
            </w:tcBorders>
            <w:shd w:val="clear" w:color="000000" w:fill="FFFFCC"/>
            <w:vAlign w:val="center"/>
            <w:hideMark/>
          </w:tcPr>
          <w:p w14:paraId="1D77BD79" w14:textId="77777777" w:rsidR="00830245" w:rsidRPr="003A1E72" w:rsidRDefault="00830245" w:rsidP="00830245">
            <w:pPr>
              <w:jc w:val="right"/>
              <w:rPr>
                <w:sz w:val="18"/>
                <w:szCs w:val="18"/>
              </w:rPr>
            </w:pPr>
            <w:r>
              <w:rPr>
                <w:b/>
                <w:bCs/>
                <w:sz w:val="18"/>
                <w:szCs w:val="18"/>
              </w:rPr>
              <w:t>5,9</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15AC9BBC" w14:textId="64BF6F93" w:rsidR="00830245" w:rsidRPr="00233B16" w:rsidRDefault="00830245" w:rsidP="00830245">
            <w:pPr>
              <w:tabs>
                <w:tab w:val="left" w:pos="792"/>
              </w:tabs>
              <w:jc w:val="right"/>
              <w:rPr>
                <w:b/>
                <w:bCs/>
                <w:sz w:val="18"/>
                <w:szCs w:val="18"/>
                <w:lang w:val="en-US"/>
              </w:rPr>
            </w:pPr>
            <w:r>
              <w:rPr>
                <w:b/>
                <w:bCs/>
                <w:sz w:val="18"/>
                <w:szCs w:val="18"/>
              </w:rPr>
              <w:t>9 923,8</w:t>
            </w:r>
          </w:p>
        </w:tc>
        <w:tc>
          <w:tcPr>
            <w:tcW w:w="716" w:type="dxa"/>
            <w:tcBorders>
              <w:top w:val="nil"/>
              <w:left w:val="nil"/>
              <w:bottom w:val="nil"/>
              <w:right w:val="single" w:sz="8" w:space="0" w:color="800000"/>
            </w:tcBorders>
            <w:shd w:val="clear" w:color="000000" w:fill="FFFFCC"/>
            <w:vAlign w:val="center"/>
            <w:hideMark/>
          </w:tcPr>
          <w:p w14:paraId="19DF276F" w14:textId="6DD17DD4" w:rsidR="00830245" w:rsidRPr="00830245" w:rsidRDefault="00830245" w:rsidP="00830245">
            <w:pPr>
              <w:jc w:val="right"/>
              <w:rPr>
                <w:b/>
                <w:bCs/>
                <w:sz w:val="18"/>
                <w:szCs w:val="18"/>
              </w:rPr>
            </w:pPr>
            <w:r>
              <w:rPr>
                <w:b/>
                <w:bCs/>
                <w:sz w:val="18"/>
                <w:szCs w:val="18"/>
              </w:rPr>
              <w:t>6,0%</w:t>
            </w:r>
          </w:p>
        </w:tc>
        <w:tc>
          <w:tcPr>
            <w:tcW w:w="1150" w:type="dxa"/>
            <w:tcBorders>
              <w:top w:val="nil"/>
              <w:left w:val="nil"/>
              <w:bottom w:val="nil"/>
              <w:right w:val="single" w:sz="8" w:space="0" w:color="800000"/>
            </w:tcBorders>
            <w:shd w:val="clear" w:color="000000" w:fill="FFFFCC"/>
            <w:vAlign w:val="center"/>
          </w:tcPr>
          <w:p w14:paraId="20F88047" w14:textId="408123F6" w:rsidR="00830245" w:rsidRPr="003A1E72" w:rsidRDefault="00830245" w:rsidP="00830245">
            <w:pPr>
              <w:tabs>
                <w:tab w:val="left" w:pos="792"/>
              </w:tabs>
              <w:jc w:val="right"/>
              <w:rPr>
                <w:b/>
                <w:bCs/>
                <w:sz w:val="18"/>
                <w:szCs w:val="18"/>
              </w:rPr>
            </w:pPr>
            <w:r>
              <w:rPr>
                <w:b/>
                <w:bCs/>
                <w:sz w:val="18"/>
                <w:szCs w:val="18"/>
              </w:rPr>
              <w:t>9 923,8</w:t>
            </w:r>
          </w:p>
        </w:tc>
        <w:tc>
          <w:tcPr>
            <w:tcW w:w="959" w:type="dxa"/>
            <w:tcBorders>
              <w:top w:val="nil"/>
              <w:left w:val="nil"/>
              <w:bottom w:val="nil"/>
              <w:right w:val="single" w:sz="8" w:space="0" w:color="800000"/>
            </w:tcBorders>
            <w:shd w:val="clear" w:color="000000" w:fill="FFFFCC"/>
            <w:vAlign w:val="center"/>
          </w:tcPr>
          <w:p w14:paraId="785DEB0C" w14:textId="7419F4FD" w:rsidR="00830245" w:rsidRPr="003A1E72" w:rsidRDefault="00830245" w:rsidP="00830245">
            <w:pPr>
              <w:jc w:val="right"/>
              <w:rPr>
                <w:b/>
                <w:bCs/>
                <w:sz w:val="18"/>
                <w:szCs w:val="18"/>
              </w:rPr>
            </w:pPr>
            <w:r>
              <w:rPr>
                <w:b/>
                <w:bCs/>
                <w:sz w:val="18"/>
                <w:szCs w:val="18"/>
              </w:rPr>
              <w:t>6,0%</w:t>
            </w:r>
          </w:p>
        </w:tc>
      </w:tr>
      <w:tr w:rsidR="00830245" w:rsidRPr="00786859" w14:paraId="3D58D470"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4D88B656" w14:textId="77777777" w:rsidR="00830245" w:rsidRPr="003A1E72" w:rsidRDefault="00830245" w:rsidP="00830245">
            <w:pPr>
              <w:rPr>
                <w:sz w:val="18"/>
                <w:szCs w:val="18"/>
              </w:rPr>
            </w:pPr>
            <w:r w:rsidRPr="003A1E72">
              <w:rPr>
                <w:sz w:val="18"/>
                <w:szCs w:val="18"/>
              </w:rPr>
              <w:t xml:space="preserve">Корпоративни данъци </w:t>
            </w:r>
          </w:p>
        </w:tc>
        <w:tc>
          <w:tcPr>
            <w:tcW w:w="983" w:type="dxa"/>
            <w:tcBorders>
              <w:top w:val="nil"/>
              <w:left w:val="nil"/>
              <w:bottom w:val="nil"/>
              <w:right w:val="single" w:sz="8" w:space="0" w:color="800000"/>
            </w:tcBorders>
            <w:shd w:val="clear" w:color="000000" w:fill="FFFFCC"/>
            <w:vAlign w:val="center"/>
            <w:hideMark/>
          </w:tcPr>
          <w:p w14:paraId="10C7CD39" w14:textId="77777777" w:rsidR="00830245" w:rsidRPr="003A1E72" w:rsidRDefault="00830245" w:rsidP="00830245">
            <w:pPr>
              <w:jc w:val="right"/>
              <w:rPr>
                <w:sz w:val="18"/>
                <w:szCs w:val="18"/>
              </w:rPr>
            </w:pPr>
            <w:r w:rsidRPr="003A1E72">
              <w:rPr>
                <w:sz w:val="18"/>
                <w:szCs w:val="18"/>
              </w:rPr>
              <w:t>2 714,9</w:t>
            </w:r>
          </w:p>
        </w:tc>
        <w:tc>
          <w:tcPr>
            <w:tcW w:w="713" w:type="dxa"/>
            <w:tcBorders>
              <w:top w:val="nil"/>
              <w:left w:val="nil"/>
              <w:bottom w:val="nil"/>
              <w:right w:val="double" w:sz="6" w:space="0" w:color="800000"/>
            </w:tcBorders>
            <w:shd w:val="clear" w:color="000000" w:fill="FFFFCC"/>
            <w:vAlign w:val="center"/>
            <w:hideMark/>
          </w:tcPr>
          <w:p w14:paraId="5C18BE3A" w14:textId="77777777" w:rsidR="00830245" w:rsidRPr="003A1E72" w:rsidRDefault="00830245" w:rsidP="00830245">
            <w:pPr>
              <w:jc w:val="right"/>
              <w:rPr>
                <w:bCs/>
                <w:sz w:val="18"/>
                <w:szCs w:val="18"/>
              </w:rPr>
            </w:pPr>
            <w:r w:rsidRPr="003A1E72">
              <w:rPr>
                <w:sz w:val="18"/>
                <w:szCs w:val="18"/>
              </w:rPr>
              <w:t>2,3%</w:t>
            </w:r>
          </w:p>
        </w:tc>
        <w:tc>
          <w:tcPr>
            <w:tcW w:w="915" w:type="dxa"/>
            <w:tcBorders>
              <w:top w:val="nil"/>
              <w:left w:val="nil"/>
              <w:bottom w:val="nil"/>
              <w:right w:val="single" w:sz="8" w:space="0" w:color="800000"/>
            </w:tcBorders>
            <w:shd w:val="clear" w:color="000000" w:fill="FFFFCC"/>
            <w:vAlign w:val="center"/>
            <w:hideMark/>
          </w:tcPr>
          <w:p w14:paraId="3C468B97" w14:textId="77777777" w:rsidR="00830245" w:rsidRPr="003A1E72" w:rsidRDefault="00830245" w:rsidP="00830245">
            <w:pPr>
              <w:tabs>
                <w:tab w:val="left" w:pos="792"/>
              </w:tabs>
              <w:jc w:val="right"/>
              <w:rPr>
                <w:sz w:val="18"/>
                <w:szCs w:val="18"/>
              </w:rPr>
            </w:pPr>
            <w:r w:rsidRPr="003A1E72">
              <w:rPr>
                <w:sz w:val="18"/>
                <w:szCs w:val="18"/>
                <w:lang w:val="en-US"/>
              </w:rPr>
              <w:t>3 406</w:t>
            </w:r>
            <w:r w:rsidRPr="003A1E72">
              <w:rPr>
                <w:sz w:val="18"/>
                <w:szCs w:val="18"/>
              </w:rPr>
              <w:t>,4</w:t>
            </w:r>
          </w:p>
        </w:tc>
        <w:tc>
          <w:tcPr>
            <w:tcW w:w="713" w:type="dxa"/>
            <w:tcBorders>
              <w:top w:val="nil"/>
              <w:left w:val="nil"/>
              <w:bottom w:val="nil"/>
              <w:right w:val="double" w:sz="6" w:space="0" w:color="800000"/>
            </w:tcBorders>
            <w:shd w:val="clear" w:color="000000" w:fill="FFFFCC"/>
            <w:vAlign w:val="center"/>
            <w:hideMark/>
          </w:tcPr>
          <w:p w14:paraId="7965F57F" w14:textId="77777777" w:rsidR="00830245" w:rsidRPr="003A1E72" w:rsidRDefault="00830245" w:rsidP="00830245">
            <w:pPr>
              <w:jc w:val="right"/>
              <w:rPr>
                <w:sz w:val="18"/>
                <w:szCs w:val="18"/>
              </w:rPr>
            </w:pPr>
            <w:r w:rsidRPr="003A1E72">
              <w:rPr>
                <w:sz w:val="18"/>
                <w:szCs w:val="18"/>
              </w:rPr>
              <w:t>2,</w:t>
            </w:r>
            <w:r>
              <w:rPr>
                <w:sz w:val="18"/>
                <w:szCs w:val="18"/>
              </w:rPr>
              <w:t>5</w:t>
            </w:r>
            <w:r w:rsidRPr="003A1E72">
              <w:rPr>
                <w:sz w:val="18"/>
                <w:szCs w:val="18"/>
              </w:rPr>
              <w:t>%</w:t>
            </w:r>
          </w:p>
        </w:tc>
        <w:tc>
          <w:tcPr>
            <w:tcW w:w="867" w:type="dxa"/>
            <w:tcBorders>
              <w:top w:val="nil"/>
              <w:left w:val="nil"/>
              <w:bottom w:val="nil"/>
              <w:right w:val="single" w:sz="8" w:space="0" w:color="800000"/>
            </w:tcBorders>
            <w:shd w:val="clear" w:color="000000" w:fill="FFFFCC"/>
            <w:vAlign w:val="center"/>
          </w:tcPr>
          <w:p w14:paraId="5787FA94" w14:textId="67E9D7D8" w:rsidR="00830245" w:rsidRPr="00233B16" w:rsidRDefault="00830245" w:rsidP="00830245">
            <w:pPr>
              <w:tabs>
                <w:tab w:val="left" w:pos="792"/>
              </w:tabs>
              <w:jc w:val="right"/>
              <w:rPr>
                <w:bCs/>
                <w:sz w:val="18"/>
                <w:szCs w:val="18"/>
                <w:lang w:val="en-US"/>
              </w:rPr>
            </w:pPr>
            <w:r>
              <w:rPr>
                <w:sz w:val="18"/>
                <w:szCs w:val="18"/>
              </w:rPr>
              <w:t>4 592,6</w:t>
            </w:r>
          </w:p>
        </w:tc>
        <w:tc>
          <w:tcPr>
            <w:tcW w:w="716" w:type="dxa"/>
            <w:tcBorders>
              <w:top w:val="nil"/>
              <w:left w:val="nil"/>
              <w:bottom w:val="nil"/>
              <w:right w:val="single" w:sz="8" w:space="0" w:color="800000"/>
            </w:tcBorders>
            <w:shd w:val="clear" w:color="000000" w:fill="FFFFCC"/>
            <w:vAlign w:val="center"/>
            <w:hideMark/>
          </w:tcPr>
          <w:p w14:paraId="16A4D9E8" w14:textId="64C8CEA2" w:rsidR="00830245" w:rsidRPr="00830245" w:rsidRDefault="00830245" w:rsidP="00830245">
            <w:pPr>
              <w:jc w:val="right"/>
              <w:rPr>
                <w:b/>
                <w:bCs/>
                <w:sz w:val="18"/>
                <w:szCs w:val="18"/>
              </w:rPr>
            </w:pPr>
            <w:r w:rsidRPr="00830245">
              <w:rPr>
                <w:b/>
                <w:bCs/>
                <w:sz w:val="18"/>
                <w:szCs w:val="18"/>
              </w:rPr>
              <w:t>2,8%</w:t>
            </w:r>
          </w:p>
        </w:tc>
        <w:tc>
          <w:tcPr>
            <w:tcW w:w="1150" w:type="dxa"/>
            <w:tcBorders>
              <w:top w:val="nil"/>
              <w:left w:val="nil"/>
              <w:bottom w:val="nil"/>
              <w:right w:val="single" w:sz="8" w:space="0" w:color="800000"/>
            </w:tcBorders>
            <w:shd w:val="clear" w:color="000000" w:fill="FFFFCC"/>
            <w:vAlign w:val="center"/>
          </w:tcPr>
          <w:p w14:paraId="4D486076" w14:textId="11513160" w:rsidR="00830245" w:rsidRPr="00830245" w:rsidRDefault="00830245" w:rsidP="00830245">
            <w:pPr>
              <w:tabs>
                <w:tab w:val="left" w:pos="792"/>
              </w:tabs>
              <w:jc w:val="right"/>
              <w:rPr>
                <w:b/>
                <w:bCs/>
                <w:sz w:val="18"/>
                <w:szCs w:val="18"/>
              </w:rPr>
            </w:pPr>
            <w:r w:rsidRPr="00830245">
              <w:rPr>
                <w:b/>
                <w:bCs/>
                <w:sz w:val="18"/>
                <w:szCs w:val="18"/>
              </w:rPr>
              <w:t>4 592,6</w:t>
            </w:r>
          </w:p>
        </w:tc>
        <w:tc>
          <w:tcPr>
            <w:tcW w:w="959" w:type="dxa"/>
            <w:tcBorders>
              <w:top w:val="nil"/>
              <w:left w:val="nil"/>
              <w:bottom w:val="nil"/>
              <w:right w:val="single" w:sz="8" w:space="0" w:color="800000"/>
            </w:tcBorders>
            <w:shd w:val="clear" w:color="000000" w:fill="FFFFCC"/>
            <w:vAlign w:val="center"/>
          </w:tcPr>
          <w:p w14:paraId="6CA97E22" w14:textId="1582FE71" w:rsidR="00830245" w:rsidRPr="003A1E72" w:rsidRDefault="00830245" w:rsidP="00830245">
            <w:pPr>
              <w:jc w:val="right"/>
              <w:rPr>
                <w:sz w:val="18"/>
                <w:szCs w:val="18"/>
              </w:rPr>
            </w:pPr>
            <w:r>
              <w:rPr>
                <w:sz w:val="18"/>
                <w:szCs w:val="18"/>
              </w:rPr>
              <w:t>2,8%</w:t>
            </w:r>
          </w:p>
        </w:tc>
      </w:tr>
      <w:tr w:rsidR="00830245" w:rsidRPr="00786859" w14:paraId="5B936D40"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13DAB0B8" w14:textId="77777777" w:rsidR="00830245" w:rsidRPr="003A1E72" w:rsidRDefault="00830245" w:rsidP="00830245">
            <w:pPr>
              <w:rPr>
                <w:b/>
                <w:bCs/>
                <w:sz w:val="18"/>
                <w:szCs w:val="18"/>
              </w:rPr>
            </w:pPr>
            <w:r w:rsidRPr="003A1E72">
              <w:rPr>
                <w:b/>
                <w:bCs/>
                <w:sz w:val="18"/>
                <w:szCs w:val="18"/>
              </w:rPr>
              <w:t xml:space="preserve">          - </w:t>
            </w:r>
            <w:r w:rsidRPr="003A1E72">
              <w:rPr>
                <w:sz w:val="18"/>
                <w:szCs w:val="18"/>
              </w:rPr>
              <w:t>от нефин. предприятия *</w:t>
            </w:r>
          </w:p>
        </w:tc>
        <w:tc>
          <w:tcPr>
            <w:tcW w:w="983" w:type="dxa"/>
            <w:tcBorders>
              <w:top w:val="nil"/>
              <w:left w:val="nil"/>
              <w:bottom w:val="nil"/>
              <w:right w:val="single" w:sz="8" w:space="0" w:color="800000"/>
            </w:tcBorders>
            <w:shd w:val="clear" w:color="000000" w:fill="FFFFCC"/>
            <w:vAlign w:val="center"/>
            <w:hideMark/>
          </w:tcPr>
          <w:p w14:paraId="47BA4920" w14:textId="77777777" w:rsidR="00830245" w:rsidRPr="003A1E72" w:rsidRDefault="00830245" w:rsidP="00830245">
            <w:pPr>
              <w:jc w:val="right"/>
              <w:rPr>
                <w:sz w:val="18"/>
                <w:szCs w:val="18"/>
              </w:rPr>
            </w:pPr>
            <w:r w:rsidRPr="003A1E72">
              <w:rPr>
                <w:sz w:val="18"/>
                <w:szCs w:val="18"/>
              </w:rPr>
              <w:t>2 517,1</w:t>
            </w:r>
          </w:p>
        </w:tc>
        <w:tc>
          <w:tcPr>
            <w:tcW w:w="713" w:type="dxa"/>
            <w:tcBorders>
              <w:top w:val="nil"/>
              <w:left w:val="nil"/>
              <w:bottom w:val="nil"/>
              <w:right w:val="double" w:sz="6" w:space="0" w:color="800000"/>
            </w:tcBorders>
            <w:shd w:val="clear" w:color="000000" w:fill="FFFFCC"/>
            <w:vAlign w:val="center"/>
            <w:hideMark/>
          </w:tcPr>
          <w:p w14:paraId="50943900" w14:textId="77777777" w:rsidR="00830245" w:rsidRPr="003A1E72" w:rsidRDefault="00830245" w:rsidP="00830245">
            <w:pPr>
              <w:jc w:val="right"/>
              <w:rPr>
                <w:bCs/>
                <w:sz w:val="18"/>
                <w:szCs w:val="18"/>
              </w:rPr>
            </w:pPr>
            <w:r w:rsidRPr="003A1E72">
              <w:rPr>
                <w:sz w:val="18"/>
                <w:szCs w:val="18"/>
              </w:rPr>
              <w:t>2,1%</w:t>
            </w:r>
          </w:p>
        </w:tc>
        <w:tc>
          <w:tcPr>
            <w:tcW w:w="915" w:type="dxa"/>
            <w:tcBorders>
              <w:top w:val="nil"/>
              <w:left w:val="nil"/>
              <w:bottom w:val="nil"/>
              <w:right w:val="single" w:sz="8" w:space="0" w:color="800000"/>
            </w:tcBorders>
            <w:shd w:val="clear" w:color="000000" w:fill="FFFFCC"/>
            <w:vAlign w:val="center"/>
            <w:hideMark/>
          </w:tcPr>
          <w:p w14:paraId="615B8FD0" w14:textId="77777777" w:rsidR="00830245" w:rsidRPr="003A1E72" w:rsidRDefault="00830245" w:rsidP="00830245">
            <w:pPr>
              <w:tabs>
                <w:tab w:val="left" w:pos="792"/>
              </w:tabs>
              <w:jc w:val="right"/>
              <w:rPr>
                <w:sz w:val="18"/>
                <w:szCs w:val="18"/>
              </w:rPr>
            </w:pPr>
            <w:r w:rsidRPr="003A1E72">
              <w:rPr>
                <w:sz w:val="18"/>
                <w:szCs w:val="18"/>
              </w:rPr>
              <w:t>3 195,2</w:t>
            </w:r>
          </w:p>
        </w:tc>
        <w:tc>
          <w:tcPr>
            <w:tcW w:w="713" w:type="dxa"/>
            <w:tcBorders>
              <w:top w:val="nil"/>
              <w:left w:val="nil"/>
              <w:bottom w:val="nil"/>
              <w:right w:val="double" w:sz="6" w:space="0" w:color="800000"/>
            </w:tcBorders>
            <w:shd w:val="clear" w:color="000000" w:fill="FFFFCC"/>
            <w:vAlign w:val="center"/>
            <w:hideMark/>
          </w:tcPr>
          <w:p w14:paraId="10A8FE19" w14:textId="77777777" w:rsidR="00830245" w:rsidRPr="003A1E72" w:rsidRDefault="00830245" w:rsidP="00830245">
            <w:pPr>
              <w:ind w:left="-438" w:firstLine="438"/>
              <w:jc w:val="right"/>
              <w:rPr>
                <w:sz w:val="18"/>
                <w:szCs w:val="18"/>
              </w:rPr>
            </w:pPr>
            <w:r w:rsidRPr="003A1E72">
              <w:rPr>
                <w:sz w:val="18"/>
                <w:szCs w:val="18"/>
              </w:rPr>
              <w:t>2,</w:t>
            </w:r>
            <w:r>
              <w:rPr>
                <w:sz w:val="18"/>
                <w:szCs w:val="18"/>
              </w:rPr>
              <w:t>3</w:t>
            </w:r>
            <w:r w:rsidRPr="003A1E72">
              <w:rPr>
                <w:sz w:val="18"/>
                <w:szCs w:val="18"/>
              </w:rPr>
              <w:t>%</w:t>
            </w:r>
          </w:p>
        </w:tc>
        <w:tc>
          <w:tcPr>
            <w:tcW w:w="867" w:type="dxa"/>
            <w:tcBorders>
              <w:top w:val="nil"/>
              <w:left w:val="nil"/>
              <w:bottom w:val="nil"/>
              <w:right w:val="single" w:sz="8" w:space="0" w:color="800000"/>
            </w:tcBorders>
            <w:shd w:val="clear" w:color="000000" w:fill="FFFFCC"/>
            <w:vAlign w:val="center"/>
          </w:tcPr>
          <w:p w14:paraId="3E28CF43" w14:textId="56E27013" w:rsidR="00830245" w:rsidRPr="00233B16" w:rsidRDefault="00830245" w:rsidP="00830245">
            <w:pPr>
              <w:tabs>
                <w:tab w:val="left" w:pos="792"/>
              </w:tabs>
              <w:jc w:val="right"/>
              <w:rPr>
                <w:bCs/>
                <w:sz w:val="18"/>
                <w:szCs w:val="18"/>
                <w:lang w:val="en-US"/>
              </w:rPr>
            </w:pPr>
            <w:r>
              <w:rPr>
                <w:sz w:val="18"/>
                <w:szCs w:val="18"/>
              </w:rPr>
              <w:t>4 373,8</w:t>
            </w:r>
          </w:p>
        </w:tc>
        <w:tc>
          <w:tcPr>
            <w:tcW w:w="716" w:type="dxa"/>
            <w:tcBorders>
              <w:top w:val="nil"/>
              <w:left w:val="nil"/>
              <w:bottom w:val="nil"/>
              <w:right w:val="single" w:sz="8" w:space="0" w:color="800000"/>
            </w:tcBorders>
            <w:shd w:val="clear" w:color="000000" w:fill="FFFFCC"/>
            <w:vAlign w:val="center"/>
            <w:hideMark/>
          </w:tcPr>
          <w:p w14:paraId="3EA41070" w14:textId="7A162942" w:rsidR="00830245" w:rsidRPr="00830245" w:rsidRDefault="00830245" w:rsidP="00830245">
            <w:pPr>
              <w:jc w:val="right"/>
              <w:rPr>
                <w:b/>
                <w:bCs/>
                <w:sz w:val="18"/>
                <w:szCs w:val="18"/>
              </w:rPr>
            </w:pPr>
            <w:r w:rsidRPr="00830245">
              <w:rPr>
                <w:b/>
                <w:bCs/>
                <w:sz w:val="18"/>
                <w:szCs w:val="18"/>
              </w:rPr>
              <w:t>2,6%</w:t>
            </w:r>
          </w:p>
        </w:tc>
        <w:tc>
          <w:tcPr>
            <w:tcW w:w="1150" w:type="dxa"/>
            <w:tcBorders>
              <w:top w:val="nil"/>
              <w:left w:val="nil"/>
              <w:bottom w:val="nil"/>
              <w:right w:val="single" w:sz="8" w:space="0" w:color="800000"/>
            </w:tcBorders>
            <w:shd w:val="clear" w:color="000000" w:fill="FFFFCC"/>
            <w:vAlign w:val="center"/>
          </w:tcPr>
          <w:p w14:paraId="37175D06" w14:textId="264C8271" w:rsidR="00830245" w:rsidRPr="00830245" w:rsidRDefault="00830245" w:rsidP="00830245">
            <w:pPr>
              <w:tabs>
                <w:tab w:val="left" w:pos="792"/>
              </w:tabs>
              <w:jc w:val="right"/>
              <w:rPr>
                <w:b/>
                <w:bCs/>
                <w:sz w:val="18"/>
                <w:szCs w:val="18"/>
              </w:rPr>
            </w:pPr>
            <w:r w:rsidRPr="00830245">
              <w:rPr>
                <w:b/>
                <w:bCs/>
                <w:sz w:val="18"/>
                <w:szCs w:val="18"/>
              </w:rPr>
              <w:t>4 373,8</w:t>
            </w:r>
          </w:p>
        </w:tc>
        <w:tc>
          <w:tcPr>
            <w:tcW w:w="959" w:type="dxa"/>
            <w:tcBorders>
              <w:top w:val="nil"/>
              <w:left w:val="nil"/>
              <w:bottom w:val="nil"/>
              <w:right w:val="single" w:sz="8" w:space="0" w:color="800000"/>
            </w:tcBorders>
            <w:shd w:val="clear" w:color="000000" w:fill="FFFFCC"/>
            <w:vAlign w:val="center"/>
          </w:tcPr>
          <w:p w14:paraId="16587BD6" w14:textId="6C919870" w:rsidR="00830245" w:rsidRPr="003A1E72" w:rsidRDefault="00830245" w:rsidP="00830245">
            <w:pPr>
              <w:jc w:val="right"/>
              <w:rPr>
                <w:sz w:val="18"/>
                <w:szCs w:val="18"/>
              </w:rPr>
            </w:pPr>
            <w:r>
              <w:rPr>
                <w:sz w:val="18"/>
                <w:szCs w:val="18"/>
              </w:rPr>
              <w:t>2,6%</w:t>
            </w:r>
          </w:p>
        </w:tc>
      </w:tr>
      <w:tr w:rsidR="00830245" w:rsidRPr="00786859" w14:paraId="2F07C83C"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41D3060B" w14:textId="77777777" w:rsidR="00830245" w:rsidRPr="003A1E72" w:rsidRDefault="00830245" w:rsidP="00830245">
            <w:pPr>
              <w:rPr>
                <w:sz w:val="18"/>
                <w:szCs w:val="18"/>
              </w:rPr>
            </w:pPr>
            <w:r w:rsidRPr="003A1E72">
              <w:rPr>
                <w:sz w:val="18"/>
                <w:szCs w:val="18"/>
              </w:rPr>
              <w:t xml:space="preserve">         - финансов сектор</w:t>
            </w:r>
          </w:p>
        </w:tc>
        <w:tc>
          <w:tcPr>
            <w:tcW w:w="983" w:type="dxa"/>
            <w:tcBorders>
              <w:top w:val="nil"/>
              <w:left w:val="nil"/>
              <w:bottom w:val="nil"/>
              <w:right w:val="single" w:sz="8" w:space="0" w:color="800000"/>
            </w:tcBorders>
            <w:shd w:val="clear" w:color="000000" w:fill="FFFFCC"/>
            <w:vAlign w:val="center"/>
            <w:hideMark/>
          </w:tcPr>
          <w:p w14:paraId="579BAD03" w14:textId="77777777" w:rsidR="00830245" w:rsidRPr="003A1E72" w:rsidRDefault="00830245" w:rsidP="00830245">
            <w:pPr>
              <w:jc w:val="right"/>
              <w:rPr>
                <w:sz w:val="18"/>
                <w:szCs w:val="18"/>
              </w:rPr>
            </w:pPr>
            <w:r w:rsidRPr="003A1E72">
              <w:rPr>
                <w:sz w:val="18"/>
                <w:szCs w:val="18"/>
              </w:rPr>
              <w:t>197,8</w:t>
            </w:r>
          </w:p>
        </w:tc>
        <w:tc>
          <w:tcPr>
            <w:tcW w:w="713" w:type="dxa"/>
            <w:tcBorders>
              <w:top w:val="nil"/>
              <w:left w:val="nil"/>
              <w:bottom w:val="nil"/>
              <w:right w:val="double" w:sz="6" w:space="0" w:color="800000"/>
            </w:tcBorders>
            <w:shd w:val="clear" w:color="000000" w:fill="FFFFCC"/>
            <w:vAlign w:val="center"/>
            <w:hideMark/>
          </w:tcPr>
          <w:p w14:paraId="0A491DD7" w14:textId="77777777" w:rsidR="00830245" w:rsidRPr="003A1E72" w:rsidRDefault="00830245" w:rsidP="00830245">
            <w:pPr>
              <w:jc w:val="right"/>
              <w:rPr>
                <w:bCs/>
                <w:sz w:val="18"/>
                <w:szCs w:val="18"/>
              </w:rPr>
            </w:pPr>
            <w:r w:rsidRPr="003A1E72">
              <w:rPr>
                <w:sz w:val="18"/>
                <w:szCs w:val="18"/>
              </w:rPr>
              <w:t>0,2%</w:t>
            </w:r>
          </w:p>
        </w:tc>
        <w:tc>
          <w:tcPr>
            <w:tcW w:w="915" w:type="dxa"/>
            <w:tcBorders>
              <w:top w:val="nil"/>
              <w:left w:val="nil"/>
              <w:bottom w:val="nil"/>
              <w:right w:val="single" w:sz="8" w:space="0" w:color="800000"/>
            </w:tcBorders>
            <w:shd w:val="clear" w:color="000000" w:fill="FFFFCC"/>
            <w:vAlign w:val="center"/>
            <w:hideMark/>
          </w:tcPr>
          <w:p w14:paraId="320A7B1A" w14:textId="77777777" w:rsidR="00830245" w:rsidRPr="003A1E72" w:rsidRDefault="00830245" w:rsidP="00830245">
            <w:pPr>
              <w:tabs>
                <w:tab w:val="left" w:pos="792"/>
              </w:tabs>
              <w:jc w:val="right"/>
              <w:rPr>
                <w:sz w:val="18"/>
                <w:szCs w:val="18"/>
              </w:rPr>
            </w:pPr>
            <w:r w:rsidRPr="003A1E72">
              <w:rPr>
                <w:sz w:val="18"/>
                <w:szCs w:val="18"/>
              </w:rPr>
              <w:t>211,1</w:t>
            </w:r>
          </w:p>
        </w:tc>
        <w:tc>
          <w:tcPr>
            <w:tcW w:w="713" w:type="dxa"/>
            <w:tcBorders>
              <w:top w:val="nil"/>
              <w:left w:val="nil"/>
              <w:bottom w:val="nil"/>
              <w:right w:val="double" w:sz="6" w:space="0" w:color="800000"/>
            </w:tcBorders>
            <w:shd w:val="clear" w:color="000000" w:fill="FFFFCC"/>
            <w:vAlign w:val="center"/>
            <w:hideMark/>
          </w:tcPr>
          <w:p w14:paraId="57215E8C" w14:textId="77777777" w:rsidR="00830245" w:rsidRPr="003A1E72" w:rsidRDefault="00830245" w:rsidP="00830245">
            <w:pPr>
              <w:jc w:val="right"/>
              <w:rPr>
                <w:sz w:val="18"/>
                <w:szCs w:val="18"/>
              </w:rPr>
            </w:pPr>
            <w:r w:rsidRPr="003A1E72">
              <w:rPr>
                <w:sz w:val="18"/>
                <w:szCs w:val="18"/>
              </w:rPr>
              <w:t>0,2%</w:t>
            </w:r>
          </w:p>
        </w:tc>
        <w:tc>
          <w:tcPr>
            <w:tcW w:w="867" w:type="dxa"/>
            <w:tcBorders>
              <w:top w:val="nil"/>
              <w:left w:val="nil"/>
              <w:bottom w:val="nil"/>
              <w:right w:val="single" w:sz="8" w:space="0" w:color="800000"/>
            </w:tcBorders>
            <w:shd w:val="clear" w:color="000000" w:fill="FFFFCC"/>
            <w:vAlign w:val="center"/>
          </w:tcPr>
          <w:p w14:paraId="3635135A" w14:textId="38B76537" w:rsidR="00830245" w:rsidRPr="00233B16" w:rsidRDefault="00830245" w:rsidP="00830245">
            <w:pPr>
              <w:tabs>
                <w:tab w:val="left" w:pos="792"/>
              </w:tabs>
              <w:jc w:val="right"/>
              <w:rPr>
                <w:bCs/>
                <w:sz w:val="18"/>
                <w:szCs w:val="18"/>
                <w:lang w:val="en-US"/>
              </w:rPr>
            </w:pPr>
            <w:r>
              <w:rPr>
                <w:sz w:val="18"/>
                <w:szCs w:val="18"/>
              </w:rPr>
              <w:t>218,8</w:t>
            </w:r>
          </w:p>
        </w:tc>
        <w:tc>
          <w:tcPr>
            <w:tcW w:w="716" w:type="dxa"/>
            <w:tcBorders>
              <w:top w:val="nil"/>
              <w:left w:val="nil"/>
              <w:bottom w:val="nil"/>
              <w:right w:val="single" w:sz="8" w:space="0" w:color="800000"/>
            </w:tcBorders>
            <w:shd w:val="clear" w:color="000000" w:fill="FFFFCC"/>
            <w:vAlign w:val="center"/>
            <w:hideMark/>
          </w:tcPr>
          <w:p w14:paraId="2D342C27" w14:textId="01EBB72A" w:rsidR="00830245" w:rsidRPr="00830245" w:rsidRDefault="00830245" w:rsidP="00830245">
            <w:pPr>
              <w:jc w:val="right"/>
              <w:rPr>
                <w:b/>
                <w:bCs/>
                <w:sz w:val="18"/>
                <w:szCs w:val="18"/>
              </w:rPr>
            </w:pPr>
            <w:r w:rsidRPr="00830245">
              <w:rPr>
                <w:b/>
                <w:bCs/>
                <w:sz w:val="18"/>
                <w:szCs w:val="18"/>
              </w:rPr>
              <w:t>0,1%</w:t>
            </w:r>
          </w:p>
        </w:tc>
        <w:tc>
          <w:tcPr>
            <w:tcW w:w="1150" w:type="dxa"/>
            <w:tcBorders>
              <w:top w:val="nil"/>
              <w:left w:val="nil"/>
              <w:bottom w:val="nil"/>
              <w:right w:val="single" w:sz="8" w:space="0" w:color="800000"/>
            </w:tcBorders>
            <w:shd w:val="clear" w:color="000000" w:fill="FFFFCC"/>
            <w:vAlign w:val="center"/>
          </w:tcPr>
          <w:p w14:paraId="458EA072" w14:textId="5615FA45" w:rsidR="00830245" w:rsidRPr="00830245" w:rsidRDefault="00830245" w:rsidP="00830245">
            <w:pPr>
              <w:tabs>
                <w:tab w:val="left" w:pos="792"/>
              </w:tabs>
              <w:jc w:val="right"/>
              <w:rPr>
                <w:b/>
                <w:bCs/>
                <w:sz w:val="18"/>
                <w:szCs w:val="18"/>
              </w:rPr>
            </w:pPr>
            <w:r w:rsidRPr="00830245">
              <w:rPr>
                <w:b/>
                <w:bCs/>
                <w:sz w:val="18"/>
                <w:szCs w:val="18"/>
              </w:rPr>
              <w:t>218,8</w:t>
            </w:r>
          </w:p>
        </w:tc>
        <w:tc>
          <w:tcPr>
            <w:tcW w:w="959" w:type="dxa"/>
            <w:tcBorders>
              <w:top w:val="nil"/>
              <w:left w:val="nil"/>
              <w:bottom w:val="nil"/>
              <w:right w:val="single" w:sz="8" w:space="0" w:color="800000"/>
            </w:tcBorders>
            <w:shd w:val="clear" w:color="000000" w:fill="FFFFCC"/>
            <w:vAlign w:val="center"/>
          </w:tcPr>
          <w:p w14:paraId="0BAE0BCF" w14:textId="3AF6CB4C" w:rsidR="00830245" w:rsidRPr="003A1E72" w:rsidRDefault="00830245" w:rsidP="00830245">
            <w:pPr>
              <w:jc w:val="right"/>
              <w:rPr>
                <w:sz w:val="18"/>
                <w:szCs w:val="18"/>
              </w:rPr>
            </w:pPr>
            <w:r>
              <w:rPr>
                <w:sz w:val="18"/>
                <w:szCs w:val="18"/>
              </w:rPr>
              <w:t>0,1%</w:t>
            </w:r>
          </w:p>
        </w:tc>
      </w:tr>
      <w:tr w:rsidR="00830245" w:rsidRPr="00786859" w14:paraId="0B32AE28"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58997CF0" w14:textId="77777777" w:rsidR="00830245" w:rsidRPr="003A1E72" w:rsidRDefault="00830245" w:rsidP="00830245">
            <w:pPr>
              <w:rPr>
                <w:sz w:val="18"/>
                <w:szCs w:val="18"/>
              </w:rPr>
            </w:pPr>
            <w:r w:rsidRPr="003A1E72">
              <w:rPr>
                <w:sz w:val="18"/>
                <w:szCs w:val="18"/>
              </w:rPr>
              <w:t>ДДФЛ</w:t>
            </w:r>
          </w:p>
        </w:tc>
        <w:tc>
          <w:tcPr>
            <w:tcW w:w="983" w:type="dxa"/>
            <w:tcBorders>
              <w:top w:val="nil"/>
              <w:left w:val="nil"/>
              <w:bottom w:val="nil"/>
              <w:right w:val="single" w:sz="8" w:space="0" w:color="800000"/>
            </w:tcBorders>
            <w:shd w:val="clear" w:color="000000" w:fill="FFFFCC"/>
            <w:vAlign w:val="center"/>
            <w:hideMark/>
          </w:tcPr>
          <w:p w14:paraId="135AE68C" w14:textId="77777777" w:rsidR="00830245" w:rsidRPr="003A1E72" w:rsidRDefault="00830245" w:rsidP="00830245">
            <w:pPr>
              <w:jc w:val="right"/>
              <w:rPr>
                <w:sz w:val="18"/>
                <w:szCs w:val="18"/>
              </w:rPr>
            </w:pPr>
            <w:r w:rsidRPr="003A1E72">
              <w:rPr>
                <w:sz w:val="18"/>
                <w:szCs w:val="18"/>
              </w:rPr>
              <w:t>4 198,7</w:t>
            </w:r>
          </w:p>
        </w:tc>
        <w:tc>
          <w:tcPr>
            <w:tcW w:w="713" w:type="dxa"/>
            <w:tcBorders>
              <w:top w:val="nil"/>
              <w:left w:val="nil"/>
              <w:bottom w:val="nil"/>
              <w:right w:val="double" w:sz="6" w:space="0" w:color="800000"/>
            </w:tcBorders>
            <w:shd w:val="clear" w:color="000000" w:fill="FFFFCC"/>
            <w:vAlign w:val="center"/>
            <w:hideMark/>
          </w:tcPr>
          <w:p w14:paraId="214B36CB" w14:textId="77777777" w:rsidR="00830245" w:rsidRPr="003A1E72" w:rsidRDefault="00830245" w:rsidP="00830245">
            <w:pPr>
              <w:jc w:val="right"/>
              <w:rPr>
                <w:bCs/>
                <w:sz w:val="18"/>
                <w:szCs w:val="18"/>
              </w:rPr>
            </w:pPr>
            <w:r w:rsidRPr="003A1E72">
              <w:rPr>
                <w:sz w:val="18"/>
                <w:szCs w:val="18"/>
              </w:rPr>
              <w:t>3,5%</w:t>
            </w:r>
          </w:p>
        </w:tc>
        <w:tc>
          <w:tcPr>
            <w:tcW w:w="915" w:type="dxa"/>
            <w:tcBorders>
              <w:top w:val="nil"/>
              <w:left w:val="nil"/>
              <w:bottom w:val="nil"/>
              <w:right w:val="single" w:sz="8" w:space="0" w:color="800000"/>
            </w:tcBorders>
            <w:shd w:val="clear" w:color="000000" w:fill="FFFFCC"/>
            <w:vAlign w:val="center"/>
            <w:hideMark/>
          </w:tcPr>
          <w:p w14:paraId="5D81CA7C" w14:textId="77777777" w:rsidR="00830245" w:rsidRPr="003A1E72" w:rsidRDefault="00830245" w:rsidP="00830245">
            <w:pPr>
              <w:tabs>
                <w:tab w:val="left" w:pos="792"/>
              </w:tabs>
              <w:jc w:val="right"/>
              <w:rPr>
                <w:sz w:val="18"/>
                <w:szCs w:val="18"/>
              </w:rPr>
            </w:pPr>
            <w:r w:rsidRPr="003A1E72">
              <w:rPr>
                <w:sz w:val="18"/>
                <w:szCs w:val="18"/>
              </w:rPr>
              <w:t>4 852,0</w:t>
            </w:r>
          </w:p>
        </w:tc>
        <w:tc>
          <w:tcPr>
            <w:tcW w:w="713" w:type="dxa"/>
            <w:tcBorders>
              <w:top w:val="nil"/>
              <w:left w:val="nil"/>
              <w:bottom w:val="nil"/>
              <w:right w:val="double" w:sz="6" w:space="0" w:color="800000"/>
            </w:tcBorders>
            <w:shd w:val="clear" w:color="000000" w:fill="FFFFCC"/>
            <w:vAlign w:val="center"/>
            <w:hideMark/>
          </w:tcPr>
          <w:p w14:paraId="5741CE7D" w14:textId="77777777" w:rsidR="00830245" w:rsidRPr="003A1E72" w:rsidRDefault="00830245" w:rsidP="00830245">
            <w:pPr>
              <w:jc w:val="right"/>
              <w:rPr>
                <w:sz w:val="18"/>
                <w:szCs w:val="18"/>
              </w:rPr>
            </w:pPr>
            <w:r w:rsidRPr="003A1E72">
              <w:rPr>
                <w:sz w:val="18"/>
                <w:szCs w:val="18"/>
              </w:rPr>
              <w:t>3,</w:t>
            </w:r>
            <w:r>
              <w:rPr>
                <w:sz w:val="18"/>
                <w:szCs w:val="18"/>
              </w:rPr>
              <w:t>5</w:t>
            </w:r>
            <w:r w:rsidRPr="003A1E72">
              <w:rPr>
                <w:sz w:val="18"/>
                <w:szCs w:val="18"/>
              </w:rPr>
              <w:t>%</w:t>
            </w:r>
          </w:p>
        </w:tc>
        <w:tc>
          <w:tcPr>
            <w:tcW w:w="867" w:type="dxa"/>
            <w:tcBorders>
              <w:top w:val="nil"/>
              <w:left w:val="nil"/>
              <w:bottom w:val="nil"/>
              <w:right w:val="single" w:sz="8" w:space="0" w:color="800000"/>
            </w:tcBorders>
            <w:shd w:val="clear" w:color="000000" w:fill="FFFFCC"/>
            <w:vAlign w:val="center"/>
          </w:tcPr>
          <w:p w14:paraId="129B6A47" w14:textId="58765880" w:rsidR="00830245" w:rsidRPr="00233B16" w:rsidRDefault="00830245" w:rsidP="00830245">
            <w:pPr>
              <w:tabs>
                <w:tab w:val="left" w:pos="792"/>
              </w:tabs>
              <w:jc w:val="right"/>
              <w:rPr>
                <w:bCs/>
                <w:sz w:val="18"/>
                <w:szCs w:val="18"/>
                <w:lang w:val="en-US"/>
              </w:rPr>
            </w:pPr>
            <w:r>
              <w:rPr>
                <w:sz w:val="18"/>
                <w:szCs w:val="18"/>
              </w:rPr>
              <w:t>5 331,2</w:t>
            </w:r>
          </w:p>
        </w:tc>
        <w:tc>
          <w:tcPr>
            <w:tcW w:w="716" w:type="dxa"/>
            <w:tcBorders>
              <w:top w:val="nil"/>
              <w:left w:val="nil"/>
              <w:bottom w:val="nil"/>
              <w:right w:val="single" w:sz="8" w:space="0" w:color="800000"/>
            </w:tcBorders>
            <w:shd w:val="clear" w:color="000000" w:fill="FFFFCC"/>
            <w:vAlign w:val="center"/>
            <w:hideMark/>
          </w:tcPr>
          <w:p w14:paraId="6F48E99A" w14:textId="0150D16F" w:rsidR="00830245" w:rsidRPr="00830245" w:rsidRDefault="00830245" w:rsidP="00830245">
            <w:pPr>
              <w:jc w:val="right"/>
              <w:rPr>
                <w:b/>
                <w:bCs/>
                <w:sz w:val="18"/>
                <w:szCs w:val="18"/>
              </w:rPr>
            </w:pPr>
            <w:r w:rsidRPr="00830245">
              <w:rPr>
                <w:b/>
                <w:bCs/>
                <w:sz w:val="18"/>
                <w:szCs w:val="18"/>
              </w:rPr>
              <w:t>3,2%</w:t>
            </w:r>
          </w:p>
        </w:tc>
        <w:tc>
          <w:tcPr>
            <w:tcW w:w="1150" w:type="dxa"/>
            <w:tcBorders>
              <w:top w:val="nil"/>
              <w:left w:val="nil"/>
              <w:bottom w:val="nil"/>
              <w:right w:val="single" w:sz="8" w:space="0" w:color="800000"/>
            </w:tcBorders>
            <w:shd w:val="clear" w:color="000000" w:fill="FFFFCC"/>
            <w:vAlign w:val="center"/>
          </w:tcPr>
          <w:p w14:paraId="5B36A18B" w14:textId="73156E6B" w:rsidR="00830245" w:rsidRPr="00830245" w:rsidRDefault="00830245" w:rsidP="00830245">
            <w:pPr>
              <w:tabs>
                <w:tab w:val="left" w:pos="792"/>
              </w:tabs>
              <w:jc w:val="right"/>
              <w:rPr>
                <w:b/>
                <w:bCs/>
                <w:sz w:val="18"/>
                <w:szCs w:val="18"/>
              </w:rPr>
            </w:pPr>
            <w:r w:rsidRPr="00830245">
              <w:rPr>
                <w:b/>
                <w:bCs/>
                <w:sz w:val="18"/>
                <w:szCs w:val="18"/>
              </w:rPr>
              <w:t>5 331,2</w:t>
            </w:r>
          </w:p>
        </w:tc>
        <w:tc>
          <w:tcPr>
            <w:tcW w:w="959" w:type="dxa"/>
            <w:tcBorders>
              <w:top w:val="nil"/>
              <w:left w:val="nil"/>
              <w:bottom w:val="nil"/>
              <w:right w:val="single" w:sz="8" w:space="0" w:color="800000"/>
            </w:tcBorders>
            <w:shd w:val="clear" w:color="000000" w:fill="FFFFCC"/>
            <w:vAlign w:val="center"/>
          </w:tcPr>
          <w:p w14:paraId="59E04137" w14:textId="7F9E8FED" w:rsidR="00830245" w:rsidRPr="003A1E72" w:rsidRDefault="00830245" w:rsidP="00830245">
            <w:pPr>
              <w:jc w:val="right"/>
              <w:rPr>
                <w:sz w:val="18"/>
                <w:szCs w:val="18"/>
              </w:rPr>
            </w:pPr>
            <w:r>
              <w:rPr>
                <w:sz w:val="18"/>
                <w:szCs w:val="18"/>
              </w:rPr>
              <w:t>3,2%</w:t>
            </w:r>
          </w:p>
        </w:tc>
      </w:tr>
      <w:tr w:rsidR="00830245" w:rsidRPr="00786859" w14:paraId="5E2F4350" w14:textId="77777777" w:rsidTr="00911994">
        <w:trPr>
          <w:trHeight w:val="80"/>
        </w:trPr>
        <w:tc>
          <w:tcPr>
            <w:tcW w:w="2344" w:type="dxa"/>
            <w:tcBorders>
              <w:top w:val="nil"/>
              <w:left w:val="double" w:sz="6" w:space="0" w:color="800000"/>
              <w:bottom w:val="nil"/>
              <w:right w:val="single" w:sz="8" w:space="0" w:color="800000"/>
            </w:tcBorders>
            <w:shd w:val="clear" w:color="000000" w:fill="FFFFCC"/>
            <w:vAlign w:val="center"/>
            <w:hideMark/>
          </w:tcPr>
          <w:p w14:paraId="324FD979" w14:textId="77777777" w:rsidR="00830245" w:rsidRPr="003A1E72" w:rsidRDefault="00830245" w:rsidP="00830245">
            <w:pPr>
              <w:ind w:firstLineChars="200" w:firstLine="360"/>
              <w:rPr>
                <w:sz w:val="18"/>
                <w:szCs w:val="18"/>
              </w:rPr>
            </w:pPr>
            <w:r w:rsidRPr="003A1E72">
              <w:rPr>
                <w:sz w:val="18"/>
                <w:szCs w:val="18"/>
              </w:rPr>
              <w:t> </w:t>
            </w:r>
          </w:p>
        </w:tc>
        <w:tc>
          <w:tcPr>
            <w:tcW w:w="983" w:type="dxa"/>
            <w:tcBorders>
              <w:top w:val="nil"/>
              <w:left w:val="nil"/>
              <w:bottom w:val="nil"/>
              <w:right w:val="single" w:sz="8" w:space="0" w:color="800000"/>
            </w:tcBorders>
            <w:shd w:val="clear" w:color="000000" w:fill="FFFFCC"/>
            <w:vAlign w:val="center"/>
            <w:hideMark/>
          </w:tcPr>
          <w:p w14:paraId="3C56BF7D"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66FCF1A7" w14:textId="77777777" w:rsidR="00830245" w:rsidRPr="003A1E72" w:rsidRDefault="00830245" w:rsidP="00830245">
            <w:pPr>
              <w:jc w:val="right"/>
              <w:rPr>
                <w:b/>
                <w:bCs/>
                <w:sz w:val="18"/>
                <w:szCs w:val="18"/>
              </w:rPr>
            </w:pPr>
            <w:r w:rsidRPr="003A1E72">
              <w:rPr>
                <w:sz w:val="18"/>
                <w:szCs w:val="18"/>
              </w:rPr>
              <w:t> </w:t>
            </w:r>
          </w:p>
        </w:tc>
        <w:tc>
          <w:tcPr>
            <w:tcW w:w="915" w:type="dxa"/>
            <w:tcBorders>
              <w:top w:val="nil"/>
              <w:left w:val="nil"/>
              <w:bottom w:val="nil"/>
              <w:right w:val="single" w:sz="8" w:space="0" w:color="800000"/>
            </w:tcBorders>
            <w:shd w:val="clear" w:color="000000" w:fill="FFFFCC"/>
            <w:vAlign w:val="center"/>
            <w:hideMark/>
          </w:tcPr>
          <w:p w14:paraId="10CF8C4E"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054650C0" w14:textId="77777777" w:rsidR="00830245" w:rsidRPr="003A1E72" w:rsidRDefault="00830245" w:rsidP="00830245">
            <w:pPr>
              <w:jc w:val="right"/>
              <w:rPr>
                <w:sz w:val="18"/>
                <w:szCs w:val="18"/>
              </w:rPr>
            </w:pPr>
            <w:r w:rsidRPr="003A1E72">
              <w:rPr>
                <w:sz w:val="18"/>
                <w:szCs w:val="18"/>
              </w:rPr>
              <w:t> </w:t>
            </w:r>
          </w:p>
        </w:tc>
        <w:tc>
          <w:tcPr>
            <w:tcW w:w="867" w:type="dxa"/>
            <w:tcBorders>
              <w:top w:val="nil"/>
              <w:left w:val="nil"/>
              <w:bottom w:val="nil"/>
              <w:right w:val="single" w:sz="8" w:space="0" w:color="800000"/>
            </w:tcBorders>
            <w:shd w:val="clear" w:color="000000" w:fill="FFFFCC"/>
            <w:vAlign w:val="center"/>
          </w:tcPr>
          <w:p w14:paraId="75948301" w14:textId="4F2E0057" w:rsidR="00830245" w:rsidRPr="00233B16" w:rsidRDefault="00830245" w:rsidP="00830245">
            <w:pPr>
              <w:tabs>
                <w:tab w:val="left" w:pos="792"/>
              </w:tabs>
              <w:jc w:val="right"/>
              <w:rPr>
                <w:b/>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5D72B27A" w14:textId="2358F709" w:rsidR="00830245" w:rsidRPr="00830245" w:rsidRDefault="00830245" w:rsidP="00830245">
            <w:pPr>
              <w:jc w:val="right"/>
              <w:rPr>
                <w:b/>
                <w:bCs/>
                <w:sz w:val="18"/>
                <w:szCs w:val="18"/>
              </w:rPr>
            </w:pPr>
            <w:r w:rsidRPr="00830245">
              <w:rPr>
                <w:b/>
                <w:bCs/>
                <w:sz w:val="18"/>
                <w:szCs w:val="18"/>
              </w:rPr>
              <w:t> </w:t>
            </w:r>
          </w:p>
        </w:tc>
        <w:tc>
          <w:tcPr>
            <w:tcW w:w="1150" w:type="dxa"/>
            <w:tcBorders>
              <w:top w:val="nil"/>
              <w:left w:val="nil"/>
              <w:bottom w:val="nil"/>
              <w:right w:val="single" w:sz="8" w:space="0" w:color="800000"/>
            </w:tcBorders>
            <w:shd w:val="clear" w:color="000000" w:fill="FFFFCC"/>
            <w:vAlign w:val="center"/>
          </w:tcPr>
          <w:p w14:paraId="1435C891" w14:textId="2709D3A9" w:rsidR="00830245" w:rsidRPr="00830245"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6E5C18C6" w14:textId="76F06599" w:rsidR="00830245" w:rsidRPr="003A1E72" w:rsidRDefault="00830245" w:rsidP="00830245">
            <w:pPr>
              <w:jc w:val="right"/>
              <w:rPr>
                <w:sz w:val="18"/>
                <w:szCs w:val="18"/>
              </w:rPr>
            </w:pPr>
            <w:r>
              <w:rPr>
                <w:sz w:val="18"/>
                <w:szCs w:val="18"/>
              </w:rPr>
              <w:t> </w:t>
            </w:r>
          </w:p>
        </w:tc>
      </w:tr>
      <w:tr w:rsidR="00830245" w:rsidRPr="00786859" w14:paraId="4965E6B9"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563636BE" w14:textId="77777777" w:rsidR="00830245" w:rsidRPr="003A1E72" w:rsidRDefault="00830245" w:rsidP="00830245">
            <w:pPr>
              <w:rPr>
                <w:b/>
                <w:bCs/>
                <w:sz w:val="18"/>
                <w:szCs w:val="18"/>
              </w:rPr>
            </w:pPr>
            <w:r w:rsidRPr="003A1E72">
              <w:rPr>
                <w:b/>
                <w:bCs/>
                <w:sz w:val="18"/>
                <w:szCs w:val="18"/>
              </w:rPr>
              <w:t xml:space="preserve"> Приходи на социално осигурителни  фондове</w:t>
            </w:r>
          </w:p>
        </w:tc>
        <w:tc>
          <w:tcPr>
            <w:tcW w:w="983" w:type="dxa"/>
            <w:tcBorders>
              <w:top w:val="nil"/>
              <w:left w:val="nil"/>
              <w:bottom w:val="nil"/>
              <w:right w:val="single" w:sz="8" w:space="0" w:color="800000"/>
            </w:tcBorders>
            <w:shd w:val="clear" w:color="000000" w:fill="FFFFCC"/>
            <w:vAlign w:val="center"/>
            <w:hideMark/>
          </w:tcPr>
          <w:p w14:paraId="78DEF954" w14:textId="77777777" w:rsidR="00830245" w:rsidRPr="003A1E72" w:rsidRDefault="00830245" w:rsidP="00830245">
            <w:pPr>
              <w:jc w:val="right"/>
              <w:rPr>
                <w:sz w:val="18"/>
                <w:szCs w:val="18"/>
              </w:rPr>
            </w:pPr>
            <w:r w:rsidRPr="003A1E72">
              <w:rPr>
                <w:b/>
                <w:bCs/>
                <w:sz w:val="18"/>
                <w:szCs w:val="18"/>
              </w:rPr>
              <w:t>11 008,4</w:t>
            </w:r>
          </w:p>
        </w:tc>
        <w:tc>
          <w:tcPr>
            <w:tcW w:w="713" w:type="dxa"/>
            <w:tcBorders>
              <w:top w:val="nil"/>
              <w:left w:val="nil"/>
              <w:bottom w:val="nil"/>
              <w:right w:val="double" w:sz="6" w:space="0" w:color="800000"/>
            </w:tcBorders>
            <w:shd w:val="clear" w:color="000000" w:fill="FFFFCC"/>
            <w:vAlign w:val="center"/>
            <w:hideMark/>
          </w:tcPr>
          <w:p w14:paraId="1D0FF158" w14:textId="77777777" w:rsidR="00830245" w:rsidRPr="003A1E72" w:rsidRDefault="00830245" w:rsidP="00830245">
            <w:pPr>
              <w:jc w:val="right"/>
              <w:rPr>
                <w:b/>
                <w:bCs/>
                <w:sz w:val="18"/>
                <w:szCs w:val="18"/>
              </w:rPr>
            </w:pPr>
            <w:r w:rsidRPr="003A1E72">
              <w:rPr>
                <w:b/>
                <w:bCs/>
                <w:sz w:val="18"/>
                <w:szCs w:val="18"/>
              </w:rPr>
              <w:t>9,</w:t>
            </w:r>
            <w:r>
              <w:rPr>
                <w:b/>
                <w:bCs/>
                <w:sz w:val="18"/>
                <w:szCs w:val="18"/>
              </w:rPr>
              <w:t>1</w:t>
            </w:r>
            <w:r w:rsidRPr="003A1E72">
              <w:rPr>
                <w:b/>
                <w:bCs/>
                <w:sz w:val="18"/>
                <w:szCs w:val="18"/>
              </w:rPr>
              <w:t>%</w:t>
            </w:r>
          </w:p>
        </w:tc>
        <w:tc>
          <w:tcPr>
            <w:tcW w:w="915" w:type="dxa"/>
            <w:tcBorders>
              <w:top w:val="nil"/>
              <w:left w:val="nil"/>
              <w:bottom w:val="nil"/>
              <w:right w:val="single" w:sz="8" w:space="0" w:color="800000"/>
            </w:tcBorders>
            <w:shd w:val="clear" w:color="000000" w:fill="FFFFCC"/>
            <w:vAlign w:val="center"/>
            <w:hideMark/>
          </w:tcPr>
          <w:p w14:paraId="07AA911E" w14:textId="77777777" w:rsidR="00830245" w:rsidRPr="003A1E72" w:rsidRDefault="00830245" w:rsidP="00830245">
            <w:pPr>
              <w:tabs>
                <w:tab w:val="left" w:pos="792"/>
              </w:tabs>
              <w:jc w:val="right"/>
              <w:rPr>
                <w:sz w:val="18"/>
                <w:szCs w:val="18"/>
              </w:rPr>
            </w:pPr>
            <w:r w:rsidRPr="003A1E72">
              <w:rPr>
                <w:b/>
                <w:bCs/>
                <w:sz w:val="18"/>
                <w:szCs w:val="18"/>
              </w:rPr>
              <w:t>12 230,1</w:t>
            </w:r>
          </w:p>
        </w:tc>
        <w:tc>
          <w:tcPr>
            <w:tcW w:w="713" w:type="dxa"/>
            <w:tcBorders>
              <w:top w:val="nil"/>
              <w:left w:val="nil"/>
              <w:bottom w:val="nil"/>
              <w:right w:val="double" w:sz="6" w:space="0" w:color="800000"/>
            </w:tcBorders>
            <w:shd w:val="clear" w:color="000000" w:fill="FFFFCC"/>
            <w:vAlign w:val="center"/>
            <w:hideMark/>
          </w:tcPr>
          <w:p w14:paraId="358DDEB3" w14:textId="77777777" w:rsidR="00830245" w:rsidRPr="003A1E72" w:rsidRDefault="00830245" w:rsidP="00830245">
            <w:pPr>
              <w:jc w:val="right"/>
              <w:rPr>
                <w:sz w:val="18"/>
                <w:szCs w:val="18"/>
              </w:rPr>
            </w:pPr>
            <w:r>
              <w:rPr>
                <w:b/>
                <w:bCs/>
                <w:sz w:val="18"/>
                <w:szCs w:val="18"/>
              </w:rPr>
              <w:t>8,8</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1EA558B7" w14:textId="6B1C0C2E" w:rsidR="00830245" w:rsidRPr="00233B16" w:rsidRDefault="00830245" w:rsidP="00830245">
            <w:pPr>
              <w:tabs>
                <w:tab w:val="left" w:pos="792"/>
              </w:tabs>
              <w:jc w:val="right"/>
              <w:rPr>
                <w:b/>
                <w:bCs/>
                <w:sz w:val="18"/>
                <w:szCs w:val="18"/>
                <w:lang w:val="en-US"/>
              </w:rPr>
            </w:pPr>
            <w:r>
              <w:rPr>
                <w:b/>
                <w:bCs/>
                <w:sz w:val="18"/>
                <w:szCs w:val="18"/>
              </w:rPr>
              <w:t>13 737,7</w:t>
            </w:r>
          </w:p>
        </w:tc>
        <w:tc>
          <w:tcPr>
            <w:tcW w:w="716" w:type="dxa"/>
            <w:tcBorders>
              <w:top w:val="nil"/>
              <w:left w:val="nil"/>
              <w:bottom w:val="nil"/>
              <w:right w:val="single" w:sz="8" w:space="0" w:color="800000"/>
            </w:tcBorders>
            <w:shd w:val="clear" w:color="000000" w:fill="FFFFCC"/>
            <w:vAlign w:val="center"/>
            <w:hideMark/>
          </w:tcPr>
          <w:p w14:paraId="4849163C" w14:textId="0634A57F" w:rsidR="00830245" w:rsidRPr="00830245" w:rsidRDefault="00830245" w:rsidP="00830245">
            <w:pPr>
              <w:jc w:val="right"/>
              <w:rPr>
                <w:b/>
                <w:bCs/>
                <w:sz w:val="18"/>
                <w:szCs w:val="18"/>
              </w:rPr>
            </w:pPr>
            <w:r>
              <w:rPr>
                <w:b/>
                <w:bCs/>
                <w:sz w:val="18"/>
                <w:szCs w:val="18"/>
              </w:rPr>
              <w:t>8,3%</w:t>
            </w:r>
          </w:p>
        </w:tc>
        <w:tc>
          <w:tcPr>
            <w:tcW w:w="1150" w:type="dxa"/>
            <w:tcBorders>
              <w:top w:val="nil"/>
              <w:left w:val="nil"/>
              <w:bottom w:val="nil"/>
              <w:right w:val="single" w:sz="8" w:space="0" w:color="800000"/>
            </w:tcBorders>
            <w:shd w:val="clear" w:color="000000" w:fill="FFFFCC"/>
            <w:vAlign w:val="center"/>
          </w:tcPr>
          <w:p w14:paraId="36E6C6A7" w14:textId="01DEE85E" w:rsidR="00830245" w:rsidRPr="003A1E72" w:rsidRDefault="00830245" w:rsidP="00830245">
            <w:pPr>
              <w:tabs>
                <w:tab w:val="left" w:pos="792"/>
              </w:tabs>
              <w:jc w:val="right"/>
              <w:rPr>
                <w:b/>
                <w:bCs/>
                <w:sz w:val="18"/>
                <w:szCs w:val="18"/>
              </w:rPr>
            </w:pPr>
            <w:r>
              <w:rPr>
                <w:b/>
                <w:bCs/>
                <w:sz w:val="18"/>
                <w:szCs w:val="18"/>
              </w:rPr>
              <w:t>13 737,7</w:t>
            </w:r>
          </w:p>
        </w:tc>
        <w:tc>
          <w:tcPr>
            <w:tcW w:w="959" w:type="dxa"/>
            <w:tcBorders>
              <w:top w:val="nil"/>
              <w:left w:val="nil"/>
              <w:bottom w:val="nil"/>
              <w:right w:val="single" w:sz="8" w:space="0" w:color="800000"/>
            </w:tcBorders>
            <w:shd w:val="clear" w:color="000000" w:fill="FFFFCC"/>
            <w:vAlign w:val="center"/>
          </w:tcPr>
          <w:p w14:paraId="4E5FB9C0" w14:textId="10D3A3DA" w:rsidR="00830245" w:rsidRPr="003A1E72" w:rsidRDefault="00830245" w:rsidP="00830245">
            <w:pPr>
              <w:jc w:val="right"/>
              <w:rPr>
                <w:b/>
                <w:bCs/>
                <w:sz w:val="18"/>
                <w:szCs w:val="18"/>
              </w:rPr>
            </w:pPr>
            <w:r>
              <w:rPr>
                <w:b/>
                <w:bCs/>
                <w:sz w:val="18"/>
                <w:szCs w:val="18"/>
              </w:rPr>
              <w:t>8,3%</w:t>
            </w:r>
          </w:p>
        </w:tc>
      </w:tr>
      <w:tr w:rsidR="00830245" w:rsidRPr="00786859" w14:paraId="4F8E7591" w14:textId="77777777" w:rsidTr="00911994">
        <w:trPr>
          <w:trHeight w:val="90"/>
        </w:trPr>
        <w:tc>
          <w:tcPr>
            <w:tcW w:w="2344" w:type="dxa"/>
            <w:tcBorders>
              <w:top w:val="nil"/>
              <w:left w:val="double" w:sz="6" w:space="0" w:color="800000"/>
              <w:bottom w:val="nil"/>
              <w:right w:val="single" w:sz="8" w:space="0" w:color="800000"/>
            </w:tcBorders>
            <w:shd w:val="clear" w:color="000000" w:fill="FFFFCC"/>
            <w:vAlign w:val="center"/>
            <w:hideMark/>
          </w:tcPr>
          <w:p w14:paraId="6551173A" w14:textId="77777777" w:rsidR="00830245" w:rsidRPr="003A1E72" w:rsidRDefault="00830245" w:rsidP="00830245">
            <w:pPr>
              <w:rPr>
                <w:b/>
                <w:bCs/>
                <w:sz w:val="18"/>
                <w:szCs w:val="18"/>
              </w:rPr>
            </w:pPr>
            <w:r w:rsidRPr="003A1E72">
              <w:rPr>
                <w:b/>
                <w:bCs/>
                <w:sz w:val="18"/>
                <w:szCs w:val="18"/>
              </w:rPr>
              <w:t> </w:t>
            </w:r>
          </w:p>
        </w:tc>
        <w:tc>
          <w:tcPr>
            <w:tcW w:w="983" w:type="dxa"/>
            <w:tcBorders>
              <w:top w:val="nil"/>
              <w:left w:val="nil"/>
              <w:bottom w:val="nil"/>
              <w:right w:val="single" w:sz="8" w:space="0" w:color="800000"/>
            </w:tcBorders>
            <w:shd w:val="clear" w:color="000000" w:fill="FFFFCC"/>
            <w:vAlign w:val="center"/>
            <w:hideMark/>
          </w:tcPr>
          <w:p w14:paraId="72F50BF8"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3DD92B9F" w14:textId="77777777" w:rsidR="00830245" w:rsidRPr="003A1E72" w:rsidRDefault="00830245" w:rsidP="00830245">
            <w:pPr>
              <w:jc w:val="right"/>
              <w:rPr>
                <w:b/>
                <w:bCs/>
                <w:sz w:val="18"/>
                <w:szCs w:val="18"/>
              </w:rPr>
            </w:pPr>
            <w:r w:rsidRPr="003A1E72">
              <w:rPr>
                <w:b/>
                <w:bCs/>
                <w:sz w:val="18"/>
                <w:szCs w:val="18"/>
              </w:rPr>
              <w:t> </w:t>
            </w:r>
          </w:p>
        </w:tc>
        <w:tc>
          <w:tcPr>
            <w:tcW w:w="915" w:type="dxa"/>
            <w:tcBorders>
              <w:top w:val="nil"/>
              <w:left w:val="nil"/>
              <w:bottom w:val="nil"/>
              <w:right w:val="single" w:sz="8" w:space="0" w:color="800000"/>
            </w:tcBorders>
            <w:shd w:val="clear" w:color="000000" w:fill="FFFFCC"/>
            <w:vAlign w:val="center"/>
            <w:hideMark/>
          </w:tcPr>
          <w:p w14:paraId="4F6B366C"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5F13A7E5" w14:textId="77777777" w:rsidR="00830245" w:rsidRPr="003A1E72" w:rsidRDefault="00830245" w:rsidP="00830245">
            <w:pPr>
              <w:jc w:val="right"/>
              <w:rPr>
                <w:sz w:val="18"/>
                <w:szCs w:val="18"/>
              </w:rPr>
            </w:pPr>
            <w:r w:rsidRPr="003A1E72">
              <w:rPr>
                <w:b/>
                <w:bCs/>
                <w:sz w:val="18"/>
                <w:szCs w:val="18"/>
              </w:rPr>
              <w:t> </w:t>
            </w:r>
          </w:p>
        </w:tc>
        <w:tc>
          <w:tcPr>
            <w:tcW w:w="867" w:type="dxa"/>
            <w:tcBorders>
              <w:top w:val="nil"/>
              <w:left w:val="nil"/>
              <w:bottom w:val="nil"/>
              <w:right w:val="single" w:sz="8" w:space="0" w:color="800000"/>
            </w:tcBorders>
            <w:shd w:val="clear" w:color="000000" w:fill="FFFFCC"/>
            <w:vAlign w:val="center"/>
          </w:tcPr>
          <w:p w14:paraId="101CF428" w14:textId="2E0C354D" w:rsidR="00830245" w:rsidRPr="00233B16" w:rsidRDefault="00830245" w:rsidP="00830245">
            <w:pPr>
              <w:tabs>
                <w:tab w:val="left" w:pos="792"/>
              </w:tabs>
              <w:jc w:val="right"/>
              <w:rPr>
                <w:b/>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41CF4E97" w14:textId="4A28CCDF" w:rsidR="00830245" w:rsidRPr="00830245" w:rsidRDefault="00830245" w:rsidP="00830245">
            <w:pPr>
              <w:jc w:val="right"/>
              <w:rPr>
                <w:b/>
                <w:bCs/>
                <w:sz w:val="18"/>
                <w:szCs w:val="18"/>
              </w:rPr>
            </w:pPr>
            <w:r>
              <w:rPr>
                <w:b/>
                <w:bCs/>
                <w:sz w:val="18"/>
                <w:szCs w:val="18"/>
              </w:rPr>
              <w:t> </w:t>
            </w:r>
          </w:p>
        </w:tc>
        <w:tc>
          <w:tcPr>
            <w:tcW w:w="1150" w:type="dxa"/>
            <w:tcBorders>
              <w:top w:val="nil"/>
              <w:left w:val="nil"/>
              <w:bottom w:val="nil"/>
              <w:right w:val="single" w:sz="8" w:space="0" w:color="800000"/>
            </w:tcBorders>
            <w:shd w:val="clear" w:color="000000" w:fill="FFFFCC"/>
            <w:vAlign w:val="center"/>
          </w:tcPr>
          <w:p w14:paraId="4906C934" w14:textId="1A485889" w:rsidR="00830245" w:rsidRPr="003A1E72"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24619B45" w14:textId="1C47A02D" w:rsidR="00830245" w:rsidRPr="003A1E72" w:rsidRDefault="00830245" w:rsidP="00830245">
            <w:pPr>
              <w:jc w:val="right"/>
              <w:rPr>
                <w:b/>
                <w:bCs/>
                <w:sz w:val="18"/>
                <w:szCs w:val="18"/>
              </w:rPr>
            </w:pPr>
            <w:r>
              <w:rPr>
                <w:b/>
                <w:bCs/>
                <w:sz w:val="18"/>
                <w:szCs w:val="18"/>
              </w:rPr>
              <w:t> </w:t>
            </w:r>
          </w:p>
        </w:tc>
      </w:tr>
      <w:tr w:rsidR="00830245" w:rsidRPr="00786859" w14:paraId="6CE30E16"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27410ACD" w14:textId="77777777" w:rsidR="00830245" w:rsidRPr="003A1E72" w:rsidRDefault="00830245" w:rsidP="00830245">
            <w:pPr>
              <w:rPr>
                <w:b/>
                <w:bCs/>
                <w:sz w:val="18"/>
                <w:szCs w:val="18"/>
              </w:rPr>
            </w:pPr>
            <w:r w:rsidRPr="003A1E72">
              <w:rPr>
                <w:b/>
                <w:bCs/>
                <w:sz w:val="18"/>
                <w:szCs w:val="18"/>
              </w:rPr>
              <w:t>Косвени данъци</w:t>
            </w:r>
          </w:p>
        </w:tc>
        <w:tc>
          <w:tcPr>
            <w:tcW w:w="983" w:type="dxa"/>
            <w:tcBorders>
              <w:top w:val="nil"/>
              <w:left w:val="nil"/>
              <w:bottom w:val="nil"/>
              <w:right w:val="single" w:sz="8" w:space="0" w:color="800000"/>
            </w:tcBorders>
            <w:shd w:val="clear" w:color="000000" w:fill="FFFFCC"/>
            <w:vAlign w:val="center"/>
            <w:hideMark/>
          </w:tcPr>
          <w:p w14:paraId="05482D1F" w14:textId="77777777" w:rsidR="00830245" w:rsidRPr="003A1E72" w:rsidRDefault="00830245" w:rsidP="00830245">
            <w:pPr>
              <w:jc w:val="right"/>
              <w:rPr>
                <w:sz w:val="18"/>
                <w:szCs w:val="18"/>
              </w:rPr>
            </w:pPr>
            <w:r w:rsidRPr="003A1E72">
              <w:rPr>
                <w:b/>
                <w:bCs/>
                <w:sz w:val="18"/>
                <w:szCs w:val="18"/>
              </w:rPr>
              <w:t>16 722,4</w:t>
            </w:r>
          </w:p>
        </w:tc>
        <w:tc>
          <w:tcPr>
            <w:tcW w:w="713" w:type="dxa"/>
            <w:tcBorders>
              <w:top w:val="nil"/>
              <w:left w:val="nil"/>
              <w:bottom w:val="nil"/>
              <w:right w:val="double" w:sz="6" w:space="0" w:color="800000"/>
            </w:tcBorders>
            <w:shd w:val="clear" w:color="000000" w:fill="FFFFCC"/>
            <w:vAlign w:val="center"/>
            <w:hideMark/>
          </w:tcPr>
          <w:p w14:paraId="3CF7BF26" w14:textId="77777777" w:rsidR="00830245" w:rsidRPr="003A1E72" w:rsidRDefault="00830245" w:rsidP="00830245">
            <w:pPr>
              <w:jc w:val="right"/>
              <w:rPr>
                <w:b/>
                <w:bCs/>
                <w:sz w:val="18"/>
                <w:szCs w:val="18"/>
              </w:rPr>
            </w:pPr>
            <w:r w:rsidRPr="003A1E72">
              <w:rPr>
                <w:b/>
                <w:bCs/>
                <w:sz w:val="18"/>
                <w:szCs w:val="18"/>
              </w:rPr>
              <w:t>1</w:t>
            </w:r>
            <w:r w:rsidRPr="003A1E72">
              <w:rPr>
                <w:b/>
                <w:bCs/>
                <w:sz w:val="18"/>
                <w:szCs w:val="18"/>
                <w:lang w:val="en-US"/>
              </w:rPr>
              <w:t>3</w:t>
            </w:r>
            <w:r w:rsidRPr="003A1E72">
              <w:rPr>
                <w:b/>
                <w:bCs/>
                <w:sz w:val="18"/>
                <w:szCs w:val="18"/>
              </w:rPr>
              <w:t>,</w:t>
            </w:r>
            <w:r w:rsidRPr="003A1E72">
              <w:rPr>
                <w:b/>
                <w:bCs/>
                <w:sz w:val="18"/>
                <w:szCs w:val="18"/>
                <w:lang w:val="en-US"/>
              </w:rPr>
              <w:t>9</w:t>
            </w:r>
            <w:r w:rsidRPr="003A1E72">
              <w:rPr>
                <w:b/>
                <w:bCs/>
                <w:sz w:val="18"/>
                <w:szCs w:val="18"/>
              </w:rPr>
              <w:t>%</w:t>
            </w:r>
          </w:p>
        </w:tc>
        <w:tc>
          <w:tcPr>
            <w:tcW w:w="915" w:type="dxa"/>
            <w:tcBorders>
              <w:top w:val="nil"/>
              <w:left w:val="nil"/>
              <w:bottom w:val="nil"/>
              <w:right w:val="single" w:sz="8" w:space="0" w:color="800000"/>
            </w:tcBorders>
            <w:shd w:val="clear" w:color="000000" w:fill="FFFFCC"/>
            <w:vAlign w:val="center"/>
            <w:hideMark/>
          </w:tcPr>
          <w:p w14:paraId="076CFA30" w14:textId="77777777" w:rsidR="00830245" w:rsidRPr="003A1E72" w:rsidRDefault="00830245" w:rsidP="00830245">
            <w:pPr>
              <w:tabs>
                <w:tab w:val="left" w:pos="792"/>
              </w:tabs>
              <w:jc w:val="right"/>
              <w:rPr>
                <w:sz w:val="18"/>
                <w:szCs w:val="18"/>
              </w:rPr>
            </w:pPr>
            <w:r w:rsidRPr="003A1E72">
              <w:rPr>
                <w:b/>
                <w:bCs/>
                <w:sz w:val="18"/>
                <w:szCs w:val="18"/>
              </w:rPr>
              <w:t>18 976,3</w:t>
            </w:r>
          </w:p>
        </w:tc>
        <w:tc>
          <w:tcPr>
            <w:tcW w:w="713" w:type="dxa"/>
            <w:tcBorders>
              <w:top w:val="nil"/>
              <w:left w:val="nil"/>
              <w:bottom w:val="nil"/>
              <w:right w:val="double" w:sz="6" w:space="0" w:color="800000"/>
            </w:tcBorders>
            <w:shd w:val="clear" w:color="000000" w:fill="FFFFCC"/>
            <w:vAlign w:val="center"/>
            <w:hideMark/>
          </w:tcPr>
          <w:p w14:paraId="7AC6ADB2" w14:textId="77777777" w:rsidR="00830245" w:rsidRPr="003A1E72" w:rsidRDefault="00830245" w:rsidP="00830245">
            <w:pPr>
              <w:jc w:val="right"/>
              <w:rPr>
                <w:sz w:val="18"/>
                <w:szCs w:val="18"/>
              </w:rPr>
            </w:pPr>
            <w:r w:rsidRPr="003A1E72">
              <w:rPr>
                <w:b/>
                <w:bCs/>
                <w:sz w:val="18"/>
                <w:szCs w:val="18"/>
              </w:rPr>
              <w:t>1</w:t>
            </w:r>
            <w:r>
              <w:rPr>
                <w:b/>
                <w:bCs/>
                <w:sz w:val="18"/>
                <w:szCs w:val="18"/>
              </w:rPr>
              <w:t>3</w:t>
            </w:r>
            <w:r w:rsidRPr="003A1E72">
              <w:rPr>
                <w:b/>
                <w:bCs/>
                <w:sz w:val="18"/>
                <w:szCs w:val="18"/>
              </w:rPr>
              <w:t>,</w:t>
            </w:r>
            <w:r>
              <w:rPr>
                <w:b/>
                <w:bCs/>
                <w:sz w:val="18"/>
                <w:szCs w:val="18"/>
              </w:rPr>
              <w:t>7</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33027096" w14:textId="4554298C" w:rsidR="00830245" w:rsidRPr="00233B16" w:rsidRDefault="00830245" w:rsidP="00830245">
            <w:pPr>
              <w:tabs>
                <w:tab w:val="left" w:pos="792"/>
              </w:tabs>
              <w:jc w:val="right"/>
              <w:rPr>
                <w:b/>
                <w:bCs/>
                <w:sz w:val="18"/>
                <w:szCs w:val="18"/>
                <w:lang w:val="en-US"/>
              </w:rPr>
            </w:pPr>
            <w:r>
              <w:rPr>
                <w:b/>
                <w:bCs/>
                <w:sz w:val="18"/>
                <w:szCs w:val="18"/>
              </w:rPr>
              <w:t>21 541,5</w:t>
            </w:r>
          </w:p>
        </w:tc>
        <w:tc>
          <w:tcPr>
            <w:tcW w:w="716" w:type="dxa"/>
            <w:tcBorders>
              <w:top w:val="nil"/>
              <w:left w:val="nil"/>
              <w:bottom w:val="nil"/>
              <w:right w:val="single" w:sz="8" w:space="0" w:color="800000"/>
            </w:tcBorders>
            <w:shd w:val="clear" w:color="000000" w:fill="FFFFCC"/>
            <w:vAlign w:val="center"/>
            <w:hideMark/>
          </w:tcPr>
          <w:p w14:paraId="7FA60C1F" w14:textId="4CE5B4B7" w:rsidR="00830245" w:rsidRPr="00830245" w:rsidRDefault="00830245" w:rsidP="00830245">
            <w:pPr>
              <w:jc w:val="right"/>
              <w:rPr>
                <w:b/>
                <w:bCs/>
                <w:sz w:val="18"/>
                <w:szCs w:val="18"/>
              </w:rPr>
            </w:pPr>
            <w:r>
              <w:rPr>
                <w:b/>
                <w:bCs/>
                <w:sz w:val="18"/>
                <w:szCs w:val="18"/>
              </w:rPr>
              <w:t>13,0%</w:t>
            </w:r>
          </w:p>
        </w:tc>
        <w:tc>
          <w:tcPr>
            <w:tcW w:w="1150" w:type="dxa"/>
            <w:tcBorders>
              <w:top w:val="nil"/>
              <w:left w:val="nil"/>
              <w:bottom w:val="nil"/>
              <w:right w:val="single" w:sz="8" w:space="0" w:color="800000"/>
            </w:tcBorders>
            <w:shd w:val="clear" w:color="000000" w:fill="FFFFCC"/>
            <w:vAlign w:val="center"/>
          </w:tcPr>
          <w:p w14:paraId="202BF51A" w14:textId="36D86365" w:rsidR="00830245" w:rsidRPr="003A1E72" w:rsidRDefault="00830245" w:rsidP="00830245">
            <w:pPr>
              <w:tabs>
                <w:tab w:val="left" w:pos="792"/>
              </w:tabs>
              <w:jc w:val="right"/>
              <w:rPr>
                <w:b/>
                <w:bCs/>
                <w:sz w:val="18"/>
                <w:szCs w:val="18"/>
              </w:rPr>
            </w:pPr>
            <w:r>
              <w:rPr>
                <w:b/>
                <w:bCs/>
                <w:sz w:val="18"/>
                <w:szCs w:val="18"/>
              </w:rPr>
              <w:t>21 541,5</w:t>
            </w:r>
          </w:p>
        </w:tc>
        <w:tc>
          <w:tcPr>
            <w:tcW w:w="959" w:type="dxa"/>
            <w:tcBorders>
              <w:top w:val="nil"/>
              <w:left w:val="nil"/>
              <w:bottom w:val="nil"/>
              <w:right w:val="single" w:sz="8" w:space="0" w:color="800000"/>
            </w:tcBorders>
            <w:shd w:val="clear" w:color="000000" w:fill="FFFFCC"/>
            <w:vAlign w:val="center"/>
          </w:tcPr>
          <w:p w14:paraId="5166B964" w14:textId="473AF666" w:rsidR="00830245" w:rsidRPr="003A1E72" w:rsidRDefault="00830245" w:rsidP="00830245">
            <w:pPr>
              <w:jc w:val="right"/>
              <w:rPr>
                <w:b/>
                <w:bCs/>
                <w:sz w:val="18"/>
                <w:szCs w:val="18"/>
              </w:rPr>
            </w:pPr>
            <w:r>
              <w:rPr>
                <w:b/>
                <w:bCs/>
                <w:sz w:val="18"/>
                <w:szCs w:val="18"/>
              </w:rPr>
              <w:t>13,0%</w:t>
            </w:r>
          </w:p>
        </w:tc>
      </w:tr>
      <w:tr w:rsidR="00830245" w:rsidRPr="00786859" w14:paraId="7C6075B6"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5DA05D3F" w14:textId="77777777" w:rsidR="00830245" w:rsidRPr="003A1E72" w:rsidRDefault="00830245" w:rsidP="00830245">
            <w:pPr>
              <w:rPr>
                <w:sz w:val="18"/>
                <w:szCs w:val="18"/>
              </w:rPr>
            </w:pPr>
            <w:r w:rsidRPr="003A1E72">
              <w:rPr>
                <w:sz w:val="18"/>
                <w:szCs w:val="18"/>
              </w:rPr>
              <w:t>ДДС</w:t>
            </w:r>
          </w:p>
        </w:tc>
        <w:tc>
          <w:tcPr>
            <w:tcW w:w="983" w:type="dxa"/>
            <w:tcBorders>
              <w:top w:val="nil"/>
              <w:left w:val="nil"/>
              <w:bottom w:val="nil"/>
              <w:right w:val="single" w:sz="8" w:space="0" w:color="800000"/>
            </w:tcBorders>
            <w:shd w:val="clear" w:color="000000" w:fill="FFFFCC"/>
            <w:vAlign w:val="center"/>
            <w:hideMark/>
          </w:tcPr>
          <w:p w14:paraId="6C263272" w14:textId="77777777" w:rsidR="00830245" w:rsidRPr="003A1E72" w:rsidRDefault="00830245" w:rsidP="00830245">
            <w:pPr>
              <w:jc w:val="right"/>
              <w:rPr>
                <w:sz w:val="18"/>
                <w:szCs w:val="18"/>
              </w:rPr>
            </w:pPr>
            <w:r w:rsidRPr="003A1E72">
              <w:rPr>
                <w:sz w:val="18"/>
                <w:szCs w:val="18"/>
              </w:rPr>
              <w:t>11 021,0</w:t>
            </w:r>
          </w:p>
        </w:tc>
        <w:tc>
          <w:tcPr>
            <w:tcW w:w="713" w:type="dxa"/>
            <w:tcBorders>
              <w:top w:val="nil"/>
              <w:left w:val="nil"/>
              <w:bottom w:val="nil"/>
              <w:right w:val="double" w:sz="6" w:space="0" w:color="800000"/>
            </w:tcBorders>
            <w:shd w:val="clear" w:color="000000" w:fill="FFFFCC"/>
            <w:vAlign w:val="center"/>
            <w:hideMark/>
          </w:tcPr>
          <w:p w14:paraId="106A2339" w14:textId="77777777" w:rsidR="00830245" w:rsidRPr="003A1E72" w:rsidRDefault="00830245" w:rsidP="00830245">
            <w:pPr>
              <w:jc w:val="right"/>
              <w:rPr>
                <w:bCs/>
                <w:sz w:val="18"/>
                <w:szCs w:val="18"/>
              </w:rPr>
            </w:pPr>
            <w:r w:rsidRPr="003A1E72">
              <w:rPr>
                <w:sz w:val="18"/>
                <w:szCs w:val="18"/>
              </w:rPr>
              <w:t>9,</w:t>
            </w:r>
            <w:r>
              <w:rPr>
                <w:sz w:val="18"/>
                <w:szCs w:val="18"/>
              </w:rPr>
              <w:t>1</w:t>
            </w:r>
            <w:r w:rsidRPr="003A1E72">
              <w:rPr>
                <w:sz w:val="18"/>
                <w:szCs w:val="18"/>
              </w:rPr>
              <w:t>%</w:t>
            </w:r>
          </w:p>
        </w:tc>
        <w:tc>
          <w:tcPr>
            <w:tcW w:w="915" w:type="dxa"/>
            <w:tcBorders>
              <w:top w:val="nil"/>
              <w:left w:val="nil"/>
              <w:bottom w:val="nil"/>
              <w:right w:val="single" w:sz="8" w:space="0" w:color="800000"/>
            </w:tcBorders>
            <w:shd w:val="clear" w:color="000000" w:fill="FFFFCC"/>
            <w:vAlign w:val="center"/>
            <w:hideMark/>
          </w:tcPr>
          <w:p w14:paraId="52D5F315" w14:textId="77777777" w:rsidR="00830245" w:rsidRPr="003A1E72" w:rsidRDefault="00830245" w:rsidP="00830245">
            <w:pPr>
              <w:tabs>
                <w:tab w:val="left" w:pos="792"/>
              </w:tabs>
              <w:jc w:val="right"/>
              <w:rPr>
                <w:sz w:val="18"/>
                <w:szCs w:val="18"/>
              </w:rPr>
            </w:pPr>
            <w:r w:rsidRPr="003A1E72">
              <w:rPr>
                <w:sz w:val="18"/>
                <w:szCs w:val="18"/>
              </w:rPr>
              <w:t>12 978,5</w:t>
            </w:r>
          </w:p>
        </w:tc>
        <w:tc>
          <w:tcPr>
            <w:tcW w:w="713" w:type="dxa"/>
            <w:tcBorders>
              <w:top w:val="nil"/>
              <w:left w:val="nil"/>
              <w:bottom w:val="nil"/>
              <w:right w:val="double" w:sz="6" w:space="0" w:color="800000"/>
            </w:tcBorders>
            <w:shd w:val="clear" w:color="000000" w:fill="FFFFCC"/>
            <w:vAlign w:val="center"/>
            <w:hideMark/>
          </w:tcPr>
          <w:p w14:paraId="74DB615D" w14:textId="77777777" w:rsidR="00830245" w:rsidRPr="003A1E72" w:rsidRDefault="00830245" w:rsidP="00830245">
            <w:pPr>
              <w:jc w:val="right"/>
              <w:rPr>
                <w:sz w:val="18"/>
                <w:szCs w:val="18"/>
              </w:rPr>
            </w:pPr>
            <w:r w:rsidRPr="003A1E72">
              <w:rPr>
                <w:sz w:val="18"/>
                <w:szCs w:val="18"/>
              </w:rPr>
              <w:t>9,</w:t>
            </w:r>
            <w:r>
              <w:rPr>
                <w:sz w:val="18"/>
                <w:szCs w:val="18"/>
              </w:rPr>
              <w:t>3</w:t>
            </w:r>
            <w:r w:rsidRPr="003A1E72">
              <w:rPr>
                <w:sz w:val="18"/>
                <w:szCs w:val="18"/>
              </w:rPr>
              <w:t>%</w:t>
            </w:r>
          </w:p>
        </w:tc>
        <w:tc>
          <w:tcPr>
            <w:tcW w:w="867" w:type="dxa"/>
            <w:tcBorders>
              <w:top w:val="nil"/>
              <w:left w:val="nil"/>
              <w:bottom w:val="nil"/>
              <w:right w:val="single" w:sz="8" w:space="0" w:color="800000"/>
            </w:tcBorders>
            <w:shd w:val="clear" w:color="000000" w:fill="FFFFCC"/>
            <w:vAlign w:val="center"/>
          </w:tcPr>
          <w:p w14:paraId="1F332CD7" w14:textId="25510D8B" w:rsidR="00830245" w:rsidRPr="00233B16" w:rsidRDefault="00830245" w:rsidP="00830245">
            <w:pPr>
              <w:tabs>
                <w:tab w:val="left" w:pos="792"/>
              </w:tabs>
              <w:jc w:val="right"/>
              <w:rPr>
                <w:bCs/>
                <w:sz w:val="18"/>
                <w:szCs w:val="18"/>
                <w:lang w:val="en-US"/>
              </w:rPr>
            </w:pPr>
            <w:r>
              <w:rPr>
                <w:sz w:val="18"/>
                <w:szCs w:val="18"/>
              </w:rPr>
              <w:t>15 331,3</w:t>
            </w:r>
          </w:p>
        </w:tc>
        <w:tc>
          <w:tcPr>
            <w:tcW w:w="716" w:type="dxa"/>
            <w:tcBorders>
              <w:top w:val="nil"/>
              <w:left w:val="nil"/>
              <w:bottom w:val="nil"/>
              <w:right w:val="single" w:sz="8" w:space="0" w:color="800000"/>
            </w:tcBorders>
            <w:shd w:val="clear" w:color="000000" w:fill="FFFFCC"/>
            <w:vAlign w:val="center"/>
            <w:hideMark/>
          </w:tcPr>
          <w:p w14:paraId="094BF7EB" w14:textId="2350A0DA" w:rsidR="00830245" w:rsidRPr="00830245" w:rsidRDefault="00830245" w:rsidP="00830245">
            <w:pPr>
              <w:jc w:val="right"/>
              <w:rPr>
                <w:b/>
                <w:bCs/>
                <w:sz w:val="18"/>
                <w:szCs w:val="18"/>
              </w:rPr>
            </w:pPr>
            <w:r w:rsidRPr="00830245">
              <w:rPr>
                <w:b/>
                <w:bCs/>
                <w:sz w:val="18"/>
                <w:szCs w:val="18"/>
              </w:rPr>
              <w:t>9,3%</w:t>
            </w:r>
          </w:p>
        </w:tc>
        <w:tc>
          <w:tcPr>
            <w:tcW w:w="1150" w:type="dxa"/>
            <w:tcBorders>
              <w:top w:val="nil"/>
              <w:left w:val="nil"/>
              <w:bottom w:val="nil"/>
              <w:right w:val="single" w:sz="8" w:space="0" w:color="800000"/>
            </w:tcBorders>
            <w:shd w:val="clear" w:color="000000" w:fill="FFFFCC"/>
            <w:vAlign w:val="center"/>
          </w:tcPr>
          <w:p w14:paraId="4272B49C" w14:textId="5B3F0D66" w:rsidR="00830245" w:rsidRPr="00830245" w:rsidRDefault="00830245" w:rsidP="00830245">
            <w:pPr>
              <w:tabs>
                <w:tab w:val="left" w:pos="792"/>
              </w:tabs>
              <w:jc w:val="right"/>
              <w:rPr>
                <w:b/>
                <w:bCs/>
                <w:sz w:val="18"/>
                <w:szCs w:val="18"/>
              </w:rPr>
            </w:pPr>
            <w:r w:rsidRPr="00830245">
              <w:rPr>
                <w:b/>
                <w:bCs/>
                <w:sz w:val="18"/>
                <w:szCs w:val="18"/>
              </w:rPr>
              <w:t>15 331,3</w:t>
            </w:r>
          </w:p>
        </w:tc>
        <w:tc>
          <w:tcPr>
            <w:tcW w:w="959" w:type="dxa"/>
            <w:tcBorders>
              <w:top w:val="nil"/>
              <w:left w:val="nil"/>
              <w:bottom w:val="nil"/>
              <w:right w:val="single" w:sz="8" w:space="0" w:color="800000"/>
            </w:tcBorders>
            <w:shd w:val="clear" w:color="000000" w:fill="FFFFCC"/>
            <w:vAlign w:val="center"/>
          </w:tcPr>
          <w:p w14:paraId="45878E07" w14:textId="085F3168" w:rsidR="00830245" w:rsidRPr="003A1E72" w:rsidRDefault="00830245" w:rsidP="00830245">
            <w:pPr>
              <w:jc w:val="right"/>
              <w:rPr>
                <w:sz w:val="18"/>
                <w:szCs w:val="18"/>
              </w:rPr>
            </w:pPr>
            <w:r>
              <w:rPr>
                <w:sz w:val="18"/>
                <w:szCs w:val="18"/>
              </w:rPr>
              <w:t>9,3%</w:t>
            </w:r>
          </w:p>
        </w:tc>
      </w:tr>
      <w:tr w:rsidR="00830245" w:rsidRPr="00786859" w14:paraId="55FA4948"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1B90B8C9" w14:textId="77777777" w:rsidR="00830245" w:rsidRPr="003A1E72" w:rsidRDefault="00830245" w:rsidP="00830245">
            <w:pPr>
              <w:rPr>
                <w:sz w:val="18"/>
                <w:szCs w:val="18"/>
              </w:rPr>
            </w:pPr>
            <w:r w:rsidRPr="003A1E72">
              <w:rPr>
                <w:sz w:val="18"/>
                <w:szCs w:val="18"/>
              </w:rPr>
              <w:t xml:space="preserve">Акцизи   </w:t>
            </w:r>
          </w:p>
        </w:tc>
        <w:tc>
          <w:tcPr>
            <w:tcW w:w="983" w:type="dxa"/>
            <w:tcBorders>
              <w:top w:val="nil"/>
              <w:left w:val="nil"/>
              <w:bottom w:val="nil"/>
              <w:right w:val="single" w:sz="8" w:space="0" w:color="800000"/>
            </w:tcBorders>
            <w:shd w:val="clear" w:color="000000" w:fill="FFFFCC"/>
            <w:vAlign w:val="center"/>
            <w:hideMark/>
          </w:tcPr>
          <w:p w14:paraId="1A0DBFA1" w14:textId="77777777" w:rsidR="00830245" w:rsidRPr="003A1E72" w:rsidRDefault="00830245" w:rsidP="00830245">
            <w:pPr>
              <w:jc w:val="right"/>
              <w:rPr>
                <w:sz w:val="18"/>
                <w:szCs w:val="18"/>
              </w:rPr>
            </w:pPr>
            <w:r w:rsidRPr="003A1E72">
              <w:rPr>
                <w:sz w:val="18"/>
                <w:szCs w:val="18"/>
              </w:rPr>
              <w:t>5 444,5</w:t>
            </w:r>
          </w:p>
        </w:tc>
        <w:tc>
          <w:tcPr>
            <w:tcW w:w="713" w:type="dxa"/>
            <w:tcBorders>
              <w:top w:val="nil"/>
              <w:left w:val="nil"/>
              <w:bottom w:val="nil"/>
              <w:right w:val="double" w:sz="6" w:space="0" w:color="800000"/>
            </w:tcBorders>
            <w:shd w:val="clear" w:color="000000" w:fill="FFFFCC"/>
            <w:vAlign w:val="center"/>
            <w:hideMark/>
          </w:tcPr>
          <w:p w14:paraId="1C7D3757" w14:textId="77777777" w:rsidR="00830245" w:rsidRPr="003A1E72" w:rsidRDefault="00830245" w:rsidP="00830245">
            <w:pPr>
              <w:jc w:val="right"/>
              <w:rPr>
                <w:bCs/>
                <w:sz w:val="18"/>
                <w:szCs w:val="18"/>
              </w:rPr>
            </w:pPr>
            <w:r w:rsidRPr="003A1E72">
              <w:rPr>
                <w:sz w:val="18"/>
                <w:szCs w:val="18"/>
              </w:rPr>
              <w:t>4,</w:t>
            </w:r>
            <w:r w:rsidRPr="003A1E72">
              <w:rPr>
                <w:sz w:val="18"/>
                <w:szCs w:val="18"/>
                <w:lang w:val="en-US"/>
              </w:rPr>
              <w:t>5</w:t>
            </w:r>
            <w:r w:rsidRPr="003A1E72">
              <w:rPr>
                <w:sz w:val="18"/>
                <w:szCs w:val="18"/>
              </w:rPr>
              <w:t>%</w:t>
            </w:r>
          </w:p>
        </w:tc>
        <w:tc>
          <w:tcPr>
            <w:tcW w:w="915" w:type="dxa"/>
            <w:tcBorders>
              <w:top w:val="nil"/>
              <w:left w:val="nil"/>
              <w:bottom w:val="nil"/>
              <w:right w:val="single" w:sz="8" w:space="0" w:color="800000"/>
            </w:tcBorders>
            <w:shd w:val="clear" w:color="000000" w:fill="FFFFCC"/>
            <w:vAlign w:val="center"/>
            <w:hideMark/>
          </w:tcPr>
          <w:p w14:paraId="0AC0D2C2" w14:textId="77777777" w:rsidR="00830245" w:rsidRPr="003A1E72" w:rsidRDefault="00830245" w:rsidP="00830245">
            <w:pPr>
              <w:tabs>
                <w:tab w:val="left" w:pos="792"/>
              </w:tabs>
              <w:jc w:val="right"/>
              <w:rPr>
                <w:sz w:val="18"/>
                <w:szCs w:val="18"/>
              </w:rPr>
            </w:pPr>
            <w:r w:rsidRPr="003A1E72">
              <w:rPr>
                <w:sz w:val="18"/>
                <w:szCs w:val="18"/>
              </w:rPr>
              <w:t>5 659,8</w:t>
            </w:r>
          </w:p>
        </w:tc>
        <w:tc>
          <w:tcPr>
            <w:tcW w:w="713" w:type="dxa"/>
            <w:tcBorders>
              <w:top w:val="nil"/>
              <w:left w:val="nil"/>
              <w:bottom w:val="nil"/>
              <w:right w:val="double" w:sz="6" w:space="0" w:color="800000"/>
            </w:tcBorders>
            <w:shd w:val="clear" w:color="000000" w:fill="FFFFCC"/>
            <w:vAlign w:val="center"/>
            <w:hideMark/>
          </w:tcPr>
          <w:p w14:paraId="22622143" w14:textId="77777777" w:rsidR="00830245" w:rsidRPr="003A1E72" w:rsidRDefault="00830245" w:rsidP="00830245">
            <w:pPr>
              <w:jc w:val="right"/>
              <w:rPr>
                <w:sz w:val="18"/>
                <w:szCs w:val="18"/>
              </w:rPr>
            </w:pPr>
            <w:r w:rsidRPr="003A1E72">
              <w:rPr>
                <w:sz w:val="18"/>
                <w:szCs w:val="18"/>
              </w:rPr>
              <w:t>4,</w:t>
            </w:r>
            <w:r>
              <w:rPr>
                <w:sz w:val="18"/>
                <w:szCs w:val="18"/>
              </w:rPr>
              <w:t>1</w:t>
            </w:r>
            <w:r w:rsidRPr="003A1E72">
              <w:rPr>
                <w:sz w:val="18"/>
                <w:szCs w:val="18"/>
              </w:rPr>
              <w:t>%</w:t>
            </w:r>
          </w:p>
        </w:tc>
        <w:tc>
          <w:tcPr>
            <w:tcW w:w="867" w:type="dxa"/>
            <w:tcBorders>
              <w:top w:val="nil"/>
              <w:left w:val="nil"/>
              <w:bottom w:val="nil"/>
              <w:right w:val="single" w:sz="8" w:space="0" w:color="800000"/>
            </w:tcBorders>
            <w:shd w:val="clear" w:color="000000" w:fill="FFFFCC"/>
            <w:vAlign w:val="center"/>
          </w:tcPr>
          <w:p w14:paraId="29A2D771" w14:textId="4BC52728" w:rsidR="00830245" w:rsidRPr="00233B16" w:rsidRDefault="00830245" w:rsidP="00830245">
            <w:pPr>
              <w:tabs>
                <w:tab w:val="left" w:pos="792"/>
              </w:tabs>
              <w:jc w:val="right"/>
              <w:rPr>
                <w:bCs/>
                <w:sz w:val="18"/>
                <w:szCs w:val="18"/>
                <w:lang w:val="en-US"/>
              </w:rPr>
            </w:pPr>
            <w:r>
              <w:rPr>
                <w:sz w:val="18"/>
                <w:szCs w:val="18"/>
              </w:rPr>
              <w:t>5 706,9</w:t>
            </w:r>
          </w:p>
        </w:tc>
        <w:tc>
          <w:tcPr>
            <w:tcW w:w="716" w:type="dxa"/>
            <w:tcBorders>
              <w:top w:val="nil"/>
              <w:left w:val="nil"/>
              <w:bottom w:val="nil"/>
              <w:right w:val="single" w:sz="8" w:space="0" w:color="800000"/>
            </w:tcBorders>
            <w:shd w:val="clear" w:color="000000" w:fill="FFFFCC"/>
            <w:vAlign w:val="center"/>
            <w:hideMark/>
          </w:tcPr>
          <w:p w14:paraId="672FC431" w14:textId="104311F8" w:rsidR="00830245" w:rsidRPr="00830245" w:rsidRDefault="00830245" w:rsidP="00830245">
            <w:pPr>
              <w:jc w:val="right"/>
              <w:rPr>
                <w:b/>
                <w:bCs/>
                <w:sz w:val="18"/>
                <w:szCs w:val="18"/>
              </w:rPr>
            </w:pPr>
            <w:r w:rsidRPr="00830245">
              <w:rPr>
                <w:b/>
                <w:bCs/>
                <w:sz w:val="18"/>
                <w:szCs w:val="18"/>
              </w:rPr>
              <w:t>3,5%</w:t>
            </w:r>
          </w:p>
        </w:tc>
        <w:tc>
          <w:tcPr>
            <w:tcW w:w="1150" w:type="dxa"/>
            <w:tcBorders>
              <w:top w:val="nil"/>
              <w:left w:val="nil"/>
              <w:bottom w:val="nil"/>
              <w:right w:val="single" w:sz="8" w:space="0" w:color="800000"/>
            </w:tcBorders>
            <w:shd w:val="clear" w:color="000000" w:fill="FFFFCC"/>
            <w:vAlign w:val="center"/>
          </w:tcPr>
          <w:p w14:paraId="2E868A35" w14:textId="5DAA4D86" w:rsidR="00830245" w:rsidRPr="00830245" w:rsidRDefault="00830245" w:rsidP="00830245">
            <w:pPr>
              <w:tabs>
                <w:tab w:val="left" w:pos="792"/>
              </w:tabs>
              <w:jc w:val="right"/>
              <w:rPr>
                <w:b/>
                <w:bCs/>
                <w:sz w:val="18"/>
                <w:szCs w:val="18"/>
              </w:rPr>
            </w:pPr>
            <w:r w:rsidRPr="00830245">
              <w:rPr>
                <w:b/>
                <w:bCs/>
                <w:sz w:val="18"/>
                <w:szCs w:val="18"/>
              </w:rPr>
              <w:t>5 706,9</w:t>
            </w:r>
          </w:p>
        </w:tc>
        <w:tc>
          <w:tcPr>
            <w:tcW w:w="959" w:type="dxa"/>
            <w:tcBorders>
              <w:top w:val="nil"/>
              <w:left w:val="nil"/>
              <w:bottom w:val="nil"/>
              <w:right w:val="single" w:sz="8" w:space="0" w:color="800000"/>
            </w:tcBorders>
            <w:shd w:val="clear" w:color="000000" w:fill="FFFFCC"/>
            <w:vAlign w:val="center"/>
          </w:tcPr>
          <w:p w14:paraId="7A70D723" w14:textId="14844DC3" w:rsidR="00830245" w:rsidRPr="003A1E72" w:rsidRDefault="00830245" w:rsidP="00830245">
            <w:pPr>
              <w:jc w:val="right"/>
              <w:rPr>
                <w:sz w:val="18"/>
                <w:szCs w:val="18"/>
              </w:rPr>
            </w:pPr>
            <w:r>
              <w:rPr>
                <w:sz w:val="18"/>
                <w:szCs w:val="18"/>
              </w:rPr>
              <w:t>3,5%</w:t>
            </w:r>
          </w:p>
        </w:tc>
      </w:tr>
      <w:tr w:rsidR="00830245" w:rsidRPr="00786859" w14:paraId="4CFB52A2"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7DDA3AD3" w14:textId="77777777" w:rsidR="00830245" w:rsidRPr="003A1E72" w:rsidRDefault="00830245" w:rsidP="00830245">
            <w:pPr>
              <w:rPr>
                <w:sz w:val="18"/>
                <w:szCs w:val="18"/>
              </w:rPr>
            </w:pPr>
            <w:r w:rsidRPr="003A1E72">
              <w:rPr>
                <w:sz w:val="18"/>
                <w:szCs w:val="18"/>
              </w:rPr>
              <w:t>Мита и митнически такси</w:t>
            </w:r>
          </w:p>
        </w:tc>
        <w:tc>
          <w:tcPr>
            <w:tcW w:w="983" w:type="dxa"/>
            <w:tcBorders>
              <w:top w:val="nil"/>
              <w:left w:val="nil"/>
              <w:bottom w:val="nil"/>
              <w:right w:val="single" w:sz="8" w:space="0" w:color="800000"/>
            </w:tcBorders>
            <w:shd w:val="clear" w:color="000000" w:fill="FFFFCC"/>
            <w:vAlign w:val="center"/>
            <w:hideMark/>
          </w:tcPr>
          <w:p w14:paraId="380FB188" w14:textId="77777777" w:rsidR="00830245" w:rsidRPr="003A1E72" w:rsidRDefault="00830245" w:rsidP="00830245">
            <w:pPr>
              <w:jc w:val="right"/>
              <w:rPr>
                <w:sz w:val="18"/>
                <w:szCs w:val="18"/>
              </w:rPr>
            </w:pPr>
            <w:r w:rsidRPr="003A1E72">
              <w:rPr>
                <w:sz w:val="18"/>
                <w:szCs w:val="18"/>
              </w:rPr>
              <w:t>209,9</w:t>
            </w:r>
          </w:p>
        </w:tc>
        <w:tc>
          <w:tcPr>
            <w:tcW w:w="713" w:type="dxa"/>
            <w:tcBorders>
              <w:top w:val="nil"/>
              <w:left w:val="nil"/>
              <w:bottom w:val="nil"/>
              <w:right w:val="double" w:sz="6" w:space="0" w:color="800000"/>
            </w:tcBorders>
            <w:shd w:val="clear" w:color="000000" w:fill="FFFFCC"/>
            <w:vAlign w:val="center"/>
            <w:hideMark/>
          </w:tcPr>
          <w:p w14:paraId="4D1A7211" w14:textId="77777777" w:rsidR="00830245" w:rsidRPr="003A1E72" w:rsidRDefault="00830245" w:rsidP="00830245">
            <w:pPr>
              <w:jc w:val="right"/>
              <w:rPr>
                <w:bCs/>
                <w:sz w:val="18"/>
                <w:szCs w:val="18"/>
              </w:rPr>
            </w:pPr>
            <w:r w:rsidRPr="003A1E72">
              <w:rPr>
                <w:sz w:val="18"/>
                <w:szCs w:val="18"/>
              </w:rPr>
              <w:t>0,2%</w:t>
            </w:r>
          </w:p>
        </w:tc>
        <w:tc>
          <w:tcPr>
            <w:tcW w:w="915" w:type="dxa"/>
            <w:tcBorders>
              <w:top w:val="nil"/>
              <w:left w:val="nil"/>
              <w:bottom w:val="nil"/>
              <w:right w:val="single" w:sz="8" w:space="0" w:color="800000"/>
            </w:tcBorders>
            <w:shd w:val="clear" w:color="000000" w:fill="FFFFCC"/>
            <w:vAlign w:val="center"/>
            <w:hideMark/>
          </w:tcPr>
          <w:p w14:paraId="0A96D0D8" w14:textId="77777777" w:rsidR="00830245" w:rsidRPr="003A1E72" w:rsidRDefault="00830245" w:rsidP="00830245">
            <w:pPr>
              <w:tabs>
                <w:tab w:val="left" w:pos="792"/>
              </w:tabs>
              <w:jc w:val="right"/>
              <w:rPr>
                <w:sz w:val="18"/>
                <w:szCs w:val="18"/>
              </w:rPr>
            </w:pPr>
            <w:r w:rsidRPr="003A1E72">
              <w:rPr>
                <w:sz w:val="18"/>
                <w:szCs w:val="18"/>
              </w:rPr>
              <w:t>289,7</w:t>
            </w:r>
          </w:p>
        </w:tc>
        <w:tc>
          <w:tcPr>
            <w:tcW w:w="713" w:type="dxa"/>
            <w:tcBorders>
              <w:top w:val="nil"/>
              <w:left w:val="nil"/>
              <w:bottom w:val="nil"/>
              <w:right w:val="double" w:sz="6" w:space="0" w:color="800000"/>
            </w:tcBorders>
            <w:shd w:val="clear" w:color="000000" w:fill="FFFFCC"/>
            <w:vAlign w:val="center"/>
            <w:hideMark/>
          </w:tcPr>
          <w:p w14:paraId="56D699B4" w14:textId="77777777" w:rsidR="00830245" w:rsidRPr="003A1E72" w:rsidRDefault="00830245" w:rsidP="00830245">
            <w:pPr>
              <w:jc w:val="right"/>
              <w:rPr>
                <w:sz w:val="18"/>
                <w:szCs w:val="18"/>
              </w:rPr>
            </w:pPr>
            <w:r w:rsidRPr="003A1E72">
              <w:rPr>
                <w:sz w:val="18"/>
                <w:szCs w:val="18"/>
              </w:rPr>
              <w:t>0,2%</w:t>
            </w:r>
          </w:p>
        </w:tc>
        <w:tc>
          <w:tcPr>
            <w:tcW w:w="867" w:type="dxa"/>
            <w:tcBorders>
              <w:top w:val="nil"/>
              <w:left w:val="nil"/>
              <w:bottom w:val="nil"/>
              <w:right w:val="single" w:sz="8" w:space="0" w:color="800000"/>
            </w:tcBorders>
            <w:shd w:val="clear" w:color="000000" w:fill="FFFFCC"/>
            <w:vAlign w:val="center"/>
          </w:tcPr>
          <w:p w14:paraId="01D360D1" w14:textId="619FE4EC" w:rsidR="00830245" w:rsidRPr="00233B16" w:rsidRDefault="00830245" w:rsidP="00830245">
            <w:pPr>
              <w:tabs>
                <w:tab w:val="left" w:pos="792"/>
              </w:tabs>
              <w:jc w:val="right"/>
              <w:rPr>
                <w:bCs/>
                <w:sz w:val="18"/>
                <w:szCs w:val="18"/>
                <w:lang w:val="en-US"/>
              </w:rPr>
            </w:pPr>
            <w:r>
              <w:rPr>
                <w:sz w:val="18"/>
                <w:szCs w:val="18"/>
              </w:rPr>
              <w:t>451,2</w:t>
            </w:r>
          </w:p>
        </w:tc>
        <w:tc>
          <w:tcPr>
            <w:tcW w:w="716" w:type="dxa"/>
            <w:tcBorders>
              <w:top w:val="nil"/>
              <w:left w:val="nil"/>
              <w:bottom w:val="nil"/>
              <w:right w:val="single" w:sz="8" w:space="0" w:color="800000"/>
            </w:tcBorders>
            <w:shd w:val="clear" w:color="000000" w:fill="FFFFCC"/>
            <w:vAlign w:val="center"/>
            <w:hideMark/>
          </w:tcPr>
          <w:p w14:paraId="2535DDE9" w14:textId="722B7705" w:rsidR="00830245" w:rsidRPr="00830245" w:rsidRDefault="00830245" w:rsidP="00830245">
            <w:pPr>
              <w:jc w:val="right"/>
              <w:rPr>
                <w:b/>
                <w:bCs/>
                <w:sz w:val="18"/>
                <w:szCs w:val="18"/>
              </w:rPr>
            </w:pPr>
            <w:r w:rsidRPr="00830245">
              <w:rPr>
                <w:b/>
                <w:bCs/>
                <w:sz w:val="18"/>
                <w:szCs w:val="18"/>
              </w:rPr>
              <w:t>0,3%</w:t>
            </w:r>
          </w:p>
        </w:tc>
        <w:tc>
          <w:tcPr>
            <w:tcW w:w="1150" w:type="dxa"/>
            <w:tcBorders>
              <w:top w:val="nil"/>
              <w:left w:val="nil"/>
              <w:bottom w:val="nil"/>
              <w:right w:val="single" w:sz="8" w:space="0" w:color="800000"/>
            </w:tcBorders>
            <w:shd w:val="clear" w:color="000000" w:fill="FFFFCC"/>
            <w:vAlign w:val="center"/>
          </w:tcPr>
          <w:p w14:paraId="1E8EFF07" w14:textId="7CE10810" w:rsidR="00830245" w:rsidRPr="00830245" w:rsidRDefault="00830245" w:rsidP="00830245">
            <w:pPr>
              <w:tabs>
                <w:tab w:val="left" w:pos="792"/>
              </w:tabs>
              <w:jc w:val="right"/>
              <w:rPr>
                <w:b/>
                <w:bCs/>
                <w:sz w:val="18"/>
                <w:szCs w:val="18"/>
              </w:rPr>
            </w:pPr>
            <w:r w:rsidRPr="00830245">
              <w:rPr>
                <w:b/>
                <w:bCs/>
                <w:sz w:val="18"/>
                <w:szCs w:val="18"/>
              </w:rPr>
              <w:t>451,2</w:t>
            </w:r>
          </w:p>
        </w:tc>
        <w:tc>
          <w:tcPr>
            <w:tcW w:w="959" w:type="dxa"/>
            <w:tcBorders>
              <w:top w:val="nil"/>
              <w:left w:val="nil"/>
              <w:bottom w:val="nil"/>
              <w:right w:val="single" w:sz="8" w:space="0" w:color="800000"/>
            </w:tcBorders>
            <w:shd w:val="clear" w:color="000000" w:fill="FFFFCC"/>
            <w:vAlign w:val="center"/>
          </w:tcPr>
          <w:p w14:paraId="6EDA6FAE" w14:textId="5CEE48D4" w:rsidR="00830245" w:rsidRPr="003A1E72" w:rsidRDefault="00830245" w:rsidP="00830245">
            <w:pPr>
              <w:jc w:val="right"/>
              <w:rPr>
                <w:sz w:val="18"/>
                <w:szCs w:val="18"/>
              </w:rPr>
            </w:pPr>
            <w:r>
              <w:rPr>
                <w:sz w:val="18"/>
                <w:szCs w:val="18"/>
              </w:rPr>
              <w:t>0,3%</w:t>
            </w:r>
          </w:p>
        </w:tc>
      </w:tr>
      <w:tr w:rsidR="00830245" w:rsidRPr="00786859" w14:paraId="4C15628F"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609DE465" w14:textId="77777777" w:rsidR="00830245" w:rsidRPr="003A1E72" w:rsidRDefault="00830245" w:rsidP="00830245">
            <w:pPr>
              <w:rPr>
                <w:sz w:val="18"/>
                <w:szCs w:val="18"/>
              </w:rPr>
            </w:pPr>
            <w:r w:rsidRPr="003A1E72">
              <w:rPr>
                <w:sz w:val="18"/>
                <w:szCs w:val="18"/>
              </w:rPr>
              <w:t>Данък върху застрахователните премии</w:t>
            </w:r>
          </w:p>
        </w:tc>
        <w:tc>
          <w:tcPr>
            <w:tcW w:w="983" w:type="dxa"/>
            <w:tcBorders>
              <w:top w:val="nil"/>
              <w:left w:val="nil"/>
              <w:bottom w:val="nil"/>
              <w:right w:val="single" w:sz="8" w:space="0" w:color="800000"/>
            </w:tcBorders>
            <w:shd w:val="clear" w:color="000000" w:fill="FFFFCC"/>
            <w:vAlign w:val="center"/>
            <w:hideMark/>
          </w:tcPr>
          <w:p w14:paraId="244FE4D7" w14:textId="77777777" w:rsidR="00830245" w:rsidRPr="003A1E72" w:rsidRDefault="00830245" w:rsidP="00830245">
            <w:pPr>
              <w:jc w:val="right"/>
              <w:rPr>
                <w:sz w:val="18"/>
                <w:szCs w:val="18"/>
              </w:rPr>
            </w:pPr>
            <w:r w:rsidRPr="003A1E72">
              <w:rPr>
                <w:sz w:val="18"/>
                <w:szCs w:val="18"/>
              </w:rPr>
              <w:t>47,0</w:t>
            </w:r>
          </w:p>
        </w:tc>
        <w:tc>
          <w:tcPr>
            <w:tcW w:w="713" w:type="dxa"/>
            <w:tcBorders>
              <w:top w:val="nil"/>
              <w:left w:val="nil"/>
              <w:bottom w:val="nil"/>
              <w:right w:val="double" w:sz="6" w:space="0" w:color="800000"/>
            </w:tcBorders>
            <w:shd w:val="clear" w:color="000000" w:fill="FFFFCC"/>
            <w:vAlign w:val="center"/>
            <w:hideMark/>
          </w:tcPr>
          <w:p w14:paraId="280AC008" w14:textId="77777777" w:rsidR="00830245" w:rsidRPr="003A1E72" w:rsidRDefault="00830245" w:rsidP="00830245">
            <w:pPr>
              <w:jc w:val="right"/>
              <w:rPr>
                <w:bCs/>
                <w:sz w:val="18"/>
                <w:szCs w:val="18"/>
              </w:rPr>
            </w:pPr>
            <w:r w:rsidRPr="003A1E72">
              <w:rPr>
                <w:sz w:val="18"/>
                <w:szCs w:val="18"/>
              </w:rPr>
              <w:t>0,0%</w:t>
            </w:r>
          </w:p>
        </w:tc>
        <w:tc>
          <w:tcPr>
            <w:tcW w:w="915" w:type="dxa"/>
            <w:tcBorders>
              <w:top w:val="nil"/>
              <w:left w:val="nil"/>
              <w:bottom w:val="nil"/>
              <w:right w:val="single" w:sz="8" w:space="0" w:color="800000"/>
            </w:tcBorders>
            <w:shd w:val="clear" w:color="000000" w:fill="FFFFCC"/>
            <w:vAlign w:val="center"/>
            <w:hideMark/>
          </w:tcPr>
          <w:p w14:paraId="3F75C806" w14:textId="77777777" w:rsidR="00830245" w:rsidRPr="003A1E72" w:rsidRDefault="00830245" w:rsidP="00830245">
            <w:pPr>
              <w:tabs>
                <w:tab w:val="left" w:pos="792"/>
              </w:tabs>
              <w:jc w:val="right"/>
              <w:rPr>
                <w:sz w:val="18"/>
                <w:szCs w:val="18"/>
              </w:rPr>
            </w:pPr>
            <w:r w:rsidRPr="003A1E72">
              <w:rPr>
                <w:sz w:val="18"/>
                <w:szCs w:val="18"/>
              </w:rPr>
              <w:t>48,3</w:t>
            </w:r>
          </w:p>
        </w:tc>
        <w:tc>
          <w:tcPr>
            <w:tcW w:w="713" w:type="dxa"/>
            <w:tcBorders>
              <w:top w:val="nil"/>
              <w:left w:val="nil"/>
              <w:bottom w:val="nil"/>
              <w:right w:val="double" w:sz="6" w:space="0" w:color="800000"/>
            </w:tcBorders>
            <w:shd w:val="clear" w:color="000000" w:fill="FFFFCC"/>
            <w:vAlign w:val="center"/>
            <w:hideMark/>
          </w:tcPr>
          <w:p w14:paraId="24877535" w14:textId="77777777" w:rsidR="00830245" w:rsidRPr="003A1E72" w:rsidRDefault="00830245" w:rsidP="00830245">
            <w:pPr>
              <w:jc w:val="right"/>
              <w:rPr>
                <w:sz w:val="18"/>
                <w:szCs w:val="18"/>
              </w:rPr>
            </w:pPr>
            <w:r w:rsidRPr="003A1E72">
              <w:rPr>
                <w:sz w:val="18"/>
                <w:szCs w:val="18"/>
              </w:rPr>
              <w:t>0,0%</w:t>
            </w:r>
          </w:p>
        </w:tc>
        <w:tc>
          <w:tcPr>
            <w:tcW w:w="867" w:type="dxa"/>
            <w:tcBorders>
              <w:top w:val="nil"/>
              <w:left w:val="nil"/>
              <w:bottom w:val="nil"/>
              <w:right w:val="single" w:sz="8" w:space="0" w:color="800000"/>
            </w:tcBorders>
            <w:shd w:val="clear" w:color="000000" w:fill="FFFFCC"/>
            <w:vAlign w:val="center"/>
          </w:tcPr>
          <w:p w14:paraId="7BA842B9" w14:textId="762124DC" w:rsidR="00830245" w:rsidRPr="00233B16" w:rsidRDefault="00830245" w:rsidP="00830245">
            <w:pPr>
              <w:tabs>
                <w:tab w:val="left" w:pos="792"/>
              </w:tabs>
              <w:jc w:val="right"/>
              <w:rPr>
                <w:bCs/>
                <w:sz w:val="18"/>
                <w:szCs w:val="18"/>
                <w:lang w:val="en-US"/>
              </w:rPr>
            </w:pPr>
            <w:r>
              <w:rPr>
                <w:sz w:val="18"/>
                <w:szCs w:val="18"/>
              </w:rPr>
              <w:t>52,2</w:t>
            </w:r>
          </w:p>
        </w:tc>
        <w:tc>
          <w:tcPr>
            <w:tcW w:w="716" w:type="dxa"/>
            <w:tcBorders>
              <w:top w:val="nil"/>
              <w:left w:val="nil"/>
              <w:bottom w:val="nil"/>
              <w:right w:val="single" w:sz="8" w:space="0" w:color="800000"/>
            </w:tcBorders>
            <w:shd w:val="clear" w:color="000000" w:fill="FFFFCC"/>
            <w:vAlign w:val="center"/>
            <w:hideMark/>
          </w:tcPr>
          <w:p w14:paraId="0114B68F" w14:textId="33E4B36E" w:rsidR="00830245" w:rsidRPr="00830245" w:rsidRDefault="00830245" w:rsidP="00830245">
            <w:pPr>
              <w:jc w:val="right"/>
              <w:rPr>
                <w:b/>
                <w:bCs/>
                <w:sz w:val="18"/>
                <w:szCs w:val="18"/>
              </w:rPr>
            </w:pPr>
            <w:r w:rsidRPr="00830245">
              <w:rPr>
                <w:b/>
                <w:bCs/>
                <w:sz w:val="18"/>
                <w:szCs w:val="18"/>
              </w:rPr>
              <w:t>0,0%</w:t>
            </w:r>
          </w:p>
        </w:tc>
        <w:tc>
          <w:tcPr>
            <w:tcW w:w="1150" w:type="dxa"/>
            <w:tcBorders>
              <w:top w:val="nil"/>
              <w:left w:val="nil"/>
              <w:bottom w:val="nil"/>
              <w:right w:val="single" w:sz="8" w:space="0" w:color="800000"/>
            </w:tcBorders>
            <w:shd w:val="clear" w:color="000000" w:fill="FFFFCC"/>
            <w:vAlign w:val="center"/>
          </w:tcPr>
          <w:p w14:paraId="12AC4F76" w14:textId="7217E26D" w:rsidR="00830245" w:rsidRPr="00830245" w:rsidRDefault="00830245" w:rsidP="00830245">
            <w:pPr>
              <w:tabs>
                <w:tab w:val="left" w:pos="792"/>
              </w:tabs>
              <w:jc w:val="right"/>
              <w:rPr>
                <w:b/>
                <w:bCs/>
                <w:sz w:val="18"/>
                <w:szCs w:val="18"/>
              </w:rPr>
            </w:pPr>
            <w:r w:rsidRPr="00830245">
              <w:rPr>
                <w:b/>
                <w:bCs/>
                <w:sz w:val="18"/>
                <w:szCs w:val="18"/>
              </w:rPr>
              <w:t>52,2</w:t>
            </w:r>
          </w:p>
        </w:tc>
        <w:tc>
          <w:tcPr>
            <w:tcW w:w="959" w:type="dxa"/>
            <w:tcBorders>
              <w:top w:val="nil"/>
              <w:left w:val="nil"/>
              <w:bottom w:val="nil"/>
              <w:right w:val="single" w:sz="8" w:space="0" w:color="800000"/>
            </w:tcBorders>
            <w:shd w:val="clear" w:color="000000" w:fill="FFFFCC"/>
            <w:vAlign w:val="center"/>
          </w:tcPr>
          <w:p w14:paraId="77712E98" w14:textId="2528707E" w:rsidR="00830245" w:rsidRPr="003A1E72" w:rsidRDefault="00830245" w:rsidP="00830245">
            <w:pPr>
              <w:jc w:val="right"/>
              <w:rPr>
                <w:sz w:val="18"/>
                <w:szCs w:val="18"/>
              </w:rPr>
            </w:pPr>
            <w:r>
              <w:rPr>
                <w:sz w:val="18"/>
                <w:szCs w:val="18"/>
              </w:rPr>
              <w:t>0,0%</w:t>
            </w:r>
          </w:p>
        </w:tc>
      </w:tr>
      <w:tr w:rsidR="00830245" w:rsidRPr="00786859" w14:paraId="4A2227FE"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6B72E861" w14:textId="77777777" w:rsidR="00830245" w:rsidRPr="003A1E72" w:rsidRDefault="00830245" w:rsidP="00830245">
            <w:pPr>
              <w:rPr>
                <w:b/>
                <w:bCs/>
                <w:sz w:val="18"/>
                <w:szCs w:val="18"/>
              </w:rPr>
            </w:pPr>
            <w:r w:rsidRPr="003A1E72">
              <w:rPr>
                <w:b/>
                <w:bCs/>
                <w:sz w:val="18"/>
                <w:szCs w:val="18"/>
              </w:rPr>
              <w:t> </w:t>
            </w:r>
          </w:p>
        </w:tc>
        <w:tc>
          <w:tcPr>
            <w:tcW w:w="983" w:type="dxa"/>
            <w:tcBorders>
              <w:top w:val="nil"/>
              <w:left w:val="nil"/>
              <w:bottom w:val="nil"/>
              <w:right w:val="single" w:sz="8" w:space="0" w:color="800000"/>
            </w:tcBorders>
            <w:shd w:val="clear" w:color="000000" w:fill="FFFFCC"/>
            <w:vAlign w:val="center"/>
            <w:hideMark/>
          </w:tcPr>
          <w:p w14:paraId="3249C8AD"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53A45D01" w14:textId="77777777" w:rsidR="00830245" w:rsidRPr="003A1E72" w:rsidRDefault="00830245" w:rsidP="00830245">
            <w:pPr>
              <w:jc w:val="right"/>
              <w:rPr>
                <w:b/>
                <w:bCs/>
                <w:sz w:val="18"/>
                <w:szCs w:val="18"/>
              </w:rPr>
            </w:pPr>
            <w:r w:rsidRPr="003A1E72">
              <w:rPr>
                <w:sz w:val="18"/>
                <w:szCs w:val="18"/>
              </w:rPr>
              <w:t> </w:t>
            </w:r>
          </w:p>
        </w:tc>
        <w:tc>
          <w:tcPr>
            <w:tcW w:w="915" w:type="dxa"/>
            <w:tcBorders>
              <w:top w:val="nil"/>
              <w:left w:val="nil"/>
              <w:bottom w:val="nil"/>
              <w:right w:val="single" w:sz="8" w:space="0" w:color="800000"/>
            </w:tcBorders>
            <w:shd w:val="clear" w:color="000000" w:fill="FFFFCC"/>
            <w:vAlign w:val="center"/>
            <w:hideMark/>
          </w:tcPr>
          <w:p w14:paraId="6390C621"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440DC6DD" w14:textId="77777777" w:rsidR="00830245" w:rsidRPr="003A1E72" w:rsidRDefault="00830245" w:rsidP="00830245">
            <w:pPr>
              <w:jc w:val="right"/>
              <w:rPr>
                <w:sz w:val="18"/>
                <w:szCs w:val="18"/>
              </w:rPr>
            </w:pPr>
            <w:r w:rsidRPr="003A1E72">
              <w:rPr>
                <w:sz w:val="18"/>
                <w:szCs w:val="18"/>
              </w:rPr>
              <w:t> </w:t>
            </w:r>
          </w:p>
        </w:tc>
        <w:tc>
          <w:tcPr>
            <w:tcW w:w="867" w:type="dxa"/>
            <w:tcBorders>
              <w:top w:val="nil"/>
              <w:left w:val="nil"/>
              <w:bottom w:val="nil"/>
              <w:right w:val="single" w:sz="8" w:space="0" w:color="800000"/>
            </w:tcBorders>
            <w:shd w:val="clear" w:color="000000" w:fill="FFFFCC"/>
            <w:vAlign w:val="center"/>
          </w:tcPr>
          <w:p w14:paraId="5F92F52F" w14:textId="708FF6FE" w:rsidR="00830245" w:rsidRPr="00233B16" w:rsidRDefault="00830245" w:rsidP="00830245">
            <w:pPr>
              <w:tabs>
                <w:tab w:val="left" w:pos="792"/>
              </w:tabs>
              <w:jc w:val="right"/>
              <w:rPr>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23D4F14E" w14:textId="413C6A76" w:rsidR="00830245" w:rsidRPr="00830245" w:rsidRDefault="00830245" w:rsidP="00830245">
            <w:pPr>
              <w:jc w:val="right"/>
              <w:rPr>
                <w:b/>
                <w:bCs/>
                <w:sz w:val="18"/>
                <w:szCs w:val="18"/>
              </w:rPr>
            </w:pPr>
            <w:r w:rsidRPr="00830245">
              <w:rPr>
                <w:b/>
                <w:bCs/>
                <w:sz w:val="18"/>
                <w:szCs w:val="18"/>
              </w:rPr>
              <w:t> </w:t>
            </w:r>
          </w:p>
        </w:tc>
        <w:tc>
          <w:tcPr>
            <w:tcW w:w="1150" w:type="dxa"/>
            <w:tcBorders>
              <w:top w:val="nil"/>
              <w:left w:val="nil"/>
              <w:bottom w:val="nil"/>
              <w:right w:val="single" w:sz="8" w:space="0" w:color="800000"/>
            </w:tcBorders>
            <w:shd w:val="clear" w:color="000000" w:fill="FFFFCC"/>
            <w:vAlign w:val="center"/>
          </w:tcPr>
          <w:p w14:paraId="3B3A0006" w14:textId="45CCF9FF" w:rsidR="00830245" w:rsidRPr="00830245"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3B1FB2FB" w14:textId="7B6E585E" w:rsidR="00830245" w:rsidRPr="003A1E72" w:rsidRDefault="00830245" w:rsidP="00830245">
            <w:pPr>
              <w:jc w:val="right"/>
              <w:rPr>
                <w:sz w:val="18"/>
                <w:szCs w:val="18"/>
              </w:rPr>
            </w:pPr>
            <w:r>
              <w:rPr>
                <w:sz w:val="18"/>
                <w:szCs w:val="18"/>
              </w:rPr>
              <w:t> </w:t>
            </w:r>
          </w:p>
        </w:tc>
      </w:tr>
      <w:tr w:rsidR="00830245" w:rsidRPr="00786859" w14:paraId="53D3B53D"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1B6508D4" w14:textId="77777777" w:rsidR="00830245" w:rsidRPr="003A1E72" w:rsidRDefault="00830245" w:rsidP="00830245">
            <w:pPr>
              <w:rPr>
                <w:b/>
                <w:bCs/>
                <w:sz w:val="18"/>
                <w:szCs w:val="18"/>
              </w:rPr>
            </w:pPr>
            <w:r w:rsidRPr="003A1E72">
              <w:rPr>
                <w:b/>
                <w:bCs/>
                <w:sz w:val="18"/>
                <w:szCs w:val="18"/>
              </w:rPr>
              <w:t xml:space="preserve"> Други данъци</w:t>
            </w:r>
          </w:p>
        </w:tc>
        <w:tc>
          <w:tcPr>
            <w:tcW w:w="983" w:type="dxa"/>
            <w:tcBorders>
              <w:top w:val="nil"/>
              <w:left w:val="nil"/>
              <w:bottom w:val="nil"/>
              <w:right w:val="single" w:sz="8" w:space="0" w:color="800000"/>
            </w:tcBorders>
            <w:shd w:val="clear" w:color="000000" w:fill="FFFFCC"/>
            <w:vAlign w:val="center"/>
            <w:hideMark/>
          </w:tcPr>
          <w:p w14:paraId="0E10606B" w14:textId="77777777" w:rsidR="00830245" w:rsidRPr="003A1E72" w:rsidRDefault="00830245" w:rsidP="00830245">
            <w:pPr>
              <w:jc w:val="right"/>
              <w:rPr>
                <w:sz w:val="18"/>
                <w:szCs w:val="18"/>
              </w:rPr>
            </w:pPr>
            <w:r w:rsidRPr="003A1E72">
              <w:rPr>
                <w:b/>
                <w:bCs/>
                <w:sz w:val="18"/>
                <w:szCs w:val="18"/>
              </w:rPr>
              <w:t>1 203,9</w:t>
            </w:r>
          </w:p>
        </w:tc>
        <w:tc>
          <w:tcPr>
            <w:tcW w:w="713" w:type="dxa"/>
            <w:tcBorders>
              <w:top w:val="nil"/>
              <w:left w:val="nil"/>
              <w:bottom w:val="nil"/>
              <w:right w:val="double" w:sz="6" w:space="0" w:color="800000"/>
            </w:tcBorders>
            <w:shd w:val="clear" w:color="000000" w:fill="FFFFCC"/>
            <w:vAlign w:val="center"/>
            <w:hideMark/>
          </w:tcPr>
          <w:p w14:paraId="254FB394" w14:textId="77777777" w:rsidR="00830245" w:rsidRPr="003A1E72" w:rsidRDefault="00830245" w:rsidP="00830245">
            <w:pPr>
              <w:jc w:val="right"/>
              <w:rPr>
                <w:b/>
                <w:bCs/>
                <w:sz w:val="18"/>
                <w:szCs w:val="18"/>
              </w:rPr>
            </w:pPr>
            <w:r w:rsidRPr="003A1E72">
              <w:rPr>
                <w:b/>
                <w:bCs/>
                <w:sz w:val="18"/>
                <w:szCs w:val="18"/>
              </w:rPr>
              <w:t>1,0%</w:t>
            </w:r>
          </w:p>
        </w:tc>
        <w:tc>
          <w:tcPr>
            <w:tcW w:w="915" w:type="dxa"/>
            <w:tcBorders>
              <w:top w:val="nil"/>
              <w:left w:val="nil"/>
              <w:bottom w:val="nil"/>
              <w:right w:val="single" w:sz="8" w:space="0" w:color="800000"/>
            </w:tcBorders>
            <w:shd w:val="clear" w:color="000000" w:fill="FFFFCC"/>
            <w:vAlign w:val="center"/>
            <w:hideMark/>
          </w:tcPr>
          <w:p w14:paraId="7DA8EBE9" w14:textId="77777777" w:rsidR="00830245" w:rsidRPr="003A1E72" w:rsidRDefault="00830245" w:rsidP="00830245">
            <w:pPr>
              <w:tabs>
                <w:tab w:val="left" w:pos="792"/>
              </w:tabs>
              <w:jc w:val="right"/>
              <w:rPr>
                <w:sz w:val="18"/>
                <w:szCs w:val="18"/>
              </w:rPr>
            </w:pPr>
            <w:r w:rsidRPr="003A1E72">
              <w:rPr>
                <w:b/>
                <w:bCs/>
                <w:sz w:val="18"/>
                <w:szCs w:val="18"/>
              </w:rPr>
              <w:t>1 411,5</w:t>
            </w:r>
          </w:p>
        </w:tc>
        <w:tc>
          <w:tcPr>
            <w:tcW w:w="713" w:type="dxa"/>
            <w:tcBorders>
              <w:top w:val="nil"/>
              <w:left w:val="nil"/>
              <w:bottom w:val="nil"/>
              <w:right w:val="double" w:sz="6" w:space="0" w:color="800000"/>
            </w:tcBorders>
            <w:shd w:val="clear" w:color="000000" w:fill="FFFFCC"/>
            <w:vAlign w:val="center"/>
            <w:hideMark/>
          </w:tcPr>
          <w:p w14:paraId="546F3DDB" w14:textId="77777777" w:rsidR="00830245" w:rsidRPr="003A1E72" w:rsidRDefault="00830245" w:rsidP="00830245">
            <w:pPr>
              <w:jc w:val="right"/>
              <w:rPr>
                <w:sz w:val="18"/>
                <w:szCs w:val="18"/>
              </w:rPr>
            </w:pPr>
            <w:r w:rsidRPr="003A1E72">
              <w:rPr>
                <w:b/>
                <w:bCs/>
                <w:sz w:val="18"/>
                <w:szCs w:val="18"/>
              </w:rPr>
              <w:t>1,</w:t>
            </w:r>
            <w:r>
              <w:rPr>
                <w:b/>
                <w:bCs/>
                <w:sz w:val="18"/>
                <w:szCs w:val="18"/>
              </w:rPr>
              <w:t>0</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4AA4F045" w14:textId="4233ECC7" w:rsidR="00830245" w:rsidRPr="00233B16" w:rsidRDefault="00830245" w:rsidP="00830245">
            <w:pPr>
              <w:tabs>
                <w:tab w:val="left" w:pos="792"/>
              </w:tabs>
              <w:jc w:val="right"/>
              <w:rPr>
                <w:b/>
                <w:bCs/>
                <w:sz w:val="18"/>
                <w:szCs w:val="18"/>
                <w:lang w:val="en-US"/>
              </w:rPr>
            </w:pPr>
            <w:r>
              <w:rPr>
                <w:b/>
                <w:bCs/>
                <w:sz w:val="18"/>
                <w:szCs w:val="18"/>
              </w:rPr>
              <w:t>1 580,0</w:t>
            </w:r>
          </w:p>
        </w:tc>
        <w:tc>
          <w:tcPr>
            <w:tcW w:w="716" w:type="dxa"/>
            <w:tcBorders>
              <w:top w:val="nil"/>
              <w:left w:val="nil"/>
              <w:bottom w:val="nil"/>
              <w:right w:val="single" w:sz="8" w:space="0" w:color="800000"/>
            </w:tcBorders>
            <w:shd w:val="clear" w:color="000000" w:fill="FFFFCC"/>
            <w:vAlign w:val="center"/>
            <w:hideMark/>
          </w:tcPr>
          <w:p w14:paraId="34A26E9E" w14:textId="7F0D4441" w:rsidR="00830245" w:rsidRPr="00830245" w:rsidRDefault="00830245" w:rsidP="00830245">
            <w:pPr>
              <w:jc w:val="right"/>
              <w:rPr>
                <w:b/>
                <w:bCs/>
                <w:sz w:val="18"/>
                <w:szCs w:val="18"/>
              </w:rPr>
            </w:pPr>
            <w:r>
              <w:rPr>
                <w:b/>
                <w:bCs/>
                <w:sz w:val="18"/>
                <w:szCs w:val="18"/>
              </w:rPr>
              <w:t>1,0%</w:t>
            </w:r>
          </w:p>
        </w:tc>
        <w:tc>
          <w:tcPr>
            <w:tcW w:w="1150" w:type="dxa"/>
            <w:tcBorders>
              <w:top w:val="nil"/>
              <w:left w:val="nil"/>
              <w:bottom w:val="nil"/>
              <w:right w:val="single" w:sz="8" w:space="0" w:color="800000"/>
            </w:tcBorders>
            <w:shd w:val="clear" w:color="000000" w:fill="FFFFCC"/>
            <w:vAlign w:val="center"/>
          </w:tcPr>
          <w:p w14:paraId="567A7E49" w14:textId="18C82B5F" w:rsidR="00830245" w:rsidRPr="003A1E72" w:rsidRDefault="00830245" w:rsidP="00830245">
            <w:pPr>
              <w:tabs>
                <w:tab w:val="left" w:pos="792"/>
              </w:tabs>
              <w:jc w:val="right"/>
              <w:rPr>
                <w:b/>
                <w:bCs/>
                <w:sz w:val="18"/>
                <w:szCs w:val="18"/>
              </w:rPr>
            </w:pPr>
            <w:r>
              <w:rPr>
                <w:b/>
                <w:bCs/>
                <w:sz w:val="18"/>
                <w:szCs w:val="18"/>
              </w:rPr>
              <w:t>1 580,0</w:t>
            </w:r>
          </w:p>
        </w:tc>
        <w:tc>
          <w:tcPr>
            <w:tcW w:w="959" w:type="dxa"/>
            <w:tcBorders>
              <w:top w:val="nil"/>
              <w:left w:val="nil"/>
              <w:bottom w:val="nil"/>
              <w:right w:val="single" w:sz="8" w:space="0" w:color="800000"/>
            </w:tcBorders>
            <w:shd w:val="clear" w:color="000000" w:fill="FFFFCC"/>
            <w:vAlign w:val="center"/>
          </w:tcPr>
          <w:p w14:paraId="344B9D06" w14:textId="46A8E2B6" w:rsidR="00830245" w:rsidRPr="003A1E72" w:rsidRDefault="00830245" w:rsidP="00830245">
            <w:pPr>
              <w:jc w:val="right"/>
              <w:rPr>
                <w:b/>
                <w:bCs/>
                <w:sz w:val="18"/>
                <w:szCs w:val="18"/>
              </w:rPr>
            </w:pPr>
            <w:r>
              <w:rPr>
                <w:b/>
                <w:bCs/>
                <w:sz w:val="18"/>
                <w:szCs w:val="18"/>
              </w:rPr>
              <w:t>1,0%</w:t>
            </w:r>
          </w:p>
        </w:tc>
      </w:tr>
      <w:tr w:rsidR="00830245" w:rsidRPr="00786859" w14:paraId="00AAE129" w14:textId="77777777" w:rsidTr="00911994">
        <w:trPr>
          <w:trHeight w:val="75"/>
        </w:trPr>
        <w:tc>
          <w:tcPr>
            <w:tcW w:w="2344" w:type="dxa"/>
            <w:tcBorders>
              <w:top w:val="nil"/>
              <w:left w:val="double" w:sz="6" w:space="0" w:color="800000"/>
              <w:bottom w:val="nil"/>
              <w:right w:val="single" w:sz="8" w:space="0" w:color="800000"/>
            </w:tcBorders>
            <w:shd w:val="clear" w:color="000000" w:fill="FFFFCC"/>
            <w:vAlign w:val="center"/>
            <w:hideMark/>
          </w:tcPr>
          <w:p w14:paraId="7BDCB8A0" w14:textId="77777777" w:rsidR="00830245" w:rsidRPr="003A1E72" w:rsidRDefault="00830245" w:rsidP="00830245">
            <w:pPr>
              <w:rPr>
                <w:b/>
                <w:bCs/>
                <w:sz w:val="18"/>
                <w:szCs w:val="18"/>
              </w:rPr>
            </w:pPr>
            <w:r w:rsidRPr="003A1E72">
              <w:rPr>
                <w:b/>
                <w:bCs/>
                <w:sz w:val="18"/>
                <w:szCs w:val="18"/>
              </w:rPr>
              <w:t> </w:t>
            </w:r>
          </w:p>
        </w:tc>
        <w:tc>
          <w:tcPr>
            <w:tcW w:w="983" w:type="dxa"/>
            <w:tcBorders>
              <w:top w:val="nil"/>
              <w:left w:val="nil"/>
              <w:bottom w:val="nil"/>
              <w:right w:val="single" w:sz="8" w:space="0" w:color="800000"/>
            </w:tcBorders>
            <w:shd w:val="clear" w:color="000000" w:fill="FFFFCC"/>
            <w:vAlign w:val="center"/>
            <w:hideMark/>
          </w:tcPr>
          <w:p w14:paraId="5DA3DFAA"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72C85B3D" w14:textId="77777777" w:rsidR="00830245" w:rsidRPr="003A1E72" w:rsidRDefault="00830245" w:rsidP="00830245">
            <w:pPr>
              <w:jc w:val="right"/>
              <w:rPr>
                <w:b/>
                <w:bCs/>
                <w:sz w:val="18"/>
                <w:szCs w:val="18"/>
              </w:rPr>
            </w:pPr>
            <w:r w:rsidRPr="003A1E72">
              <w:rPr>
                <w:sz w:val="18"/>
                <w:szCs w:val="18"/>
              </w:rPr>
              <w:t> </w:t>
            </w:r>
          </w:p>
        </w:tc>
        <w:tc>
          <w:tcPr>
            <w:tcW w:w="915" w:type="dxa"/>
            <w:tcBorders>
              <w:top w:val="nil"/>
              <w:left w:val="nil"/>
              <w:bottom w:val="nil"/>
              <w:right w:val="single" w:sz="8" w:space="0" w:color="800000"/>
            </w:tcBorders>
            <w:shd w:val="clear" w:color="000000" w:fill="FFFFCC"/>
            <w:vAlign w:val="center"/>
            <w:hideMark/>
          </w:tcPr>
          <w:p w14:paraId="0B61353D"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bottom w:val="nil"/>
              <w:right w:val="double" w:sz="6" w:space="0" w:color="800000"/>
            </w:tcBorders>
            <w:shd w:val="clear" w:color="000000" w:fill="FFFFCC"/>
            <w:vAlign w:val="center"/>
            <w:hideMark/>
          </w:tcPr>
          <w:p w14:paraId="2B44253A" w14:textId="77777777" w:rsidR="00830245" w:rsidRPr="003A1E72" w:rsidRDefault="00830245" w:rsidP="00830245">
            <w:pPr>
              <w:jc w:val="right"/>
              <w:rPr>
                <w:sz w:val="18"/>
                <w:szCs w:val="18"/>
              </w:rPr>
            </w:pPr>
            <w:r w:rsidRPr="003A1E72">
              <w:rPr>
                <w:sz w:val="18"/>
                <w:szCs w:val="18"/>
              </w:rPr>
              <w:t> </w:t>
            </w:r>
          </w:p>
        </w:tc>
        <w:tc>
          <w:tcPr>
            <w:tcW w:w="867" w:type="dxa"/>
            <w:tcBorders>
              <w:top w:val="nil"/>
              <w:left w:val="nil"/>
              <w:bottom w:val="nil"/>
              <w:right w:val="single" w:sz="8" w:space="0" w:color="800000"/>
            </w:tcBorders>
            <w:shd w:val="clear" w:color="000000" w:fill="FFFFCC"/>
            <w:vAlign w:val="center"/>
          </w:tcPr>
          <w:p w14:paraId="7054E128" w14:textId="5D0F68CE" w:rsidR="00830245" w:rsidRPr="00233B16" w:rsidRDefault="00830245" w:rsidP="00830245">
            <w:pPr>
              <w:tabs>
                <w:tab w:val="left" w:pos="792"/>
              </w:tabs>
              <w:jc w:val="right"/>
              <w:rPr>
                <w:b/>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034EB97D" w14:textId="32B8B5DC" w:rsidR="00830245" w:rsidRPr="00830245" w:rsidRDefault="00830245" w:rsidP="00830245">
            <w:pPr>
              <w:jc w:val="right"/>
              <w:rPr>
                <w:b/>
                <w:bCs/>
                <w:sz w:val="18"/>
                <w:szCs w:val="18"/>
              </w:rPr>
            </w:pPr>
            <w:r w:rsidRPr="00830245">
              <w:rPr>
                <w:b/>
                <w:bCs/>
                <w:sz w:val="18"/>
                <w:szCs w:val="18"/>
              </w:rPr>
              <w:t> </w:t>
            </w:r>
          </w:p>
        </w:tc>
        <w:tc>
          <w:tcPr>
            <w:tcW w:w="1150" w:type="dxa"/>
            <w:tcBorders>
              <w:top w:val="nil"/>
              <w:left w:val="nil"/>
              <w:bottom w:val="nil"/>
              <w:right w:val="single" w:sz="8" w:space="0" w:color="800000"/>
            </w:tcBorders>
            <w:shd w:val="clear" w:color="000000" w:fill="FFFFCC"/>
            <w:vAlign w:val="center"/>
          </w:tcPr>
          <w:p w14:paraId="7E2EB0EC" w14:textId="732595AE" w:rsidR="00830245" w:rsidRPr="00830245"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604636A2" w14:textId="16E5E0CB" w:rsidR="00830245" w:rsidRPr="003A1E72" w:rsidRDefault="00830245" w:rsidP="00830245">
            <w:pPr>
              <w:jc w:val="right"/>
              <w:rPr>
                <w:sz w:val="18"/>
                <w:szCs w:val="18"/>
              </w:rPr>
            </w:pPr>
            <w:r>
              <w:rPr>
                <w:sz w:val="18"/>
                <w:szCs w:val="18"/>
              </w:rPr>
              <w:t> </w:t>
            </w:r>
          </w:p>
        </w:tc>
      </w:tr>
      <w:tr w:rsidR="00830245" w:rsidRPr="00786859" w14:paraId="49006CE6" w14:textId="77777777" w:rsidTr="00911994">
        <w:trPr>
          <w:trHeight w:val="282"/>
        </w:trPr>
        <w:tc>
          <w:tcPr>
            <w:tcW w:w="2344" w:type="dxa"/>
            <w:tcBorders>
              <w:top w:val="nil"/>
              <w:left w:val="double" w:sz="6" w:space="0" w:color="800000"/>
              <w:bottom w:val="nil"/>
              <w:right w:val="single" w:sz="8" w:space="0" w:color="800000"/>
            </w:tcBorders>
            <w:shd w:val="clear" w:color="000000" w:fill="FFFFCC"/>
            <w:vAlign w:val="center"/>
            <w:hideMark/>
          </w:tcPr>
          <w:p w14:paraId="368CA27C" w14:textId="77777777" w:rsidR="00830245" w:rsidRPr="003A1E72" w:rsidRDefault="00830245" w:rsidP="00830245">
            <w:pPr>
              <w:rPr>
                <w:b/>
                <w:bCs/>
                <w:sz w:val="18"/>
                <w:szCs w:val="18"/>
              </w:rPr>
            </w:pPr>
            <w:r w:rsidRPr="003A1E72">
              <w:rPr>
                <w:b/>
                <w:bCs/>
                <w:sz w:val="18"/>
                <w:szCs w:val="18"/>
              </w:rPr>
              <w:t>Неданъчни приходи</w:t>
            </w:r>
          </w:p>
        </w:tc>
        <w:tc>
          <w:tcPr>
            <w:tcW w:w="983" w:type="dxa"/>
            <w:tcBorders>
              <w:top w:val="nil"/>
              <w:left w:val="nil"/>
              <w:bottom w:val="nil"/>
              <w:right w:val="single" w:sz="8" w:space="0" w:color="800000"/>
            </w:tcBorders>
            <w:shd w:val="clear" w:color="000000" w:fill="FFFFCC"/>
            <w:vAlign w:val="center"/>
          </w:tcPr>
          <w:p w14:paraId="4C42388D" w14:textId="77777777" w:rsidR="00830245" w:rsidRPr="003A1E72" w:rsidRDefault="00830245" w:rsidP="00830245">
            <w:pPr>
              <w:jc w:val="right"/>
              <w:rPr>
                <w:sz w:val="18"/>
                <w:szCs w:val="18"/>
              </w:rPr>
            </w:pPr>
            <w:r w:rsidRPr="003A1E72">
              <w:rPr>
                <w:b/>
                <w:bCs/>
                <w:sz w:val="18"/>
                <w:szCs w:val="18"/>
              </w:rPr>
              <w:t>5 773,1</w:t>
            </w:r>
          </w:p>
        </w:tc>
        <w:tc>
          <w:tcPr>
            <w:tcW w:w="713" w:type="dxa"/>
            <w:tcBorders>
              <w:top w:val="nil"/>
              <w:left w:val="nil"/>
              <w:bottom w:val="nil"/>
              <w:right w:val="double" w:sz="6" w:space="0" w:color="800000"/>
            </w:tcBorders>
            <w:shd w:val="clear" w:color="000000" w:fill="FFFFCC"/>
            <w:vAlign w:val="center"/>
            <w:hideMark/>
          </w:tcPr>
          <w:p w14:paraId="238065CC" w14:textId="77777777" w:rsidR="00830245" w:rsidRPr="003A1E72" w:rsidRDefault="00830245" w:rsidP="00830245">
            <w:pPr>
              <w:jc w:val="right"/>
              <w:rPr>
                <w:b/>
                <w:bCs/>
                <w:sz w:val="18"/>
                <w:szCs w:val="18"/>
              </w:rPr>
            </w:pPr>
            <w:r w:rsidRPr="003A1E72">
              <w:rPr>
                <w:b/>
                <w:bCs/>
                <w:sz w:val="18"/>
                <w:szCs w:val="18"/>
              </w:rPr>
              <w:t>4,</w:t>
            </w:r>
            <w:r w:rsidRPr="003A1E72">
              <w:rPr>
                <w:b/>
                <w:bCs/>
                <w:sz w:val="18"/>
                <w:szCs w:val="18"/>
                <w:lang w:val="en-US"/>
              </w:rPr>
              <w:t>8</w:t>
            </w:r>
            <w:r w:rsidRPr="003A1E72">
              <w:rPr>
                <w:b/>
                <w:bCs/>
                <w:sz w:val="18"/>
                <w:szCs w:val="18"/>
              </w:rPr>
              <w:t>%</w:t>
            </w:r>
          </w:p>
        </w:tc>
        <w:tc>
          <w:tcPr>
            <w:tcW w:w="915" w:type="dxa"/>
            <w:tcBorders>
              <w:top w:val="nil"/>
              <w:left w:val="nil"/>
              <w:bottom w:val="nil"/>
              <w:right w:val="single" w:sz="8" w:space="0" w:color="800000"/>
            </w:tcBorders>
            <w:shd w:val="clear" w:color="000000" w:fill="FFFFCC"/>
            <w:vAlign w:val="center"/>
            <w:hideMark/>
          </w:tcPr>
          <w:p w14:paraId="0FCDFE28" w14:textId="77777777" w:rsidR="00830245" w:rsidRPr="003A1E72" w:rsidRDefault="00830245" w:rsidP="00830245">
            <w:pPr>
              <w:tabs>
                <w:tab w:val="left" w:pos="792"/>
              </w:tabs>
              <w:jc w:val="right"/>
              <w:rPr>
                <w:sz w:val="18"/>
                <w:szCs w:val="18"/>
              </w:rPr>
            </w:pPr>
            <w:r w:rsidRPr="003A1E72">
              <w:rPr>
                <w:sz w:val="18"/>
                <w:szCs w:val="18"/>
              </w:rPr>
              <w:t>8 11</w:t>
            </w:r>
            <w:r w:rsidRPr="003A1E72">
              <w:rPr>
                <w:sz w:val="18"/>
                <w:szCs w:val="18"/>
                <w:lang w:val="en-US"/>
              </w:rPr>
              <w:t>8</w:t>
            </w:r>
            <w:r w:rsidRPr="003A1E72">
              <w:rPr>
                <w:sz w:val="18"/>
                <w:szCs w:val="18"/>
              </w:rPr>
              <w:t>,</w:t>
            </w:r>
            <w:r w:rsidRPr="003A1E72">
              <w:rPr>
                <w:sz w:val="18"/>
                <w:szCs w:val="18"/>
                <w:lang w:val="en-US"/>
              </w:rPr>
              <w:t>0</w:t>
            </w:r>
          </w:p>
        </w:tc>
        <w:tc>
          <w:tcPr>
            <w:tcW w:w="713" w:type="dxa"/>
            <w:tcBorders>
              <w:top w:val="nil"/>
              <w:left w:val="nil"/>
              <w:bottom w:val="nil"/>
              <w:right w:val="double" w:sz="6" w:space="0" w:color="800000"/>
            </w:tcBorders>
            <w:shd w:val="clear" w:color="000000" w:fill="FFFFCC"/>
            <w:vAlign w:val="center"/>
            <w:hideMark/>
          </w:tcPr>
          <w:p w14:paraId="6C9BFD1A" w14:textId="77777777" w:rsidR="00830245" w:rsidRPr="003A1E72" w:rsidRDefault="00830245" w:rsidP="00830245">
            <w:pPr>
              <w:jc w:val="right"/>
              <w:rPr>
                <w:sz w:val="18"/>
                <w:szCs w:val="18"/>
              </w:rPr>
            </w:pPr>
            <w:r>
              <w:rPr>
                <w:b/>
                <w:bCs/>
                <w:sz w:val="18"/>
                <w:szCs w:val="18"/>
              </w:rPr>
              <w:t>5,8</w:t>
            </w:r>
            <w:r w:rsidRPr="003A1E72">
              <w:rPr>
                <w:b/>
                <w:bCs/>
                <w:sz w:val="18"/>
                <w:szCs w:val="18"/>
              </w:rPr>
              <w:t>%</w:t>
            </w:r>
          </w:p>
        </w:tc>
        <w:tc>
          <w:tcPr>
            <w:tcW w:w="867" w:type="dxa"/>
            <w:tcBorders>
              <w:top w:val="nil"/>
              <w:left w:val="nil"/>
              <w:bottom w:val="nil"/>
              <w:right w:val="single" w:sz="8" w:space="0" w:color="800000"/>
            </w:tcBorders>
            <w:shd w:val="clear" w:color="000000" w:fill="FFFFCC"/>
            <w:vAlign w:val="center"/>
          </w:tcPr>
          <w:p w14:paraId="3749AD9B" w14:textId="02A62297" w:rsidR="00830245" w:rsidRPr="00233B16" w:rsidRDefault="00830245" w:rsidP="00830245">
            <w:pPr>
              <w:tabs>
                <w:tab w:val="left" w:pos="792"/>
              </w:tabs>
              <w:jc w:val="right"/>
              <w:rPr>
                <w:b/>
                <w:bCs/>
                <w:sz w:val="18"/>
                <w:szCs w:val="18"/>
                <w:lang w:val="en-US"/>
              </w:rPr>
            </w:pPr>
            <w:r>
              <w:rPr>
                <w:b/>
                <w:bCs/>
                <w:sz w:val="18"/>
                <w:szCs w:val="18"/>
              </w:rPr>
              <w:t>12 000,3</w:t>
            </w:r>
          </w:p>
        </w:tc>
        <w:tc>
          <w:tcPr>
            <w:tcW w:w="716" w:type="dxa"/>
            <w:tcBorders>
              <w:top w:val="nil"/>
              <w:left w:val="nil"/>
              <w:bottom w:val="nil"/>
              <w:right w:val="single" w:sz="8" w:space="0" w:color="800000"/>
            </w:tcBorders>
            <w:shd w:val="clear" w:color="000000" w:fill="FFFFCC"/>
            <w:vAlign w:val="center"/>
            <w:hideMark/>
          </w:tcPr>
          <w:p w14:paraId="2095E129" w14:textId="32B4CE2E" w:rsidR="00830245" w:rsidRPr="00830245" w:rsidRDefault="00830245" w:rsidP="00830245">
            <w:pPr>
              <w:jc w:val="right"/>
              <w:rPr>
                <w:b/>
                <w:bCs/>
                <w:sz w:val="18"/>
                <w:szCs w:val="18"/>
              </w:rPr>
            </w:pPr>
            <w:r>
              <w:rPr>
                <w:b/>
                <w:bCs/>
                <w:sz w:val="18"/>
                <w:szCs w:val="18"/>
              </w:rPr>
              <w:t>7,3%</w:t>
            </w:r>
          </w:p>
        </w:tc>
        <w:tc>
          <w:tcPr>
            <w:tcW w:w="1150" w:type="dxa"/>
            <w:tcBorders>
              <w:top w:val="nil"/>
              <w:left w:val="nil"/>
              <w:bottom w:val="nil"/>
              <w:right w:val="single" w:sz="8" w:space="0" w:color="800000"/>
            </w:tcBorders>
            <w:shd w:val="clear" w:color="000000" w:fill="FFFFCC"/>
            <w:vAlign w:val="center"/>
          </w:tcPr>
          <w:p w14:paraId="30EBB12B" w14:textId="5BD5EAAE" w:rsidR="00830245" w:rsidRPr="003A1E72" w:rsidRDefault="00830245" w:rsidP="00830245">
            <w:pPr>
              <w:tabs>
                <w:tab w:val="left" w:pos="792"/>
              </w:tabs>
              <w:jc w:val="right"/>
              <w:rPr>
                <w:b/>
                <w:bCs/>
                <w:sz w:val="18"/>
                <w:szCs w:val="18"/>
              </w:rPr>
            </w:pPr>
            <w:r>
              <w:rPr>
                <w:b/>
                <w:bCs/>
                <w:sz w:val="18"/>
                <w:szCs w:val="18"/>
              </w:rPr>
              <w:t>8 819,3</w:t>
            </w:r>
          </w:p>
        </w:tc>
        <w:tc>
          <w:tcPr>
            <w:tcW w:w="959" w:type="dxa"/>
            <w:tcBorders>
              <w:top w:val="nil"/>
              <w:left w:val="nil"/>
              <w:bottom w:val="nil"/>
              <w:right w:val="single" w:sz="8" w:space="0" w:color="800000"/>
            </w:tcBorders>
            <w:shd w:val="clear" w:color="000000" w:fill="FFFFCC"/>
            <w:vAlign w:val="center"/>
          </w:tcPr>
          <w:p w14:paraId="5CF89F34" w14:textId="60875B54" w:rsidR="00830245" w:rsidRPr="003A1E72" w:rsidRDefault="00830245" w:rsidP="00830245">
            <w:pPr>
              <w:jc w:val="right"/>
              <w:rPr>
                <w:b/>
                <w:bCs/>
                <w:sz w:val="18"/>
                <w:szCs w:val="18"/>
              </w:rPr>
            </w:pPr>
            <w:r>
              <w:rPr>
                <w:b/>
                <w:bCs/>
                <w:sz w:val="18"/>
                <w:szCs w:val="18"/>
              </w:rPr>
              <w:t>5,3%</w:t>
            </w:r>
          </w:p>
        </w:tc>
      </w:tr>
      <w:tr w:rsidR="00830245" w:rsidRPr="00786859" w14:paraId="05236BF7" w14:textId="77777777" w:rsidTr="00911994">
        <w:trPr>
          <w:trHeight w:val="120"/>
        </w:trPr>
        <w:tc>
          <w:tcPr>
            <w:tcW w:w="2344" w:type="dxa"/>
            <w:tcBorders>
              <w:top w:val="nil"/>
              <w:left w:val="double" w:sz="6" w:space="0" w:color="800000"/>
              <w:right w:val="single" w:sz="8" w:space="0" w:color="800000"/>
            </w:tcBorders>
            <w:shd w:val="clear" w:color="000000" w:fill="FFFFCC"/>
            <w:vAlign w:val="center"/>
            <w:hideMark/>
          </w:tcPr>
          <w:p w14:paraId="305E99AF" w14:textId="77777777" w:rsidR="00830245" w:rsidRPr="003A1E72" w:rsidRDefault="00830245" w:rsidP="00830245">
            <w:pPr>
              <w:rPr>
                <w:b/>
                <w:bCs/>
                <w:sz w:val="18"/>
                <w:szCs w:val="18"/>
              </w:rPr>
            </w:pPr>
            <w:r w:rsidRPr="003A1E72">
              <w:rPr>
                <w:b/>
                <w:bCs/>
                <w:sz w:val="18"/>
                <w:szCs w:val="18"/>
              </w:rPr>
              <w:t> </w:t>
            </w:r>
          </w:p>
        </w:tc>
        <w:tc>
          <w:tcPr>
            <w:tcW w:w="983" w:type="dxa"/>
            <w:tcBorders>
              <w:top w:val="nil"/>
              <w:left w:val="nil"/>
              <w:right w:val="single" w:sz="8" w:space="0" w:color="800000"/>
            </w:tcBorders>
            <w:shd w:val="clear" w:color="000000" w:fill="FFFFCC"/>
            <w:vAlign w:val="center"/>
            <w:hideMark/>
          </w:tcPr>
          <w:p w14:paraId="383A9828" w14:textId="77777777" w:rsidR="00830245" w:rsidRPr="003A1E72" w:rsidRDefault="00830245" w:rsidP="00830245">
            <w:pPr>
              <w:jc w:val="right"/>
              <w:rPr>
                <w:sz w:val="18"/>
                <w:szCs w:val="18"/>
              </w:rPr>
            </w:pPr>
            <w:r w:rsidRPr="003A1E72">
              <w:rPr>
                <w:sz w:val="18"/>
                <w:szCs w:val="18"/>
              </w:rPr>
              <w:t> </w:t>
            </w:r>
          </w:p>
        </w:tc>
        <w:tc>
          <w:tcPr>
            <w:tcW w:w="713" w:type="dxa"/>
            <w:tcBorders>
              <w:top w:val="nil"/>
              <w:left w:val="nil"/>
              <w:right w:val="double" w:sz="6" w:space="0" w:color="800000"/>
            </w:tcBorders>
            <w:shd w:val="clear" w:color="000000" w:fill="FFFFCC"/>
            <w:vAlign w:val="center"/>
            <w:hideMark/>
          </w:tcPr>
          <w:p w14:paraId="3AEBF83E" w14:textId="77777777" w:rsidR="00830245" w:rsidRPr="003A1E72" w:rsidRDefault="00830245" w:rsidP="00830245">
            <w:pPr>
              <w:jc w:val="right"/>
              <w:rPr>
                <w:b/>
                <w:bCs/>
                <w:sz w:val="18"/>
                <w:szCs w:val="18"/>
              </w:rPr>
            </w:pPr>
            <w:r w:rsidRPr="003A1E72">
              <w:rPr>
                <w:sz w:val="18"/>
                <w:szCs w:val="18"/>
              </w:rPr>
              <w:t> </w:t>
            </w:r>
          </w:p>
        </w:tc>
        <w:tc>
          <w:tcPr>
            <w:tcW w:w="915" w:type="dxa"/>
            <w:tcBorders>
              <w:top w:val="nil"/>
              <w:left w:val="nil"/>
              <w:right w:val="single" w:sz="8" w:space="0" w:color="800000"/>
            </w:tcBorders>
            <w:shd w:val="clear" w:color="000000" w:fill="FFFFCC"/>
            <w:vAlign w:val="center"/>
            <w:hideMark/>
          </w:tcPr>
          <w:p w14:paraId="099F47D5" w14:textId="77777777" w:rsidR="00830245" w:rsidRPr="003A1E72" w:rsidRDefault="00830245" w:rsidP="00830245">
            <w:pPr>
              <w:tabs>
                <w:tab w:val="left" w:pos="792"/>
              </w:tabs>
              <w:jc w:val="right"/>
              <w:rPr>
                <w:sz w:val="18"/>
                <w:szCs w:val="18"/>
              </w:rPr>
            </w:pPr>
            <w:r w:rsidRPr="003A1E72">
              <w:rPr>
                <w:sz w:val="18"/>
                <w:szCs w:val="18"/>
              </w:rPr>
              <w:t> </w:t>
            </w:r>
          </w:p>
        </w:tc>
        <w:tc>
          <w:tcPr>
            <w:tcW w:w="713" w:type="dxa"/>
            <w:tcBorders>
              <w:top w:val="nil"/>
              <w:left w:val="nil"/>
              <w:right w:val="double" w:sz="6" w:space="0" w:color="800000"/>
            </w:tcBorders>
            <w:shd w:val="clear" w:color="000000" w:fill="FFFFCC"/>
            <w:vAlign w:val="center"/>
            <w:hideMark/>
          </w:tcPr>
          <w:p w14:paraId="3E9359AC" w14:textId="77777777" w:rsidR="00830245" w:rsidRPr="003A1E72" w:rsidRDefault="00830245" w:rsidP="00830245">
            <w:pPr>
              <w:jc w:val="right"/>
              <w:rPr>
                <w:sz w:val="18"/>
                <w:szCs w:val="18"/>
              </w:rPr>
            </w:pPr>
            <w:r w:rsidRPr="003A1E72">
              <w:rPr>
                <w:sz w:val="18"/>
                <w:szCs w:val="18"/>
              </w:rPr>
              <w:t> </w:t>
            </w:r>
          </w:p>
        </w:tc>
        <w:tc>
          <w:tcPr>
            <w:tcW w:w="867" w:type="dxa"/>
            <w:tcBorders>
              <w:top w:val="nil"/>
              <w:left w:val="nil"/>
              <w:right w:val="single" w:sz="8" w:space="0" w:color="800000"/>
            </w:tcBorders>
            <w:shd w:val="clear" w:color="000000" w:fill="FFFFCC"/>
            <w:vAlign w:val="center"/>
          </w:tcPr>
          <w:p w14:paraId="35E3E42A" w14:textId="3A89A617" w:rsidR="00830245" w:rsidRPr="00233B16" w:rsidRDefault="00830245" w:rsidP="00830245">
            <w:pPr>
              <w:tabs>
                <w:tab w:val="left" w:pos="792"/>
              </w:tabs>
              <w:jc w:val="right"/>
              <w:rPr>
                <w:b/>
                <w:bCs/>
                <w:sz w:val="18"/>
                <w:szCs w:val="18"/>
                <w:lang w:val="en-US"/>
              </w:rPr>
            </w:pPr>
            <w:r>
              <w:rPr>
                <w:sz w:val="18"/>
                <w:szCs w:val="18"/>
              </w:rPr>
              <w:t> </w:t>
            </w:r>
          </w:p>
        </w:tc>
        <w:tc>
          <w:tcPr>
            <w:tcW w:w="716" w:type="dxa"/>
            <w:tcBorders>
              <w:top w:val="nil"/>
              <w:left w:val="nil"/>
              <w:bottom w:val="nil"/>
              <w:right w:val="single" w:sz="8" w:space="0" w:color="800000"/>
            </w:tcBorders>
            <w:shd w:val="clear" w:color="000000" w:fill="FFFFCC"/>
            <w:vAlign w:val="center"/>
            <w:hideMark/>
          </w:tcPr>
          <w:p w14:paraId="02B50072" w14:textId="5B530ADA" w:rsidR="00830245" w:rsidRPr="00830245" w:rsidRDefault="00830245" w:rsidP="00830245">
            <w:pPr>
              <w:jc w:val="right"/>
              <w:rPr>
                <w:b/>
                <w:bCs/>
                <w:sz w:val="18"/>
                <w:szCs w:val="18"/>
              </w:rPr>
            </w:pPr>
            <w:r w:rsidRPr="00830245">
              <w:rPr>
                <w:b/>
                <w:bCs/>
                <w:sz w:val="18"/>
                <w:szCs w:val="18"/>
              </w:rPr>
              <w:t> </w:t>
            </w:r>
          </w:p>
        </w:tc>
        <w:tc>
          <w:tcPr>
            <w:tcW w:w="1150" w:type="dxa"/>
            <w:tcBorders>
              <w:top w:val="nil"/>
              <w:left w:val="nil"/>
              <w:bottom w:val="nil"/>
              <w:right w:val="single" w:sz="8" w:space="0" w:color="800000"/>
            </w:tcBorders>
            <w:shd w:val="clear" w:color="000000" w:fill="FFFFCC"/>
            <w:vAlign w:val="center"/>
          </w:tcPr>
          <w:p w14:paraId="74DEB914" w14:textId="1BD44263" w:rsidR="00830245" w:rsidRPr="00830245" w:rsidRDefault="00830245" w:rsidP="00830245">
            <w:pPr>
              <w:tabs>
                <w:tab w:val="left" w:pos="792"/>
              </w:tabs>
              <w:jc w:val="right"/>
              <w:rPr>
                <w:b/>
                <w:bCs/>
                <w:sz w:val="18"/>
                <w:szCs w:val="18"/>
              </w:rPr>
            </w:pPr>
            <w:r w:rsidRPr="00830245">
              <w:rPr>
                <w:b/>
                <w:bCs/>
                <w:sz w:val="18"/>
                <w:szCs w:val="18"/>
              </w:rPr>
              <w:t> </w:t>
            </w:r>
          </w:p>
        </w:tc>
        <w:tc>
          <w:tcPr>
            <w:tcW w:w="959" w:type="dxa"/>
            <w:tcBorders>
              <w:top w:val="nil"/>
              <w:left w:val="nil"/>
              <w:bottom w:val="nil"/>
              <w:right w:val="single" w:sz="8" w:space="0" w:color="800000"/>
            </w:tcBorders>
            <w:shd w:val="clear" w:color="000000" w:fill="FFFFCC"/>
            <w:vAlign w:val="center"/>
          </w:tcPr>
          <w:p w14:paraId="1F6F1FCB" w14:textId="5754D208" w:rsidR="00830245" w:rsidRPr="003A1E72" w:rsidRDefault="00830245" w:rsidP="00830245">
            <w:pPr>
              <w:jc w:val="right"/>
              <w:rPr>
                <w:sz w:val="18"/>
                <w:szCs w:val="18"/>
              </w:rPr>
            </w:pPr>
            <w:r>
              <w:rPr>
                <w:sz w:val="18"/>
                <w:szCs w:val="18"/>
              </w:rPr>
              <w:t> </w:t>
            </w:r>
          </w:p>
        </w:tc>
      </w:tr>
      <w:tr w:rsidR="00830245" w:rsidRPr="00786859" w14:paraId="074DE205" w14:textId="77777777" w:rsidTr="00830245">
        <w:trPr>
          <w:trHeight w:val="344"/>
        </w:trPr>
        <w:tc>
          <w:tcPr>
            <w:tcW w:w="2344" w:type="dxa"/>
            <w:tcBorders>
              <w:top w:val="nil"/>
              <w:left w:val="double" w:sz="6" w:space="0" w:color="800000"/>
              <w:bottom w:val="double" w:sz="6" w:space="0" w:color="800000"/>
              <w:right w:val="single" w:sz="8" w:space="0" w:color="800000"/>
            </w:tcBorders>
            <w:shd w:val="clear" w:color="000000" w:fill="FFFFCC"/>
            <w:vAlign w:val="center"/>
            <w:hideMark/>
          </w:tcPr>
          <w:p w14:paraId="3AF1A591" w14:textId="77777777" w:rsidR="00830245" w:rsidRPr="003A1E72" w:rsidRDefault="00830245" w:rsidP="00830245">
            <w:pPr>
              <w:rPr>
                <w:b/>
                <w:bCs/>
                <w:sz w:val="18"/>
                <w:szCs w:val="18"/>
              </w:rPr>
            </w:pPr>
            <w:r w:rsidRPr="003A1E72">
              <w:rPr>
                <w:b/>
                <w:bCs/>
                <w:sz w:val="18"/>
                <w:szCs w:val="18"/>
              </w:rPr>
              <w:t>Помощи и дарения</w:t>
            </w:r>
          </w:p>
        </w:tc>
        <w:tc>
          <w:tcPr>
            <w:tcW w:w="983" w:type="dxa"/>
            <w:tcBorders>
              <w:top w:val="nil"/>
              <w:left w:val="nil"/>
              <w:bottom w:val="double" w:sz="4" w:space="0" w:color="800000"/>
              <w:right w:val="single" w:sz="8" w:space="0" w:color="800000"/>
            </w:tcBorders>
            <w:shd w:val="clear" w:color="000000" w:fill="FFFFCC"/>
            <w:vAlign w:val="center"/>
            <w:hideMark/>
          </w:tcPr>
          <w:p w14:paraId="63698669" w14:textId="77777777" w:rsidR="00830245" w:rsidRPr="003A1E72" w:rsidRDefault="00830245" w:rsidP="00830245">
            <w:pPr>
              <w:jc w:val="right"/>
              <w:rPr>
                <w:sz w:val="18"/>
                <w:szCs w:val="18"/>
              </w:rPr>
            </w:pPr>
            <w:r w:rsidRPr="003A1E72">
              <w:rPr>
                <w:b/>
                <w:bCs/>
                <w:sz w:val="18"/>
                <w:szCs w:val="18"/>
              </w:rPr>
              <w:t>2 696,4</w:t>
            </w:r>
          </w:p>
        </w:tc>
        <w:tc>
          <w:tcPr>
            <w:tcW w:w="713" w:type="dxa"/>
            <w:tcBorders>
              <w:top w:val="nil"/>
              <w:left w:val="nil"/>
              <w:bottom w:val="double" w:sz="4" w:space="0" w:color="800000"/>
              <w:right w:val="double" w:sz="6" w:space="0" w:color="800000"/>
            </w:tcBorders>
            <w:shd w:val="clear" w:color="000000" w:fill="FFFFCC"/>
            <w:vAlign w:val="center"/>
            <w:hideMark/>
          </w:tcPr>
          <w:p w14:paraId="62566912" w14:textId="77777777" w:rsidR="00830245" w:rsidRPr="003A1E72" w:rsidRDefault="00830245" w:rsidP="00830245">
            <w:pPr>
              <w:jc w:val="right"/>
              <w:rPr>
                <w:b/>
                <w:bCs/>
                <w:sz w:val="18"/>
                <w:szCs w:val="18"/>
              </w:rPr>
            </w:pPr>
            <w:r w:rsidRPr="003A1E72">
              <w:rPr>
                <w:b/>
                <w:bCs/>
                <w:sz w:val="18"/>
                <w:szCs w:val="18"/>
              </w:rPr>
              <w:t>2</w:t>
            </w:r>
            <w:r>
              <w:rPr>
                <w:b/>
                <w:bCs/>
                <w:sz w:val="18"/>
                <w:szCs w:val="18"/>
              </w:rPr>
              <w:t>,</w:t>
            </w:r>
            <w:r w:rsidRPr="003A1E72">
              <w:rPr>
                <w:b/>
                <w:bCs/>
                <w:sz w:val="18"/>
                <w:szCs w:val="18"/>
                <w:lang w:val="en-US"/>
              </w:rPr>
              <w:t>2</w:t>
            </w:r>
            <w:r w:rsidRPr="003A1E72">
              <w:rPr>
                <w:b/>
                <w:bCs/>
                <w:sz w:val="18"/>
                <w:szCs w:val="18"/>
              </w:rPr>
              <w:t>%</w:t>
            </w:r>
          </w:p>
        </w:tc>
        <w:tc>
          <w:tcPr>
            <w:tcW w:w="915" w:type="dxa"/>
            <w:tcBorders>
              <w:top w:val="nil"/>
              <w:left w:val="nil"/>
              <w:bottom w:val="double" w:sz="4" w:space="0" w:color="800000"/>
              <w:right w:val="single" w:sz="8" w:space="0" w:color="800000"/>
            </w:tcBorders>
            <w:shd w:val="clear" w:color="000000" w:fill="FFFFCC"/>
            <w:vAlign w:val="center"/>
            <w:hideMark/>
          </w:tcPr>
          <w:p w14:paraId="2809CC34" w14:textId="77777777" w:rsidR="00830245" w:rsidRPr="003A1E72" w:rsidRDefault="00830245" w:rsidP="00830245">
            <w:pPr>
              <w:tabs>
                <w:tab w:val="left" w:pos="792"/>
              </w:tabs>
              <w:jc w:val="right"/>
              <w:rPr>
                <w:sz w:val="18"/>
                <w:szCs w:val="18"/>
              </w:rPr>
            </w:pPr>
            <w:r w:rsidRPr="003A1E72">
              <w:rPr>
                <w:sz w:val="18"/>
                <w:szCs w:val="18"/>
              </w:rPr>
              <w:t>3 464,6</w:t>
            </w:r>
          </w:p>
        </w:tc>
        <w:tc>
          <w:tcPr>
            <w:tcW w:w="713" w:type="dxa"/>
            <w:tcBorders>
              <w:top w:val="nil"/>
              <w:left w:val="nil"/>
              <w:bottom w:val="double" w:sz="4" w:space="0" w:color="800000"/>
              <w:right w:val="double" w:sz="6" w:space="0" w:color="800000"/>
            </w:tcBorders>
            <w:shd w:val="clear" w:color="000000" w:fill="FFFFCC"/>
            <w:vAlign w:val="center"/>
            <w:hideMark/>
          </w:tcPr>
          <w:p w14:paraId="1AEBB99D" w14:textId="77777777" w:rsidR="00830245" w:rsidRPr="003A1E72" w:rsidRDefault="00830245" w:rsidP="00830245">
            <w:pPr>
              <w:jc w:val="right"/>
              <w:rPr>
                <w:sz w:val="18"/>
                <w:szCs w:val="18"/>
              </w:rPr>
            </w:pPr>
            <w:r w:rsidRPr="003A1E72">
              <w:rPr>
                <w:b/>
                <w:bCs/>
                <w:sz w:val="18"/>
                <w:szCs w:val="18"/>
              </w:rPr>
              <w:t>2</w:t>
            </w:r>
            <w:r>
              <w:rPr>
                <w:b/>
                <w:bCs/>
                <w:sz w:val="18"/>
                <w:szCs w:val="18"/>
              </w:rPr>
              <w:t>,5</w:t>
            </w:r>
            <w:r w:rsidRPr="003A1E72">
              <w:rPr>
                <w:b/>
                <w:bCs/>
                <w:sz w:val="18"/>
                <w:szCs w:val="18"/>
              </w:rPr>
              <w:t>%</w:t>
            </w:r>
          </w:p>
        </w:tc>
        <w:tc>
          <w:tcPr>
            <w:tcW w:w="867" w:type="dxa"/>
            <w:tcBorders>
              <w:top w:val="nil"/>
              <w:left w:val="nil"/>
              <w:bottom w:val="double" w:sz="4" w:space="0" w:color="800000"/>
              <w:right w:val="single" w:sz="8" w:space="0" w:color="800000"/>
            </w:tcBorders>
            <w:shd w:val="clear" w:color="000000" w:fill="FFFFCC"/>
            <w:vAlign w:val="center"/>
          </w:tcPr>
          <w:p w14:paraId="603C83E4" w14:textId="49CCC5A4" w:rsidR="00830245" w:rsidRPr="00233B16" w:rsidRDefault="00830245" w:rsidP="00830245">
            <w:pPr>
              <w:tabs>
                <w:tab w:val="left" w:pos="792"/>
              </w:tabs>
              <w:jc w:val="right"/>
              <w:rPr>
                <w:b/>
                <w:bCs/>
                <w:sz w:val="18"/>
                <w:szCs w:val="18"/>
                <w:lang w:val="en-US"/>
              </w:rPr>
            </w:pPr>
            <w:r>
              <w:rPr>
                <w:b/>
                <w:bCs/>
                <w:sz w:val="18"/>
                <w:szCs w:val="18"/>
              </w:rPr>
              <w:t>6 005,4</w:t>
            </w:r>
          </w:p>
        </w:tc>
        <w:tc>
          <w:tcPr>
            <w:tcW w:w="716" w:type="dxa"/>
            <w:tcBorders>
              <w:top w:val="nil"/>
              <w:left w:val="single" w:sz="8" w:space="0" w:color="800000"/>
              <w:bottom w:val="double" w:sz="4" w:space="0" w:color="C0504D" w:themeColor="accent2"/>
              <w:right w:val="single" w:sz="8" w:space="0" w:color="800000"/>
            </w:tcBorders>
            <w:shd w:val="clear" w:color="000000" w:fill="FFFFCC"/>
            <w:vAlign w:val="center"/>
            <w:hideMark/>
          </w:tcPr>
          <w:p w14:paraId="0C9CA317" w14:textId="652FDDBA" w:rsidR="00830245" w:rsidRPr="00830245" w:rsidRDefault="00830245" w:rsidP="00830245">
            <w:pPr>
              <w:jc w:val="right"/>
              <w:rPr>
                <w:b/>
                <w:bCs/>
                <w:sz w:val="18"/>
                <w:szCs w:val="18"/>
              </w:rPr>
            </w:pPr>
            <w:r>
              <w:rPr>
                <w:b/>
                <w:bCs/>
                <w:sz w:val="18"/>
                <w:szCs w:val="18"/>
              </w:rPr>
              <w:t>3,6%</w:t>
            </w:r>
          </w:p>
        </w:tc>
        <w:tc>
          <w:tcPr>
            <w:tcW w:w="1150" w:type="dxa"/>
            <w:tcBorders>
              <w:top w:val="nil"/>
              <w:left w:val="nil"/>
              <w:bottom w:val="double" w:sz="6" w:space="0" w:color="800000"/>
              <w:right w:val="single" w:sz="8" w:space="0" w:color="800000"/>
            </w:tcBorders>
            <w:shd w:val="clear" w:color="000000" w:fill="FFFFCC"/>
            <w:vAlign w:val="center"/>
          </w:tcPr>
          <w:p w14:paraId="702953FD" w14:textId="33852081" w:rsidR="00830245" w:rsidRPr="003A1E72" w:rsidRDefault="00830245" w:rsidP="00830245">
            <w:pPr>
              <w:tabs>
                <w:tab w:val="left" w:pos="792"/>
              </w:tabs>
              <w:jc w:val="right"/>
              <w:rPr>
                <w:b/>
                <w:bCs/>
                <w:sz w:val="18"/>
                <w:szCs w:val="18"/>
              </w:rPr>
            </w:pPr>
            <w:r>
              <w:rPr>
                <w:b/>
                <w:bCs/>
                <w:sz w:val="18"/>
                <w:szCs w:val="18"/>
              </w:rPr>
              <w:t>6 005,4</w:t>
            </w:r>
          </w:p>
        </w:tc>
        <w:tc>
          <w:tcPr>
            <w:tcW w:w="959" w:type="dxa"/>
            <w:tcBorders>
              <w:top w:val="nil"/>
              <w:left w:val="nil"/>
              <w:bottom w:val="double" w:sz="4" w:space="0" w:color="C0504D" w:themeColor="accent2"/>
              <w:right w:val="single" w:sz="8" w:space="0" w:color="800000"/>
            </w:tcBorders>
            <w:shd w:val="clear" w:color="000000" w:fill="FFFFCC"/>
            <w:vAlign w:val="center"/>
          </w:tcPr>
          <w:p w14:paraId="7C87F84F" w14:textId="55014D08" w:rsidR="00830245" w:rsidRPr="003A1E72" w:rsidRDefault="00830245" w:rsidP="00830245">
            <w:pPr>
              <w:jc w:val="right"/>
              <w:rPr>
                <w:b/>
                <w:bCs/>
                <w:sz w:val="18"/>
                <w:szCs w:val="18"/>
              </w:rPr>
            </w:pPr>
            <w:r>
              <w:rPr>
                <w:b/>
                <w:bCs/>
                <w:sz w:val="18"/>
                <w:szCs w:val="18"/>
              </w:rPr>
              <w:t>3,6%</w:t>
            </w:r>
          </w:p>
        </w:tc>
      </w:tr>
    </w:tbl>
    <w:p w14:paraId="51E47BE8" w14:textId="77777777" w:rsidR="00BD39E0" w:rsidRPr="00786859" w:rsidRDefault="00BD39E0" w:rsidP="00BD39E0">
      <w:pPr>
        <w:ind w:left="1080" w:hanging="540"/>
        <w:jc w:val="both"/>
        <w:rPr>
          <w:sz w:val="20"/>
          <w:szCs w:val="20"/>
        </w:rPr>
      </w:pPr>
      <w:r w:rsidRPr="00786859">
        <w:rPr>
          <w:sz w:val="20"/>
          <w:szCs w:val="20"/>
        </w:rPr>
        <w:t>*вкл. постъпленията от данък върху дивидентите, ликвидационните дялове и доходите</w:t>
      </w:r>
    </w:p>
    <w:p w14:paraId="457265EC" w14:textId="77777777" w:rsidR="00BD39E0" w:rsidRPr="007B48E9" w:rsidRDefault="00BD39E0" w:rsidP="00BD39E0">
      <w:pPr>
        <w:ind w:firstLine="720"/>
        <w:jc w:val="both"/>
        <w:rPr>
          <w:color w:val="0070C0"/>
        </w:rPr>
      </w:pPr>
    </w:p>
    <w:p w14:paraId="50BCE520" w14:textId="73B7FA1F" w:rsidR="00BD39E0" w:rsidRPr="007B48E9" w:rsidRDefault="00BD39E0" w:rsidP="00BD39E0">
      <w:pPr>
        <w:ind w:firstLine="720"/>
        <w:jc w:val="both"/>
        <w:rPr>
          <w:color w:val="0070C0"/>
        </w:rPr>
      </w:pPr>
      <w:r w:rsidRPr="000154A0">
        <w:t xml:space="preserve">Общият размер на </w:t>
      </w:r>
      <w:r w:rsidRPr="000154A0">
        <w:rPr>
          <w:b/>
        </w:rPr>
        <w:t>приходите, помощите и даренията</w:t>
      </w:r>
      <w:r w:rsidRPr="000154A0">
        <w:t xml:space="preserve"> по консолидираната фискална програма за 2022 г. е </w:t>
      </w:r>
      <w:r w:rsidRPr="000154A0">
        <w:rPr>
          <w:b/>
        </w:rPr>
        <w:t>64 788,</w:t>
      </w:r>
      <w:r w:rsidR="00C05F97" w:rsidRPr="00042EBB">
        <w:rPr>
          <w:b/>
          <w:lang w:val="ru-RU"/>
        </w:rPr>
        <w:t>7</w:t>
      </w:r>
      <w:r w:rsidRPr="000154A0">
        <w:rPr>
          <w:b/>
        </w:rPr>
        <w:t xml:space="preserve"> млн. лв.</w:t>
      </w:r>
      <w:r w:rsidRPr="000154A0">
        <w:t xml:space="preserve"> </w:t>
      </w:r>
      <w:r w:rsidRPr="000154A0">
        <w:rPr>
          <w:lang w:val="ru-RU"/>
        </w:rPr>
        <w:t>(</w:t>
      </w:r>
      <w:r w:rsidRPr="000154A0">
        <w:t>39,2 % от БВП при 37,7 % от БВП за 2021</w:t>
      </w:r>
      <w:r>
        <w:rPr>
          <w:lang w:val="en-US"/>
        </w:rPr>
        <w:t> </w:t>
      </w:r>
      <w:r w:rsidRPr="000154A0">
        <w:t>г.</w:t>
      </w:r>
      <w:r w:rsidRPr="000154A0">
        <w:rPr>
          <w:lang w:val="ru-RU"/>
        </w:rPr>
        <w:t>)</w:t>
      </w:r>
      <w:r w:rsidRPr="000154A0">
        <w:t>,</w:t>
      </w:r>
      <w:r w:rsidRPr="000154A0">
        <w:rPr>
          <w:b/>
        </w:rPr>
        <w:t xml:space="preserve"> вкл. 3 181,0 млн. лв. приходи с еднократен извънреден характер</w:t>
      </w:r>
      <w:r w:rsidRPr="000154A0">
        <w:rPr>
          <w:vertAlign w:val="superscript"/>
        </w:rPr>
        <w:footnoteReference w:id="14"/>
      </w:r>
      <w:r w:rsidRPr="000154A0">
        <w:rPr>
          <w:b/>
        </w:rPr>
        <w:t xml:space="preserve">, </w:t>
      </w:r>
      <w:r w:rsidRPr="000154A0">
        <w:t>които не са включени в разчетите към ЗДБРБ за 2022 г. С оглед съпоставимост на данните спрямо годишните разчети към ЗДБРБ за 2022 г., влиянието на посочените еднократни приходи, респективно разходи, следва да бъде елиминирано. На съпоставима база с разчетите към ЗДБРБ за 2022</w:t>
      </w:r>
      <w:r w:rsidRPr="000154A0">
        <w:rPr>
          <w:lang w:val="en-US"/>
        </w:rPr>
        <w:t> </w:t>
      </w:r>
      <w:r w:rsidRPr="000154A0">
        <w:t xml:space="preserve">г. приходите, помощите и даренията по КФП за 2022 г. са в размер на </w:t>
      </w:r>
      <w:r w:rsidRPr="000154A0">
        <w:rPr>
          <w:b/>
        </w:rPr>
        <w:t>61 </w:t>
      </w:r>
      <w:r w:rsidRPr="000154A0">
        <w:rPr>
          <w:b/>
          <w:lang w:val="ru-RU"/>
        </w:rPr>
        <w:t>607</w:t>
      </w:r>
      <w:r w:rsidRPr="000154A0">
        <w:rPr>
          <w:b/>
        </w:rPr>
        <w:t>,</w:t>
      </w:r>
      <w:r w:rsidR="00C05F97" w:rsidRPr="00042EBB">
        <w:rPr>
          <w:b/>
          <w:lang w:val="ru-RU"/>
        </w:rPr>
        <w:t>7</w:t>
      </w:r>
      <w:r w:rsidRPr="000154A0">
        <w:rPr>
          <w:b/>
        </w:rPr>
        <w:t xml:space="preserve"> млн. лв., което представлява превишение на разчетите към ЗДБРБ за 2022 г. с 3,3 на сто.</w:t>
      </w:r>
    </w:p>
    <w:p w14:paraId="79AEE705" w14:textId="01491B25" w:rsidR="00BD39E0" w:rsidRPr="000154A0" w:rsidRDefault="00BD39E0" w:rsidP="00BD39E0">
      <w:pPr>
        <w:ind w:firstLine="720"/>
        <w:jc w:val="both"/>
      </w:pPr>
      <w:r w:rsidRPr="000154A0">
        <w:t>В номинален размер данъчните приходи възлизат на 4</w:t>
      </w:r>
      <w:r w:rsidRPr="000154A0">
        <w:rPr>
          <w:lang w:val="ru-RU"/>
        </w:rPr>
        <w:t>6</w:t>
      </w:r>
      <w:r w:rsidRPr="000154A0">
        <w:rPr>
          <w:lang w:val="en-US"/>
        </w:rPr>
        <w:t> </w:t>
      </w:r>
      <w:r w:rsidRPr="000154A0">
        <w:rPr>
          <w:lang w:val="ru-RU"/>
        </w:rPr>
        <w:t>783,0</w:t>
      </w:r>
      <w:r w:rsidRPr="000154A0">
        <w:t xml:space="preserve"> млн. лв. (</w:t>
      </w:r>
      <w:r w:rsidRPr="000154A0">
        <w:rPr>
          <w:lang w:val="ru-RU"/>
        </w:rPr>
        <w:t>28,3</w:t>
      </w:r>
      <w:r w:rsidRPr="000154A0">
        <w:t xml:space="preserve"> % от БВП), а неданъчните приходи са в размер на </w:t>
      </w:r>
      <w:r w:rsidRPr="000154A0">
        <w:rPr>
          <w:lang w:val="ru-RU"/>
        </w:rPr>
        <w:t>12</w:t>
      </w:r>
      <w:r w:rsidRPr="000154A0">
        <w:rPr>
          <w:lang w:val="en-US"/>
        </w:rPr>
        <w:t> </w:t>
      </w:r>
      <w:r w:rsidRPr="000154A0">
        <w:rPr>
          <w:lang w:val="ru-RU"/>
        </w:rPr>
        <w:t>000,</w:t>
      </w:r>
      <w:r w:rsidR="00C05F97" w:rsidRPr="00DC6AB4">
        <w:rPr>
          <w:lang w:val="ru-RU"/>
        </w:rPr>
        <w:t>3</w:t>
      </w:r>
      <w:r w:rsidRPr="000154A0">
        <w:t xml:space="preserve"> млн. лв. (</w:t>
      </w:r>
      <w:r w:rsidRPr="000154A0">
        <w:rPr>
          <w:lang w:val="ru-RU"/>
        </w:rPr>
        <w:t>7,3</w:t>
      </w:r>
      <w:r w:rsidRPr="000154A0">
        <w:t xml:space="preserve"> % от БВП). Приходите от помощи и дарения са в размер на 6 005,4 млн. лв. (3,6 % от БВП). </w:t>
      </w:r>
    </w:p>
    <w:p w14:paraId="45E1A852" w14:textId="77777777" w:rsidR="00BD39E0" w:rsidRPr="00B80A7B" w:rsidRDefault="00BD39E0" w:rsidP="00BD39E0">
      <w:pPr>
        <w:ind w:firstLine="720"/>
        <w:jc w:val="both"/>
        <w:rPr>
          <w:color w:val="0070C0"/>
          <w:sz w:val="12"/>
          <w:szCs w:val="12"/>
          <w:lang w:val="ru-RU"/>
        </w:rPr>
      </w:pPr>
    </w:p>
    <w:p w14:paraId="7D033537" w14:textId="77777777" w:rsidR="00BD39E0" w:rsidRPr="000154A0" w:rsidRDefault="00BD39E0" w:rsidP="00BD39E0">
      <w:pPr>
        <w:ind w:left="720"/>
        <w:jc w:val="both"/>
        <w:rPr>
          <w:b/>
          <w:u w:val="single"/>
        </w:rPr>
      </w:pPr>
      <w:r w:rsidRPr="000154A0">
        <w:rPr>
          <w:b/>
          <w:u w:val="single"/>
        </w:rPr>
        <w:t>Данъчни приходи</w:t>
      </w:r>
    </w:p>
    <w:p w14:paraId="7F1D809A" w14:textId="77777777" w:rsidR="00BD39E0" w:rsidRPr="007B48E9" w:rsidRDefault="00BD39E0" w:rsidP="00BD39E0">
      <w:pPr>
        <w:ind w:firstLine="720"/>
        <w:jc w:val="both"/>
        <w:rPr>
          <w:color w:val="0070C0"/>
          <w:sz w:val="4"/>
          <w:szCs w:val="4"/>
        </w:rPr>
      </w:pPr>
    </w:p>
    <w:p w14:paraId="29DB9D71" w14:textId="77777777" w:rsidR="00BD39E0" w:rsidRPr="000773D2" w:rsidRDefault="00BD39E0" w:rsidP="00BD39E0">
      <w:pPr>
        <w:ind w:firstLine="720"/>
        <w:jc w:val="both"/>
        <w:rPr>
          <w:sz w:val="4"/>
          <w:szCs w:val="4"/>
        </w:rPr>
      </w:pPr>
    </w:p>
    <w:p w14:paraId="6933B783" w14:textId="2549261F" w:rsidR="00BD39E0" w:rsidRPr="000A3C9C" w:rsidRDefault="00BD39E0" w:rsidP="00C01D40">
      <w:pPr>
        <w:ind w:firstLine="709"/>
        <w:jc w:val="both"/>
        <w:rPr>
          <w:color w:val="0070C0"/>
          <w:lang w:eastAsia="en-US"/>
        </w:rPr>
      </w:pPr>
      <w:r w:rsidRPr="000773D2">
        <w:t xml:space="preserve">Постъпленията от </w:t>
      </w:r>
      <w:r w:rsidRPr="000773D2">
        <w:rPr>
          <w:b/>
        </w:rPr>
        <w:t>данъци</w:t>
      </w:r>
      <w:r w:rsidRPr="000773D2">
        <w:t xml:space="preserve"> по КФП за 202</w:t>
      </w:r>
      <w:r w:rsidRPr="000773D2">
        <w:rPr>
          <w:lang w:val="ru-RU"/>
        </w:rPr>
        <w:t>2</w:t>
      </w:r>
      <w:r w:rsidRPr="000773D2">
        <w:t xml:space="preserve"> г. са в размер на </w:t>
      </w:r>
      <w:r w:rsidRPr="000773D2">
        <w:rPr>
          <w:b/>
        </w:rPr>
        <w:t>4</w:t>
      </w:r>
      <w:r w:rsidRPr="000773D2">
        <w:rPr>
          <w:b/>
          <w:lang w:val="ru-RU"/>
        </w:rPr>
        <w:t>6</w:t>
      </w:r>
      <w:r w:rsidRPr="000773D2">
        <w:rPr>
          <w:b/>
        </w:rPr>
        <w:t> </w:t>
      </w:r>
      <w:r w:rsidRPr="000773D2">
        <w:rPr>
          <w:b/>
          <w:lang w:val="ru-RU"/>
        </w:rPr>
        <w:t>783,0</w:t>
      </w:r>
      <w:r w:rsidRPr="000773D2">
        <w:rPr>
          <w:b/>
        </w:rPr>
        <w:t> млн. лв.</w:t>
      </w:r>
      <w:r w:rsidRPr="000773D2">
        <w:t xml:space="preserve">, </w:t>
      </w:r>
      <w:r w:rsidRPr="000A3C9C">
        <w:rPr>
          <w:rFonts w:eastAsiaTheme="minorHAnsi"/>
          <w:b/>
          <w:szCs w:val="23"/>
          <w:lang w:eastAsia="en-US"/>
        </w:rPr>
        <w:t xml:space="preserve">, </w:t>
      </w:r>
      <w:r w:rsidRPr="000A3C9C">
        <w:rPr>
          <w:rFonts w:eastAsiaTheme="minorHAnsi"/>
          <w:szCs w:val="23"/>
          <w:lang w:eastAsia="en-US"/>
        </w:rPr>
        <w:t>което е с 1,</w:t>
      </w:r>
      <w:r>
        <w:rPr>
          <w:rFonts w:eastAsiaTheme="minorHAnsi"/>
          <w:szCs w:val="23"/>
          <w:lang w:eastAsia="en-US"/>
        </w:rPr>
        <w:t>4</w:t>
      </w:r>
      <w:r w:rsidRPr="000A3C9C">
        <w:rPr>
          <w:rFonts w:eastAsiaTheme="minorHAnsi"/>
          <w:szCs w:val="23"/>
          <w:lang w:eastAsia="en-US"/>
        </w:rPr>
        <w:t xml:space="preserve"> на сто или 6</w:t>
      </w:r>
      <w:r>
        <w:rPr>
          <w:rFonts w:eastAsiaTheme="minorHAnsi"/>
          <w:szCs w:val="23"/>
          <w:lang w:eastAsia="en-US"/>
        </w:rPr>
        <w:t>60,4</w:t>
      </w:r>
      <w:r w:rsidRPr="000A3C9C">
        <w:rPr>
          <w:rFonts w:eastAsiaTheme="minorHAnsi"/>
          <w:szCs w:val="23"/>
          <w:lang w:eastAsia="en-US"/>
        </w:rPr>
        <w:t xml:space="preserve"> млн. лв. над заложеното в разчетите към ЗДБРБ за 2022 г., в т.ч. 3</w:t>
      </w:r>
      <w:r>
        <w:rPr>
          <w:rFonts w:eastAsiaTheme="minorHAnsi"/>
          <w:szCs w:val="23"/>
          <w:lang w:eastAsia="en-US"/>
        </w:rPr>
        <w:t>43,8</w:t>
      </w:r>
      <w:r w:rsidRPr="000A3C9C">
        <w:rPr>
          <w:rFonts w:eastAsiaTheme="minorHAnsi"/>
          <w:szCs w:val="23"/>
          <w:lang w:eastAsia="en-US"/>
        </w:rPr>
        <w:t> млн. лв. превишение на разчета при постъпленията от социални и здравноосигурителни вноски, 2</w:t>
      </w:r>
      <w:r>
        <w:rPr>
          <w:rFonts w:eastAsiaTheme="minorHAnsi"/>
          <w:szCs w:val="23"/>
          <w:lang w:eastAsia="en-US"/>
        </w:rPr>
        <w:t>19,2</w:t>
      </w:r>
      <w:r w:rsidRPr="000A3C9C">
        <w:rPr>
          <w:rFonts w:eastAsiaTheme="minorHAnsi"/>
          <w:szCs w:val="23"/>
          <w:lang w:eastAsia="en-US"/>
        </w:rPr>
        <w:t xml:space="preserve"> млн. лв. по-високи данъчни приходи по държавния бюджет (от които 72 млн. лв. авансова солидарна вноска</w:t>
      </w:r>
      <w:r w:rsidRPr="000A3C9C">
        <w:rPr>
          <w:rFonts w:eastAsiaTheme="minorHAnsi"/>
          <w:szCs w:val="23"/>
          <w:vertAlign w:val="superscript"/>
          <w:lang w:eastAsia="en-US"/>
        </w:rPr>
        <w:footnoteReference w:id="15"/>
      </w:r>
      <w:r w:rsidRPr="000A3C9C">
        <w:rPr>
          <w:rFonts w:eastAsiaTheme="minorHAnsi"/>
          <w:szCs w:val="23"/>
          <w:lang w:eastAsia="en-US"/>
        </w:rPr>
        <w:t xml:space="preserve"> от „Лукойл България“) и </w:t>
      </w:r>
      <w:r w:rsidR="00C05F97" w:rsidRPr="00DC6AB4">
        <w:rPr>
          <w:rFonts w:eastAsiaTheme="minorHAnsi"/>
          <w:szCs w:val="23"/>
          <w:lang w:val="ru-RU" w:eastAsia="en-US"/>
        </w:rPr>
        <w:t>97</w:t>
      </w:r>
      <w:r w:rsidRPr="000A3C9C">
        <w:rPr>
          <w:rFonts w:eastAsiaTheme="minorHAnsi"/>
          <w:szCs w:val="23"/>
          <w:lang w:eastAsia="en-US"/>
        </w:rPr>
        <w:t xml:space="preserve">,4 млн. лв. над разчета основно имуществени данъци по общинските бюджети. В частта на данъчните приходи по държавния бюджет преизпълнение има при корпоративните данъци, ДДФЛ и митата, а приходите от ДДС и акцизи са по-ниски от планираните за годината. При приходите от ДДС данните показват, че съпоставено с разчетите към ЗДБРБ за 2022 г. постъпленията за годината са с 688,7 млн. лв. </w:t>
      </w:r>
      <w:r w:rsidR="00793B90" w:rsidRPr="000A3C9C">
        <w:rPr>
          <w:rFonts w:eastAsiaTheme="minorHAnsi"/>
          <w:szCs w:val="23"/>
          <w:lang w:eastAsia="en-US"/>
        </w:rPr>
        <w:t>по</w:t>
      </w:r>
      <w:r w:rsidR="00793B90">
        <w:rPr>
          <w:rFonts w:eastAsiaTheme="minorHAnsi"/>
          <w:szCs w:val="23"/>
          <w:lang w:eastAsia="en-US"/>
        </w:rPr>
        <w:t>-</w:t>
      </w:r>
      <w:r w:rsidRPr="000A3C9C">
        <w:rPr>
          <w:rFonts w:eastAsiaTheme="minorHAnsi"/>
          <w:szCs w:val="23"/>
          <w:lang w:eastAsia="en-US"/>
        </w:rPr>
        <w:t>ниски от планираните. Параметрите по изпълнението при този данък са близки до предложените разчети от Министерството на финансите в първоначалния проект на ЗИД на ЗДБРБ за 2022 г. от юни, които в последствие при обсъждането и гласуването на законопроекта в Народното събрание бяха допълнително увеличени със 760,0 млн. лв. в окончателно гласуваните текстове. По отношение на приходите от акцизи следва да се отбележи, че</w:t>
      </w:r>
      <w:r w:rsidRPr="000A3C9C">
        <w:rPr>
          <w:lang w:eastAsia="en-US"/>
        </w:rPr>
        <w:t xml:space="preserve"> през 2022 г. Народното събрание не прие предложените от Министерството на финансите промени за въвеждане на акцизен календар за тютюневите изделия през 2022 г., като същевременно не беше извършено съответното намаление на прогнозния размер на постъпленията от акцизи с ефекта от мярката в размер на 100 млн. лв., включени в ЗДБРБ за 2022 г., колкото приблизително е неизпълнението на разчета за годината. Мярката влезе в сила от 01.03.2023 година</w:t>
      </w:r>
      <w:r w:rsidRPr="000A3C9C">
        <w:rPr>
          <w:color w:val="0070C0"/>
          <w:lang w:eastAsia="en-US"/>
        </w:rPr>
        <w:t xml:space="preserve">. </w:t>
      </w:r>
    </w:p>
    <w:p w14:paraId="00141707" w14:textId="77777777" w:rsidR="00BD39E0" w:rsidRPr="005D3314" w:rsidRDefault="00BD39E0" w:rsidP="00BD39E0">
      <w:pPr>
        <w:spacing w:after="120"/>
        <w:ind w:firstLine="709"/>
        <w:jc w:val="both"/>
        <w:rPr>
          <w:bCs/>
        </w:rPr>
      </w:pPr>
      <w:r w:rsidRPr="000A3C9C">
        <w:rPr>
          <w:lang w:eastAsia="en-US"/>
        </w:rPr>
        <w:t xml:space="preserve">Приходите в частта на </w:t>
      </w:r>
      <w:r w:rsidRPr="000A3C9C">
        <w:rPr>
          <w:i/>
          <w:lang w:eastAsia="en-US"/>
        </w:rPr>
        <w:t xml:space="preserve">преките данъци </w:t>
      </w:r>
      <w:r w:rsidRPr="000A3C9C">
        <w:rPr>
          <w:lang w:eastAsia="en-US"/>
        </w:rPr>
        <w:t>възлизат на 9</w:t>
      </w:r>
      <w:r>
        <w:rPr>
          <w:lang w:eastAsia="en-US"/>
        </w:rPr>
        <w:t> </w:t>
      </w:r>
      <w:r w:rsidRPr="000A3C9C">
        <w:rPr>
          <w:lang w:eastAsia="en-US"/>
        </w:rPr>
        <w:t>92</w:t>
      </w:r>
      <w:r>
        <w:rPr>
          <w:lang w:eastAsia="en-US"/>
        </w:rPr>
        <w:t>3,8</w:t>
      </w:r>
      <w:r w:rsidRPr="000A3C9C">
        <w:rPr>
          <w:lang w:eastAsia="en-US"/>
        </w:rPr>
        <w:t xml:space="preserve"> млн. лв., което представлява 109,</w:t>
      </w:r>
      <w:r>
        <w:rPr>
          <w:lang w:eastAsia="en-US"/>
        </w:rPr>
        <w:t>6</w:t>
      </w:r>
      <w:r w:rsidRPr="000A3C9C">
        <w:rPr>
          <w:lang w:eastAsia="en-US"/>
        </w:rPr>
        <w:t xml:space="preserve"> % спрямо разчета за 2022 г. Приходите от </w:t>
      </w:r>
      <w:r w:rsidRPr="000A3C9C">
        <w:rPr>
          <w:i/>
          <w:lang w:eastAsia="en-US"/>
        </w:rPr>
        <w:t>косвени данъци</w:t>
      </w:r>
      <w:r w:rsidRPr="000A3C9C">
        <w:rPr>
          <w:lang w:eastAsia="en-US"/>
        </w:rPr>
        <w:t xml:space="preserve"> са в размер на 21 541,5 </w:t>
      </w:r>
      <w:r w:rsidRPr="000A3C9C">
        <w:rPr>
          <w:rFonts w:eastAsia="Calibri"/>
          <w:bCs/>
          <w:iCs/>
          <w:lang w:eastAsia="en-US"/>
        </w:rPr>
        <w:t xml:space="preserve">млн. лв., </w:t>
      </w:r>
      <w:r w:rsidRPr="000A3C9C">
        <w:rPr>
          <w:rFonts w:eastAsia="Calibri"/>
          <w:lang w:eastAsia="en-US"/>
        </w:rPr>
        <w:t xml:space="preserve"> </w:t>
      </w:r>
      <w:r w:rsidRPr="000A3C9C">
        <w:rPr>
          <w:lang w:eastAsia="en-US"/>
        </w:rPr>
        <w:t xml:space="preserve">което представлява 96,7 % от предвидените в ЗДБРБ за 2022 г. Постъпленията от </w:t>
      </w:r>
      <w:r w:rsidRPr="000A3C9C">
        <w:rPr>
          <w:i/>
          <w:lang w:eastAsia="en-US"/>
        </w:rPr>
        <w:t>други данъци</w:t>
      </w:r>
      <w:r w:rsidRPr="000A3C9C">
        <w:rPr>
          <w:lang w:eastAsia="en-US"/>
        </w:rPr>
        <w:t xml:space="preserve"> (включват други данъци по ЗКПО, имуществени и др. данъци) са в размер на </w:t>
      </w:r>
      <w:r w:rsidRPr="000A3C9C">
        <w:rPr>
          <w:lang w:val="ru-RU" w:eastAsia="en-US"/>
        </w:rPr>
        <w:t>1 580,0</w:t>
      </w:r>
      <w:r w:rsidRPr="000A3C9C">
        <w:rPr>
          <w:lang w:eastAsia="en-US"/>
        </w:rPr>
        <w:t xml:space="preserve"> млн. лв. </w:t>
      </w:r>
      <w:r w:rsidRPr="000A3C9C">
        <w:rPr>
          <w:lang w:val="ru-RU" w:eastAsia="en-US"/>
        </w:rPr>
        <w:t>(вкл. 72,0 млн. лв. временна солидарна</w:t>
      </w:r>
      <w:r w:rsidRPr="000A3C9C">
        <w:rPr>
          <w:lang w:eastAsia="en-US"/>
        </w:rPr>
        <w:t xml:space="preserve"> вноска от </w:t>
      </w:r>
      <w:r w:rsidRPr="000A3C9C">
        <w:rPr>
          <w:lang w:val="ru-RU" w:eastAsia="en-US"/>
        </w:rPr>
        <w:t>„Лукойл България“)</w:t>
      </w:r>
      <w:r w:rsidRPr="000A3C9C">
        <w:rPr>
          <w:lang w:eastAsia="en-US"/>
        </w:rPr>
        <w:t>, което представлява 112,7 % спрямо годишния разчет</w:t>
      </w:r>
      <w:r w:rsidRPr="000A3C9C">
        <w:rPr>
          <w:lang w:val="ru-RU" w:eastAsia="en-US"/>
        </w:rPr>
        <w:t xml:space="preserve">. </w:t>
      </w:r>
      <w:r w:rsidRPr="000A3C9C">
        <w:rPr>
          <w:lang w:eastAsia="en-US"/>
        </w:rPr>
        <w:t xml:space="preserve">Приходите от </w:t>
      </w:r>
      <w:r w:rsidRPr="000A3C9C">
        <w:rPr>
          <w:i/>
          <w:lang w:eastAsia="en-US"/>
        </w:rPr>
        <w:t>социални и здравноосигурителни вноски</w:t>
      </w:r>
      <w:r w:rsidRPr="000A3C9C">
        <w:rPr>
          <w:lang w:eastAsia="en-US"/>
        </w:rPr>
        <w:t xml:space="preserve"> са в размер на 13 7</w:t>
      </w:r>
      <w:r>
        <w:rPr>
          <w:lang w:eastAsia="en-US"/>
        </w:rPr>
        <w:t>37</w:t>
      </w:r>
      <w:r w:rsidRPr="000A3C9C">
        <w:rPr>
          <w:lang w:eastAsia="en-US"/>
        </w:rPr>
        <w:t>,7 млн. лв. или 102,6 % спрямо разчета за 2022 година.</w:t>
      </w:r>
      <w:r w:rsidRPr="00F27679">
        <w:t xml:space="preserve"> </w:t>
      </w:r>
    </w:p>
    <w:p w14:paraId="1DC41361" w14:textId="77777777" w:rsidR="00BD39E0" w:rsidRPr="005D3314" w:rsidRDefault="00BD39E0" w:rsidP="00BD39E0">
      <w:pPr>
        <w:jc w:val="center"/>
        <w:rPr>
          <w:b/>
          <w:u w:val="single"/>
        </w:rPr>
      </w:pPr>
      <w:r w:rsidRPr="005D3314">
        <w:rPr>
          <w:b/>
          <w:u w:val="single"/>
        </w:rPr>
        <w:t xml:space="preserve">Структура на данъчните приходи по КФП </w:t>
      </w:r>
    </w:p>
    <w:p w14:paraId="06282DAF" w14:textId="77777777" w:rsidR="00BD39E0" w:rsidRPr="005D3314" w:rsidRDefault="00BD39E0" w:rsidP="00BD39E0">
      <w:pPr>
        <w:jc w:val="center"/>
        <w:rPr>
          <w:b/>
          <w:sz w:val="20"/>
          <w:szCs w:val="20"/>
        </w:rPr>
      </w:pPr>
    </w:p>
    <w:p w14:paraId="4E6D5197" w14:textId="77777777" w:rsidR="00BD39E0" w:rsidRPr="005D3314" w:rsidRDefault="00BD39E0" w:rsidP="00BD39E0">
      <w:pPr>
        <w:rPr>
          <w:b/>
          <w:sz w:val="20"/>
          <w:szCs w:val="20"/>
        </w:rPr>
      </w:pPr>
      <w:r w:rsidRPr="005D3314">
        <w:rPr>
          <w:b/>
          <w:sz w:val="20"/>
          <w:szCs w:val="20"/>
        </w:rPr>
        <w:t xml:space="preserve">                                   2021 г.                                                                      2022 г.</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99"/>
        <w:gridCol w:w="4881"/>
      </w:tblGrid>
      <w:tr w:rsidR="00BD39E0" w:rsidRPr="007B48E9" w14:paraId="11A90115" w14:textId="77777777" w:rsidTr="006B3E0A">
        <w:trPr>
          <w:trHeight w:val="2872"/>
          <w:jc w:val="center"/>
        </w:trPr>
        <w:tc>
          <w:tcPr>
            <w:tcW w:w="4799" w:type="dxa"/>
            <w:tcBorders>
              <w:top w:val="single" w:sz="4" w:space="0" w:color="auto"/>
              <w:left w:val="single" w:sz="4" w:space="0" w:color="auto"/>
              <w:bottom w:val="single" w:sz="4" w:space="0" w:color="auto"/>
              <w:right w:val="single" w:sz="4" w:space="0" w:color="auto"/>
            </w:tcBorders>
            <w:hideMark/>
          </w:tcPr>
          <w:p w14:paraId="52DFDE7A" w14:textId="7FD2FC85" w:rsidR="00BD39E0" w:rsidRPr="007B48E9" w:rsidRDefault="003F675B" w:rsidP="00D337DB">
            <w:pPr>
              <w:rPr>
                <w:b/>
                <w:color w:val="0070C0"/>
              </w:rPr>
            </w:pPr>
            <w:r>
              <w:rPr>
                <w:b/>
                <w:noProof/>
                <w:color w:val="0070C0"/>
              </w:rPr>
              <w:drawing>
                <wp:inline distT="0" distB="0" distL="0" distR="0" wp14:anchorId="17AC7F3A" wp14:editId="21C899E5">
                  <wp:extent cx="2828925" cy="1877695"/>
                  <wp:effectExtent l="0" t="0" r="9525"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28925" cy="1877695"/>
                          </a:xfrm>
                          <a:prstGeom prst="rect">
                            <a:avLst/>
                          </a:prstGeom>
                          <a:noFill/>
                        </pic:spPr>
                      </pic:pic>
                    </a:graphicData>
                  </a:graphic>
                </wp:inline>
              </w:drawing>
            </w:r>
          </w:p>
        </w:tc>
        <w:tc>
          <w:tcPr>
            <w:tcW w:w="4881" w:type="dxa"/>
            <w:tcBorders>
              <w:top w:val="single" w:sz="4" w:space="0" w:color="auto"/>
              <w:left w:val="single" w:sz="4" w:space="0" w:color="auto"/>
              <w:bottom w:val="single" w:sz="4" w:space="0" w:color="auto"/>
              <w:right w:val="single" w:sz="4" w:space="0" w:color="auto"/>
            </w:tcBorders>
            <w:hideMark/>
          </w:tcPr>
          <w:p w14:paraId="7166D93E" w14:textId="76BE1262" w:rsidR="00BD39E0" w:rsidRPr="007B48E9" w:rsidRDefault="005B0761" w:rsidP="00D337DB">
            <w:pPr>
              <w:rPr>
                <w:b/>
                <w:color w:val="0070C0"/>
              </w:rPr>
            </w:pPr>
            <w:r>
              <w:rPr>
                <w:b/>
                <w:noProof/>
                <w:color w:val="0070C0"/>
              </w:rPr>
              <w:drawing>
                <wp:inline distT="0" distB="0" distL="0" distR="0" wp14:anchorId="770F12C8" wp14:editId="1E22DFE1">
                  <wp:extent cx="2828925" cy="1877695"/>
                  <wp:effectExtent l="0" t="0" r="9525"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8925" cy="1877695"/>
                          </a:xfrm>
                          <a:prstGeom prst="rect">
                            <a:avLst/>
                          </a:prstGeom>
                          <a:noFill/>
                        </pic:spPr>
                      </pic:pic>
                    </a:graphicData>
                  </a:graphic>
                </wp:inline>
              </w:drawing>
            </w:r>
          </w:p>
        </w:tc>
      </w:tr>
    </w:tbl>
    <w:p w14:paraId="1B9B494A" w14:textId="77777777" w:rsidR="00BD39E0" w:rsidRPr="007B48E9" w:rsidRDefault="00BD39E0" w:rsidP="00BD39E0">
      <w:pPr>
        <w:tabs>
          <w:tab w:val="left" w:pos="900"/>
        </w:tabs>
        <w:ind w:firstLine="900"/>
        <w:jc w:val="both"/>
        <w:rPr>
          <w:color w:val="0070C0"/>
          <w:sz w:val="8"/>
          <w:szCs w:val="8"/>
          <w:lang w:val="en-US"/>
        </w:rPr>
      </w:pPr>
    </w:p>
    <w:p w14:paraId="2F575A60" w14:textId="77777777" w:rsidR="00BD39E0" w:rsidRPr="007B48E9" w:rsidRDefault="00BD39E0" w:rsidP="00BD39E0">
      <w:pPr>
        <w:tabs>
          <w:tab w:val="left" w:pos="900"/>
        </w:tabs>
        <w:ind w:firstLine="900"/>
        <w:jc w:val="both"/>
        <w:rPr>
          <w:color w:val="0070C0"/>
          <w:sz w:val="8"/>
          <w:szCs w:val="8"/>
          <w:lang w:val="en-US"/>
        </w:rPr>
      </w:pPr>
    </w:p>
    <w:p w14:paraId="4532DB15" w14:textId="77777777" w:rsidR="00BD39E0" w:rsidRPr="00DE4BD9" w:rsidRDefault="00BD39E0" w:rsidP="00BD39E0">
      <w:pPr>
        <w:pStyle w:val="Heading3"/>
        <w:numPr>
          <w:ilvl w:val="2"/>
          <w:numId w:val="8"/>
        </w:numPr>
        <w:rPr>
          <w:rFonts w:ascii="Times New Roman" w:hAnsi="Times New Roman"/>
          <w:sz w:val="24"/>
          <w:lang w:val="bg-BG"/>
        </w:rPr>
      </w:pPr>
      <w:bookmarkStart w:id="107" w:name="_Toc393728056"/>
      <w:bookmarkStart w:id="108" w:name="_Toc357527082"/>
      <w:bookmarkStart w:id="109" w:name="_Toc326315897"/>
      <w:bookmarkStart w:id="110" w:name="_Toc324863404"/>
      <w:bookmarkStart w:id="111" w:name="_Toc261276569"/>
      <w:bookmarkStart w:id="112" w:name="_Toc462146105"/>
      <w:bookmarkStart w:id="113" w:name="_Toc494102623"/>
      <w:bookmarkStart w:id="114" w:name="_Toc11323403"/>
      <w:bookmarkStart w:id="115" w:name="_Toc18316936"/>
      <w:bookmarkStart w:id="116" w:name="_Toc83045479"/>
      <w:bookmarkStart w:id="117" w:name="_Toc136273494"/>
      <w:bookmarkStart w:id="118" w:name="_Toc146037891"/>
      <w:r w:rsidRPr="00DE4BD9">
        <w:rPr>
          <w:rFonts w:ascii="Times New Roman" w:hAnsi="Times New Roman"/>
          <w:sz w:val="24"/>
          <w:lang w:val="bg-BG"/>
        </w:rPr>
        <w:t>Корпоративни данъци</w:t>
      </w:r>
      <w:bookmarkEnd w:id="107"/>
      <w:bookmarkEnd w:id="108"/>
      <w:bookmarkEnd w:id="109"/>
      <w:bookmarkEnd w:id="110"/>
      <w:bookmarkEnd w:id="111"/>
      <w:bookmarkEnd w:id="112"/>
      <w:bookmarkEnd w:id="113"/>
      <w:bookmarkEnd w:id="114"/>
      <w:bookmarkEnd w:id="115"/>
      <w:bookmarkEnd w:id="116"/>
      <w:bookmarkEnd w:id="117"/>
      <w:bookmarkEnd w:id="118"/>
    </w:p>
    <w:p w14:paraId="4B0B9609" w14:textId="77777777" w:rsidR="00BD39E0" w:rsidRPr="003C3E7D" w:rsidRDefault="00BD39E0" w:rsidP="00E86E61">
      <w:pPr>
        <w:tabs>
          <w:tab w:val="left" w:pos="1134"/>
        </w:tabs>
        <w:autoSpaceDE w:val="0"/>
        <w:autoSpaceDN w:val="0"/>
        <w:adjustRightInd w:val="0"/>
        <w:ind w:firstLine="709"/>
        <w:jc w:val="both"/>
        <w:rPr>
          <w:bCs/>
        </w:rPr>
      </w:pPr>
      <w:bookmarkStart w:id="119" w:name="to_paragraph_id32004905"/>
      <w:bookmarkStart w:id="120" w:name="to_paragraph_id32004904"/>
      <w:bookmarkStart w:id="121" w:name="to_paragraph_id35633006"/>
      <w:bookmarkStart w:id="122" w:name="to_paragraph_id35633007"/>
      <w:bookmarkStart w:id="123" w:name="to_paragraph_id35633008"/>
      <w:bookmarkStart w:id="124" w:name="_Toc393728057"/>
      <w:bookmarkStart w:id="125" w:name="_Toc357527083"/>
      <w:bookmarkStart w:id="126" w:name="_Toc326315898"/>
      <w:bookmarkStart w:id="127" w:name="_Toc324863405"/>
      <w:bookmarkStart w:id="128" w:name="_Toc261276570"/>
      <w:bookmarkStart w:id="129" w:name="_Toc462146106"/>
      <w:bookmarkStart w:id="130" w:name="_Toc494102624"/>
      <w:bookmarkEnd w:id="119"/>
      <w:bookmarkEnd w:id="120"/>
      <w:bookmarkEnd w:id="121"/>
      <w:bookmarkEnd w:id="122"/>
      <w:bookmarkEnd w:id="123"/>
      <w:r w:rsidRPr="00FE1886">
        <w:rPr>
          <w:bCs/>
        </w:rPr>
        <w:t>Постъпленията от корпоративни данъци в консолидираната фискална програма включват постъпленията от корпоративен данък и данъци върху дивидентите, ликвидационните дялове и доходите на местни и чуждестранни юридически лица. За 202</w:t>
      </w:r>
      <w:r>
        <w:rPr>
          <w:bCs/>
        </w:rPr>
        <w:t>2</w:t>
      </w:r>
      <w:r w:rsidRPr="00FE1886">
        <w:rPr>
          <w:bCs/>
        </w:rPr>
        <w:t xml:space="preserve"> г. приходите от </w:t>
      </w:r>
      <w:r w:rsidRPr="003C3E7D">
        <w:rPr>
          <w:bCs/>
        </w:rPr>
        <w:t xml:space="preserve">корпоративни данъци възлизат на 4 592,6 млн. лв. или 114,2 % изпълнение на актуализирания план и представляват 2,8 % от БВП за годината. Отнесени към общо постъпилите данъчни приходи по КФП, корпоративните данъци заемат дял от 9,8 %. В сравнение с 2021 г. събраните приходи нарастват с 1 186,2 млн. лв. (34,8 %). </w:t>
      </w:r>
    </w:p>
    <w:p w14:paraId="1687B635" w14:textId="02C4CBA4" w:rsidR="00BD39E0" w:rsidRPr="00E66F80" w:rsidRDefault="00BD39E0" w:rsidP="00E86E61">
      <w:pPr>
        <w:tabs>
          <w:tab w:val="left" w:pos="1134"/>
        </w:tabs>
        <w:autoSpaceDE w:val="0"/>
        <w:autoSpaceDN w:val="0"/>
        <w:adjustRightInd w:val="0"/>
        <w:ind w:firstLine="709"/>
        <w:jc w:val="both"/>
      </w:pPr>
      <w:r w:rsidRPr="00E66F80">
        <w:rPr>
          <w:lang w:val="ru-RU"/>
        </w:rPr>
        <w:t xml:space="preserve">Ръстът в изпълнението на приходите от корпоративни данъци за 2022 г. се дължи главно на по-високите с 1 160,4 млн. лв. (37,2 %) приходи от корпоративен данък от нефинансови предприятия. </w:t>
      </w:r>
      <w:r w:rsidRPr="00E66F80">
        <w:t>Фактори</w:t>
      </w:r>
      <w:r w:rsidR="00FF0AFB">
        <w:t>,</w:t>
      </w:r>
      <w:r w:rsidRPr="00E66F80">
        <w:t xml:space="preserve"> оказващи влияние върху повишението на приходите са ръста на макроикономическия показател брут</w:t>
      </w:r>
      <w:r>
        <w:t>о</w:t>
      </w:r>
      <w:r w:rsidRPr="00E66F80">
        <w:t xml:space="preserve"> опериращ излишък/ смесен доход спрямо 2021 г. (17,6 %) и на другите показатели от значение за отделните данъци, както и предприетите мерки за  подобряване събираемостта на приходите от страна на приходната администрация. Върху изпълнението на приходите от тези данъци през годината влияние оказват и приетите законодателни антикризисни мерки, </w:t>
      </w:r>
      <w:r>
        <w:t>целящи</w:t>
      </w:r>
      <w:r w:rsidRPr="00E66F80">
        <w:t xml:space="preserve"> смекчаване на икономическите последици за бизнеса от настъпилата нестабилност на цените на нефта, природния газ, електрическата енергия, горивата, хранителни продукти и други. Тези подкрепящи мерки, водят до евентуално свръхкомпенсиране на определени сектори на икономиката и съответно допринасят за подобрение на финансовите им</w:t>
      </w:r>
      <w:r>
        <w:t xml:space="preserve"> резултати</w:t>
      </w:r>
      <w:r w:rsidRPr="00E66F80">
        <w:t xml:space="preserve">.     </w:t>
      </w:r>
    </w:p>
    <w:p w14:paraId="6F65C80C" w14:textId="77777777" w:rsidR="00BD39E0" w:rsidRDefault="00BD39E0" w:rsidP="00E86E61">
      <w:pPr>
        <w:ind w:firstLine="709"/>
        <w:jc w:val="both"/>
      </w:pPr>
      <w:r w:rsidRPr="00E66F80">
        <w:rPr>
          <w:lang w:val="ru-RU"/>
        </w:rPr>
        <w:t>Достигнатият ръст на приходите от корпоративни данъци през 2022 г. надхвърля отчетения през 2021 г. и е най-висок за последните десет години както в стойностно изражение, така и в процент спрямо предходния период.</w:t>
      </w:r>
      <w:r w:rsidRPr="003C3E7D">
        <w:rPr>
          <w:bCs/>
        </w:rPr>
        <w:t xml:space="preserve"> Приходите от корпоративни </w:t>
      </w:r>
      <w:r w:rsidRPr="00FE1886">
        <w:rPr>
          <w:bCs/>
        </w:rPr>
        <w:t>данъци през отчетната година зависят от отчетените финансови резултати (облагаема печалба/загуба) за 202</w:t>
      </w:r>
      <w:r>
        <w:rPr>
          <w:bCs/>
        </w:rPr>
        <w:t>1</w:t>
      </w:r>
      <w:r w:rsidRPr="00FE1886">
        <w:rPr>
          <w:bCs/>
        </w:rPr>
        <w:t xml:space="preserve"> г. на задължените лица по Закона за корпоративното подоходно облагане </w:t>
      </w:r>
      <w:r w:rsidRPr="00FE1886">
        <w:t>(ЗКПО)</w:t>
      </w:r>
      <w:r w:rsidRPr="00FE1886">
        <w:rPr>
          <w:bCs/>
        </w:rPr>
        <w:t xml:space="preserve">, от размера на направените вноски за данъка за минали години и по ревизионни актове, както и от </w:t>
      </w:r>
      <w:r>
        <w:rPr>
          <w:bCs/>
        </w:rPr>
        <w:t xml:space="preserve">внесените </w:t>
      </w:r>
      <w:r w:rsidRPr="00FE1886">
        <w:rPr>
          <w:bCs/>
        </w:rPr>
        <w:t>авансови вноски за 202</w:t>
      </w:r>
      <w:r>
        <w:rPr>
          <w:bCs/>
        </w:rPr>
        <w:t>2</w:t>
      </w:r>
      <w:r w:rsidRPr="00FE1886">
        <w:rPr>
          <w:bCs/>
        </w:rPr>
        <w:t xml:space="preserve"> година</w:t>
      </w:r>
      <w:r w:rsidRPr="00003485">
        <w:t xml:space="preserve">. </w:t>
      </w:r>
    </w:p>
    <w:p w14:paraId="2EB8686D" w14:textId="4F1D3C47" w:rsidR="00BD39E0" w:rsidRDefault="00BD39E0" w:rsidP="00BD39E0">
      <w:pPr>
        <w:tabs>
          <w:tab w:val="left" w:pos="1134"/>
        </w:tabs>
        <w:autoSpaceDE w:val="0"/>
        <w:autoSpaceDN w:val="0"/>
        <w:adjustRightInd w:val="0"/>
        <w:spacing w:after="120"/>
        <w:ind w:firstLine="706"/>
        <w:jc w:val="both"/>
      </w:pPr>
    </w:p>
    <w:p w14:paraId="2F39A822" w14:textId="1902AC8C" w:rsidR="00B653A2" w:rsidRDefault="006B3E0A" w:rsidP="00B653A2">
      <w:pPr>
        <w:tabs>
          <w:tab w:val="left" w:pos="1134"/>
        </w:tabs>
        <w:autoSpaceDE w:val="0"/>
        <w:autoSpaceDN w:val="0"/>
        <w:adjustRightInd w:val="0"/>
        <w:spacing w:after="120"/>
      </w:pPr>
      <w:r>
        <w:rPr>
          <w:noProof/>
        </w:rPr>
        <w:drawing>
          <wp:inline distT="0" distB="0" distL="0" distR="0" wp14:anchorId="5466DA5B" wp14:editId="5A62BD3D">
            <wp:extent cx="5736590" cy="3335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6590" cy="3335020"/>
                    </a:xfrm>
                    <a:prstGeom prst="rect">
                      <a:avLst/>
                    </a:prstGeom>
                    <a:noFill/>
                  </pic:spPr>
                </pic:pic>
              </a:graphicData>
            </a:graphic>
          </wp:inline>
        </w:drawing>
      </w:r>
    </w:p>
    <w:p w14:paraId="319A3F85" w14:textId="77777777" w:rsidR="00BD39E0" w:rsidRPr="00FE1886" w:rsidRDefault="00BD39E0" w:rsidP="00BD39E0">
      <w:pPr>
        <w:tabs>
          <w:tab w:val="left" w:pos="1134"/>
        </w:tabs>
        <w:autoSpaceDE w:val="0"/>
        <w:autoSpaceDN w:val="0"/>
        <w:adjustRightInd w:val="0"/>
        <w:spacing w:after="120"/>
        <w:jc w:val="right"/>
        <w:rPr>
          <w:i/>
          <w:lang w:eastAsia="en-US"/>
        </w:rPr>
      </w:pPr>
      <w:r w:rsidRPr="00FE1886">
        <w:rPr>
          <w:color w:val="0070C0"/>
          <w:lang w:eastAsia="en-US"/>
        </w:rPr>
        <w:tab/>
      </w:r>
      <w:r w:rsidRPr="00FE1886">
        <w:rPr>
          <w:lang w:eastAsia="en-US"/>
        </w:rPr>
        <w:tab/>
      </w:r>
      <w:r w:rsidRPr="00FE1886">
        <w:rPr>
          <w:lang w:eastAsia="en-US"/>
        </w:rPr>
        <w:tab/>
      </w:r>
      <w:r w:rsidRPr="00FE1886">
        <w:rPr>
          <w:lang w:eastAsia="en-US"/>
        </w:rPr>
        <w:tab/>
      </w:r>
      <w:r w:rsidRPr="00FE1886">
        <w:rPr>
          <w:lang w:eastAsia="en-US"/>
        </w:rPr>
        <w:tab/>
      </w:r>
      <w:r w:rsidRPr="00FE1886">
        <w:rPr>
          <w:lang w:eastAsia="en-US"/>
        </w:rPr>
        <w:tab/>
        <w:t xml:space="preserve">   </w:t>
      </w:r>
      <w:r w:rsidRPr="00FE1886">
        <w:rPr>
          <w:i/>
          <w:lang w:eastAsia="en-US"/>
        </w:rPr>
        <w:t>Източник: Министерство на финансите</w:t>
      </w:r>
    </w:p>
    <w:p w14:paraId="0583AB76" w14:textId="7BED9E63" w:rsidR="00BD39E0" w:rsidRDefault="00BD39E0" w:rsidP="00BD39E0">
      <w:pPr>
        <w:spacing w:before="120"/>
        <w:ind w:firstLine="709"/>
        <w:jc w:val="both"/>
      </w:pPr>
      <w:r>
        <w:t xml:space="preserve">През 2022 г. се запазват регламентираните срокове за деклариране </w:t>
      </w:r>
      <w:r w:rsidRPr="00752D39">
        <w:t>на данъчния финансов резултат за 202</w:t>
      </w:r>
      <w:r>
        <w:t>1</w:t>
      </w:r>
      <w:r w:rsidRPr="00752D39">
        <w:t xml:space="preserve"> г. и за внасяне на дължимия корпоративен данък </w:t>
      </w:r>
      <w:r>
        <w:t xml:space="preserve">по ГДД </w:t>
      </w:r>
      <w:r w:rsidRPr="00752D39">
        <w:t>(до 30 юни</w:t>
      </w:r>
      <w:r>
        <w:t xml:space="preserve"> 2022</w:t>
      </w:r>
      <w:r w:rsidR="003C7A0D">
        <w:t xml:space="preserve"> г.</w:t>
      </w:r>
      <w:r w:rsidRPr="00C71994">
        <w:t xml:space="preserve">), както и </w:t>
      </w:r>
      <w:r>
        <w:t xml:space="preserve">в </w:t>
      </w:r>
      <w:r w:rsidRPr="00C71994">
        <w:t>сроковете за деклариране и внасяне на авансов данък</w:t>
      </w:r>
      <w:r>
        <w:t>.</w:t>
      </w:r>
    </w:p>
    <w:p w14:paraId="27556EB0" w14:textId="77777777" w:rsidR="00BD39E0" w:rsidRPr="00C2040F" w:rsidRDefault="00BD39E0" w:rsidP="00BD39E0">
      <w:pPr>
        <w:tabs>
          <w:tab w:val="left" w:pos="360"/>
        </w:tabs>
        <w:spacing w:before="120" w:after="120"/>
        <w:ind w:firstLine="709"/>
        <w:jc w:val="both"/>
        <w:rPr>
          <w:b/>
          <w:i/>
          <w:u w:val="single"/>
        </w:rPr>
      </w:pPr>
      <w:r w:rsidRPr="00C2040F">
        <w:rPr>
          <w:b/>
          <w:i/>
          <w:u w:val="single"/>
        </w:rPr>
        <w:t>Корпоративен данък</w:t>
      </w:r>
    </w:p>
    <w:p w14:paraId="13841ED9" w14:textId="0A18D938" w:rsidR="00BD39E0" w:rsidRPr="00923B91" w:rsidRDefault="00BD39E0" w:rsidP="00BD39E0">
      <w:pPr>
        <w:spacing w:after="120"/>
        <w:ind w:firstLine="709"/>
        <w:jc w:val="both"/>
        <w:rPr>
          <w:lang w:eastAsia="en-US"/>
        </w:rPr>
      </w:pPr>
      <w:r w:rsidRPr="00FE1886">
        <w:rPr>
          <w:lang w:eastAsia="en-US"/>
        </w:rPr>
        <w:t xml:space="preserve">Касовите постъпления от корпоративен данък от нефинансови предприятия (вкл. организации с идеална цел) и финансови институции, възлизат на </w:t>
      </w:r>
      <w:r w:rsidRPr="00CF3D1F">
        <w:rPr>
          <w:lang w:eastAsia="en-US"/>
        </w:rPr>
        <w:t>4 498,5</w:t>
      </w:r>
      <w:r w:rsidRPr="00FE1886">
        <w:rPr>
          <w:lang w:eastAsia="en-US"/>
        </w:rPr>
        <w:t xml:space="preserve"> млн. лв., което представлява 115,</w:t>
      </w:r>
      <w:r>
        <w:rPr>
          <w:lang w:eastAsia="en-US"/>
        </w:rPr>
        <w:t>1</w:t>
      </w:r>
      <w:r w:rsidRPr="00FE1886">
        <w:rPr>
          <w:lang w:eastAsia="en-US"/>
        </w:rPr>
        <w:t xml:space="preserve"> % изпълнение от предвидените показатели в актуализирания ЗДБРБ за 202</w:t>
      </w:r>
      <w:r>
        <w:rPr>
          <w:lang w:eastAsia="en-US"/>
        </w:rPr>
        <w:t>2</w:t>
      </w:r>
      <w:r w:rsidRPr="00FE1886">
        <w:rPr>
          <w:lang w:eastAsia="en-US"/>
        </w:rPr>
        <w:t xml:space="preserve"> година. </w:t>
      </w:r>
      <w:r w:rsidRPr="00752D39">
        <w:t xml:space="preserve">Предвид законоустановените срокове за деклариране на данъчния финансов резултат за 2021 г. и за внасяне на дължимия корпоративен данък </w:t>
      </w:r>
      <w:r>
        <w:t>за отчетната година</w:t>
      </w:r>
      <w:r w:rsidRPr="004F15D1">
        <w:t xml:space="preserve"> </w:t>
      </w:r>
      <w:r w:rsidRPr="00752D39">
        <w:t xml:space="preserve">(до 30 юни), </w:t>
      </w:r>
      <w:r>
        <w:t xml:space="preserve">постъпленията в края на м. </w:t>
      </w:r>
      <w:r w:rsidRPr="00752D39">
        <w:t xml:space="preserve">юни </w:t>
      </w:r>
      <w:r>
        <w:t xml:space="preserve">и първите дни на м. юли  2022 г. </w:t>
      </w:r>
      <w:r w:rsidR="004703BB">
        <w:t>са</w:t>
      </w:r>
      <w:r>
        <w:t xml:space="preserve"> на обичайно високо</w:t>
      </w:r>
      <w:r w:rsidRPr="00752D39">
        <w:t xml:space="preserve"> ниво</w:t>
      </w:r>
      <w:r>
        <w:t>.</w:t>
      </w:r>
      <w:r w:rsidRPr="00752D39">
        <w:t xml:space="preserve"> </w:t>
      </w:r>
      <w:r w:rsidRPr="00E66F80">
        <w:t xml:space="preserve">Традиционно, и в периода от 15-ти ноември до 1-ви декември на годината постъпленията са високи, в следствие на регламентираните срокове за внасяне на последните за календарната година месечни и тримесечни авансови вноски (за месечни – до 15 то число на месеца, като за м. декември, както и за третото тримесечие, в срок до 1-ви декември). </w:t>
      </w:r>
      <w:r w:rsidRPr="00923B91">
        <w:rPr>
          <w:lang w:eastAsia="en-US"/>
        </w:rPr>
        <w:t>Спрямо 202</w:t>
      </w:r>
      <w:r w:rsidRPr="004F15D1">
        <w:rPr>
          <w:lang w:eastAsia="en-US"/>
        </w:rPr>
        <w:t>1</w:t>
      </w:r>
      <w:r w:rsidRPr="00923B91">
        <w:rPr>
          <w:lang w:eastAsia="en-US"/>
        </w:rPr>
        <w:t xml:space="preserve"> г. постъпленията от корпоративен данък се повишават с </w:t>
      </w:r>
      <w:r w:rsidRPr="00E66F80">
        <w:t>35,1 % (1</w:t>
      </w:r>
      <w:r>
        <w:t> </w:t>
      </w:r>
      <w:r w:rsidRPr="00E66F80">
        <w:t>168,1 млн. лв.</w:t>
      </w:r>
      <w:r w:rsidRPr="004F15D1">
        <w:t>)</w:t>
      </w:r>
      <w:r w:rsidRPr="00923B91">
        <w:rPr>
          <w:lang w:eastAsia="en-US"/>
        </w:rPr>
        <w:t xml:space="preserve"> на годишна база</w:t>
      </w:r>
      <w:r w:rsidRPr="004F15D1">
        <w:rPr>
          <w:lang w:eastAsia="en-US"/>
        </w:rPr>
        <w:t xml:space="preserve"> </w:t>
      </w:r>
      <w:r w:rsidRPr="00923B91">
        <w:rPr>
          <w:lang w:eastAsia="en-US"/>
        </w:rPr>
        <w:t>и</w:t>
      </w:r>
      <w:r w:rsidRPr="00E66F80">
        <w:t xml:space="preserve"> се наблюдава ръст в темпа на прираст спрямо предходната година от 8,5 п.п</w:t>
      </w:r>
      <w:r w:rsidR="000F7AB1">
        <w:t>ункта</w:t>
      </w:r>
      <w:r w:rsidRPr="00E66F80">
        <w:t>.</w:t>
      </w:r>
    </w:p>
    <w:p w14:paraId="4EA01431" w14:textId="77777777" w:rsidR="00BD39E0" w:rsidRPr="0038465A" w:rsidRDefault="00BD39E0" w:rsidP="00BD39E0">
      <w:pPr>
        <w:spacing w:before="120" w:after="120"/>
        <w:ind w:firstLine="709"/>
        <w:jc w:val="both"/>
      </w:pPr>
      <w:r w:rsidRPr="0038465A">
        <w:t>Постъпленията от</w:t>
      </w:r>
      <w:r w:rsidRPr="0038465A">
        <w:rPr>
          <w:b/>
          <w:i/>
        </w:rPr>
        <w:t xml:space="preserve"> корпоративен данък</w:t>
      </w:r>
      <w:r w:rsidRPr="0038465A">
        <w:t xml:space="preserve"> през 2022 г. са в пряка зависимост от следните показатели (по информация на НАП към </w:t>
      </w:r>
      <w:r w:rsidRPr="00E66F80">
        <w:t>31</w:t>
      </w:r>
      <w:r w:rsidRPr="0038465A">
        <w:t>.</w:t>
      </w:r>
      <w:r w:rsidRPr="00E66F80">
        <w:t>12</w:t>
      </w:r>
      <w:r w:rsidRPr="0038465A">
        <w:t>.2022 г.):</w:t>
      </w:r>
      <w:r w:rsidRPr="0038465A">
        <w:tab/>
      </w:r>
    </w:p>
    <w:p w14:paraId="6E337FD4" w14:textId="77777777" w:rsidR="00BD39E0" w:rsidRPr="00E66F80" w:rsidRDefault="00BD39E0" w:rsidP="00BD39E0">
      <w:pPr>
        <w:numPr>
          <w:ilvl w:val="0"/>
          <w:numId w:val="84"/>
        </w:numPr>
        <w:tabs>
          <w:tab w:val="left" w:pos="900"/>
        </w:tabs>
        <w:ind w:left="0" w:firstLine="720"/>
        <w:jc w:val="both"/>
      </w:pPr>
      <w:r w:rsidRPr="000F3627">
        <w:t>Общият размер на разликата за внасяне по подадените ГДД за финансовата 2021 г. е 1 53</w:t>
      </w:r>
      <w:r w:rsidRPr="00E66F80">
        <w:t>7</w:t>
      </w:r>
      <w:r w:rsidRPr="000F3627">
        <w:t>,</w:t>
      </w:r>
      <w:r w:rsidRPr="00E66F80">
        <w:t>2</w:t>
      </w:r>
      <w:r w:rsidRPr="000F3627">
        <w:t xml:space="preserve"> млн. лв. или увеличение от 46</w:t>
      </w:r>
      <w:r w:rsidRPr="00E66F80">
        <w:t>4</w:t>
      </w:r>
      <w:r w:rsidRPr="000F3627">
        <w:t>,</w:t>
      </w:r>
      <w:r w:rsidRPr="00E66F80">
        <w:t>1</w:t>
      </w:r>
      <w:r w:rsidRPr="000F3627">
        <w:t xml:space="preserve"> млн. лв. (43,</w:t>
      </w:r>
      <w:r w:rsidRPr="00E66F80">
        <w:rPr>
          <w:lang w:val="en-US"/>
        </w:rPr>
        <w:t>2</w:t>
      </w:r>
      <w:r w:rsidRPr="000F3627">
        <w:t xml:space="preserve"> %) в сравнение с предходната година;</w:t>
      </w:r>
    </w:p>
    <w:p w14:paraId="48BBD4A9" w14:textId="77777777" w:rsidR="00BD39E0" w:rsidRPr="000F3627" w:rsidRDefault="00BD39E0" w:rsidP="00BD39E0">
      <w:pPr>
        <w:numPr>
          <w:ilvl w:val="0"/>
          <w:numId w:val="84"/>
        </w:numPr>
        <w:tabs>
          <w:tab w:val="left" w:pos="900"/>
        </w:tabs>
        <w:ind w:left="0" w:firstLine="720"/>
        <w:jc w:val="both"/>
      </w:pPr>
      <w:r w:rsidRPr="000F3627">
        <w:t>Декларираната данъчна печалба за финансовата 2021 г. е 37 5</w:t>
      </w:r>
      <w:r w:rsidRPr="000F3627">
        <w:rPr>
          <w:szCs w:val="16"/>
        </w:rPr>
        <w:t>60,3</w:t>
      </w:r>
      <w:r w:rsidRPr="000F3627">
        <w:t xml:space="preserve"> млн. лв., което е увеличение с </w:t>
      </w:r>
      <w:r w:rsidRPr="000F3627">
        <w:rPr>
          <w:szCs w:val="16"/>
        </w:rPr>
        <w:t>10 384,6</w:t>
      </w:r>
      <w:r w:rsidRPr="000F3627">
        <w:t xml:space="preserve"> млн. лв. (38,2 %) спрямо финансовата 2020 г.;</w:t>
      </w:r>
    </w:p>
    <w:p w14:paraId="68DA3FEB" w14:textId="77777777" w:rsidR="00BD39E0" w:rsidRPr="00E66F80" w:rsidRDefault="00BD39E0" w:rsidP="00BD39E0">
      <w:pPr>
        <w:numPr>
          <w:ilvl w:val="0"/>
          <w:numId w:val="84"/>
        </w:numPr>
        <w:tabs>
          <w:tab w:val="left" w:pos="900"/>
        </w:tabs>
        <w:ind w:left="0" w:firstLine="720"/>
        <w:jc w:val="both"/>
      </w:pPr>
      <w:r w:rsidRPr="000F3627">
        <w:t xml:space="preserve">Декларираната данъчна загуба за финансовата 2021 г. е </w:t>
      </w:r>
      <w:r w:rsidRPr="000F3627">
        <w:rPr>
          <w:szCs w:val="16"/>
        </w:rPr>
        <w:t>5 677,7</w:t>
      </w:r>
      <w:r w:rsidRPr="000F3627">
        <w:t xml:space="preserve"> млн. лв. и е </w:t>
      </w:r>
      <w:r w:rsidRPr="000F3627">
        <w:rPr>
          <w:szCs w:val="16"/>
        </w:rPr>
        <w:t xml:space="preserve">с </w:t>
      </w:r>
      <w:r w:rsidRPr="00E66F80">
        <w:rPr>
          <w:szCs w:val="16"/>
        </w:rPr>
        <w:t>829,0</w:t>
      </w:r>
      <w:r w:rsidRPr="000F3627">
        <w:rPr>
          <w:szCs w:val="16"/>
        </w:rPr>
        <w:t xml:space="preserve"> </w:t>
      </w:r>
      <w:r w:rsidRPr="000F3627">
        <w:t xml:space="preserve"> млн. лв. (-</w:t>
      </w:r>
      <w:r w:rsidRPr="00E66F80">
        <w:t>12,7</w:t>
      </w:r>
      <w:r w:rsidRPr="000F3627">
        <w:t xml:space="preserve"> %) по-малко от тази за финансовата 2020 г.;</w:t>
      </w:r>
    </w:p>
    <w:p w14:paraId="17D30320" w14:textId="77777777" w:rsidR="00BD39E0" w:rsidRPr="000F3627" w:rsidRDefault="00BD39E0" w:rsidP="00BD39E0">
      <w:pPr>
        <w:numPr>
          <w:ilvl w:val="0"/>
          <w:numId w:val="84"/>
        </w:numPr>
        <w:tabs>
          <w:tab w:val="left" w:pos="900"/>
        </w:tabs>
        <w:ind w:left="0" w:firstLine="720"/>
        <w:jc w:val="both"/>
      </w:pPr>
      <w:r w:rsidRPr="000F3627">
        <w:t xml:space="preserve">Общият размер на авансовите вноски към 31.12.2022 г., които правят данъчно задължените лица въз основа на прогнозната данъчна печалба за текущата година, се увеличава със </w:t>
      </w:r>
      <w:r w:rsidRPr="00E66F80">
        <w:t xml:space="preserve">707,3 млн. лева (30,9%) </w:t>
      </w:r>
      <w:r w:rsidRPr="000F3627">
        <w:t>в сравнение със същия период на 2021 г. и е в размер на 2 999,1 млн. лева;</w:t>
      </w:r>
    </w:p>
    <w:p w14:paraId="152B938E" w14:textId="77777777" w:rsidR="00BD39E0" w:rsidRPr="000F3627" w:rsidRDefault="00BD39E0" w:rsidP="00BD39E0">
      <w:pPr>
        <w:numPr>
          <w:ilvl w:val="0"/>
          <w:numId w:val="84"/>
        </w:numPr>
        <w:tabs>
          <w:tab w:val="left" w:pos="900"/>
        </w:tabs>
        <w:ind w:left="0" w:firstLine="720"/>
        <w:jc w:val="both"/>
      </w:pPr>
      <w:r w:rsidRPr="000F3627">
        <w:rPr>
          <w:szCs w:val="16"/>
        </w:rPr>
        <w:t>Надвнесеният корпоративен данък по ГДД е 112,</w:t>
      </w:r>
      <w:r w:rsidRPr="00E66F80">
        <w:rPr>
          <w:szCs w:val="16"/>
        </w:rPr>
        <w:t>7</w:t>
      </w:r>
      <w:r w:rsidRPr="000F3627">
        <w:rPr>
          <w:szCs w:val="16"/>
        </w:rPr>
        <w:t xml:space="preserve"> млн. лв., което е с 3,</w:t>
      </w:r>
      <w:r w:rsidRPr="00E66F80">
        <w:rPr>
          <w:szCs w:val="16"/>
        </w:rPr>
        <w:t>6</w:t>
      </w:r>
      <w:r w:rsidRPr="000F3627">
        <w:rPr>
          <w:szCs w:val="16"/>
        </w:rPr>
        <w:t xml:space="preserve"> млн. лв. (3,</w:t>
      </w:r>
      <w:r w:rsidRPr="00E66F80">
        <w:rPr>
          <w:szCs w:val="16"/>
        </w:rPr>
        <w:t>3</w:t>
      </w:r>
      <w:r w:rsidRPr="000F3627">
        <w:rPr>
          <w:szCs w:val="16"/>
        </w:rPr>
        <w:t> %) повече в сравнение с миналата година</w:t>
      </w:r>
      <w:r w:rsidRPr="000F3627">
        <w:t>.</w:t>
      </w:r>
    </w:p>
    <w:p w14:paraId="43C87984" w14:textId="77777777" w:rsidR="00BD39E0" w:rsidRDefault="00BD39E0" w:rsidP="00BD39E0">
      <w:pPr>
        <w:spacing w:after="120"/>
        <w:ind w:firstLine="709"/>
        <w:jc w:val="both"/>
      </w:pPr>
      <w:r w:rsidRPr="000F3627">
        <w:t>Към 31.12.2022 г. остатъкът за внасяне по годишни данъчни декларации е 91,0 млн. лв. и е с 14,8 млн. лв. (12,4 %) повече, в сравнение с предходната година (81,9 млн. лв. към 31.12.2021 г.). Постигнатата събираемост на декларирания корпоративен данък по годишни данъчни декларации за отчетния период е 91,0 %, при 81,9 % за 2021 година.</w:t>
      </w:r>
    </w:p>
    <w:p w14:paraId="7CEA8900" w14:textId="026BD335" w:rsidR="00BD39E0" w:rsidRDefault="00383E73" w:rsidP="00BD39E0">
      <w:pPr>
        <w:spacing w:after="120"/>
        <w:jc w:val="both"/>
      </w:pPr>
      <w:r>
        <w:rPr>
          <w:noProof/>
        </w:rPr>
        <w:drawing>
          <wp:inline distT="0" distB="0" distL="0" distR="0" wp14:anchorId="59E8496A" wp14:editId="21291987">
            <wp:extent cx="5797550" cy="24536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7550" cy="2453640"/>
                    </a:xfrm>
                    <a:prstGeom prst="rect">
                      <a:avLst/>
                    </a:prstGeom>
                    <a:noFill/>
                  </pic:spPr>
                </pic:pic>
              </a:graphicData>
            </a:graphic>
          </wp:inline>
        </w:drawing>
      </w:r>
    </w:p>
    <w:p w14:paraId="4C96D337" w14:textId="77777777" w:rsidR="00BD39E0" w:rsidRPr="00003485" w:rsidRDefault="00BD39E0" w:rsidP="00BD39E0">
      <w:pPr>
        <w:spacing w:after="120"/>
        <w:jc w:val="right"/>
      </w:pPr>
      <w:r w:rsidRPr="00FE1886">
        <w:rPr>
          <w:lang w:eastAsia="en-US"/>
        </w:rPr>
        <w:tab/>
      </w:r>
      <w:r w:rsidRPr="00FE1886">
        <w:rPr>
          <w:lang w:eastAsia="en-US"/>
        </w:rPr>
        <w:tab/>
      </w:r>
      <w:r w:rsidRPr="00FE1886">
        <w:rPr>
          <w:lang w:eastAsia="en-US"/>
        </w:rPr>
        <w:tab/>
      </w:r>
      <w:r w:rsidRPr="00FE1886">
        <w:rPr>
          <w:lang w:eastAsia="en-US"/>
        </w:rPr>
        <w:tab/>
      </w:r>
      <w:r w:rsidRPr="00FE1886">
        <w:rPr>
          <w:lang w:eastAsia="en-US"/>
        </w:rPr>
        <w:tab/>
        <w:t xml:space="preserve">    </w:t>
      </w:r>
      <w:r w:rsidRPr="00FE1886">
        <w:rPr>
          <w:i/>
          <w:lang w:eastAsia="en-US"/>
        </w:rPr>
        <w:t>Източник: Министерство на финансите</w:t>
      </w:r>
    </w:p>
    <w:p w14:paraId="5131B587" w14:textId="77777777" w:rsidR="00BD39E0" w:rsidRDefault="00BD39E0" w:rsidP="00E86E61">
      <w:pPr>
        <w:ind w:firstLine="706"/>
        <w:jc w:val="both"/>
      </w:pPr>
      <w:r w:rsidRPr="00FE1886">
        <w:t>Приходите от корпоративен данък от нефинансови предприятия (вкл. организации с идеална цел) към 31.12.202</w:t>
      </w:r>
      <w:r>
        <w:t>2</w:t>
      </w:r>
      <w:r w:rsidRPr="00FE1886">
        <w:t xml:space="preserve"> г. са в размер на </w:t>
      </w:r>
      <w:r w:rsidRPr="00CA0FD2">
        <w:t>4 279,7</w:t>
      </w:r>
      <w:r w:rsidRPr="00FE1886">
        <w:t xml:space="preserve"> млн. лв. или 11</w:t>
      </w:r>
      <w:r>
        <w:t>6</w:t>
      </w:r>
      <w:r w:rsidRPr="00FE1886">
        <w:t>,</w:t>
      </w:r>
      <w:r>
        <w:t>8</w:t>
      </w:r>
      <w:r w:rsidRPr="00FE1886">
        <w:t xml:space="preserve"> % изпълнение на актуализирания план за годината и са с</w:t>
      </w:r>
      <w:r>
        <w:t xml:space="preserve"> 1 160,4</w:t>
      </w:r>
      <w:r w:rsidRPr="00FE1886">
        <w:t xml:space="preserve"> млн. лв. (</w:t>
      </w:r>
      <w:r>
        <w:t>37</w:t>
      </w:r>
      <w:r w:rsidRPr="00FE1886">
        <w:t>,2 %) повече, в сравнение със събраните през 202</w:t>
      </w:r>
      <w:r>
        <w:t>1</w:t>
      </w:r>
      <w:r w:rsidRPr="00FE1886">
        <w:t xml:space="preserve"> година. Приходите от нефинансовите институции формират </w:t>
      </w:r>
      <w:r w:rsidRPr="00E66F80">
        <w:t>95,1</w:t>
      </w:r>
      <w:r w:rsidRPr="00FE1886">
        <w:t xml:space="preserve"> % от общите приходи от корпоративен данък. </w:t>
      </w:r>
    </w:p>
    <w:p w14:paraId="7B0DDFFE" w14:textId="2BFD5AD5" w:rsidR="00BD39E0" w:rsidRPr="00B051B3" w:rsidRDefault="00BD39E0" w:rsidP="00E86E61">
      <w:pPr>
        <w:ind w:firstLine="709"/>
        <w:jc w:val="both"/>
        <w:rPr>
          <w:color w:val="0070C0"/>
          <w:szCs w:val="20"/>
        </w:rPr>
      </w:pPr>
      <w:r w:rsidRPr="00FE1886">
        <w:t xml:space="preserve">Постъпленията от корпоративен данък от финансови институции (вкл. застрахователни дружества) са в размер на </w:t>
      </w:r>
      <w:r>
        <w:t>218,8</w:t>
      </w:r>
      <w:r w:rsidRPr="00FE1886">
        <w:t xml:space="preserve"> млн. лв. или </w:t>
      </w:r>
      <w:r w:rsidRPr="001036A1">
        <w:t>89,8</w:t>
      </w:r>
      <w:r w:rsidRPr="00FE1886">
        <w:t xml:space="preserve"> % спрямо </w:t>
      </w:r>
      <w:r>
        <w:t xml:space="preserve">актуализирания </w:t>
      </w:r>
      <w:r w:rsidRPr="00FE1886">
        <w:t>план за годината. Съпоставено с 202</w:t>
      </w:r>
      <w:r>
        <w:t>1</w:t>
      </w:r>
      <w:r w:rsidRPr="00FE1886">
        <w:t xml:space="preserve"> г. се отчита ръст от </w:t>
      </w:r>
      <w:r>
        <w:t>7,7</w:t>
      </w:r>
      <w:r w:rsidRPr="00FE1886">
        <w:t xml:space="preserve"> млн. лв. (</w:t>
      </w:r>
      <w:r>
        <w:t>3,</w:t>
      </w:r>
      <w:r w:rsidR="004703BB">
        <w:t>6</w:t>
      </w:r>
      <w:r w:rsidRPr="00FE1886">
        <w:t> %)</w:t>
      </w:r>
      <w:r>
        <w:t xml:space="preserve">. </w:t>
      </w:r>
      <w:r w:rsidRPr="00FE1886">
        <w:t xml:space="preserve">Приходите от финансови институции (вкл. застрахователни дружества) формират </w:t>
      </w:r>
      <w:r>
        <w:t>4,9</w:t>
      </w:r>
      <w:r w:rsidRPr="00FE1886">
        <w:t xml:space="preserve"> % от общите приходи от корпоративен данък за отчетния период.</w:t>
      </w:r>
      <w:r w:rsidRPr="00B051B3">
        <w:rPr>
          <w:color w:val="0070C0"/>
          <w:szCs w:val="20"/>
        </w:rPr>
        <w:t xml:space="preserve"> </w:t>
      </w:r>
      <w:r w:rsidRPr="00FE1886">
        <w:t xml:space="preserve">При финансовите институции се наблюдава ръст от </w:t>
      </w:r>
      <w:r>
        <w:t>7,3</w:t>
      </w:r>
      <w:r w:rsidRPr="00FE1886">
        <w:t xml:space="preserve"> % (</w:t>
      </w:r>
      <w:r>
        <w:t>12,0</w:t>
      </w:r>
      <w:r w:rsidRPr="00FE1886">
        <w:t xml:space="preserve"> млн. лв.) спрямо отчета за 202</w:t>
      </w:r>
      <w:r>
        <w:t>1</w:t>
      </w:r>
      <w:r w:rsidRPr="00FE1886">
        <w:t xml:space="preserve"> година. </w:t>
      </w:r>
      <w:r>
        <w:t>Наблюдават се</w:t>
      </w:r>
      <w:r w:rsidRPr="00FE1886">
        <w:t xml:space="preserve"> по-ниски постъпления от корпоративен данък от застрахователните дружества, като </w:t>
      </w:r>
      <w:r>
        <w:t xml:space="preserve">през периода </w:t>
      </w:r>
      <w:r w:rsidRPr="00FE1886">
        <w:t xml:space="preserve">те са внесли с </w:t>
      </w:r>
      <w:r>
        <w:t>9,6</w:t>
      </w:r>
      <w:r w:rsidRPr="00FE1886">
        <w:t xml:space="preserve"> % </w:t>
      </w:r>
      <w:r w:rsidRPr="00003485">
        <w:t>(</w:t>
      </w:r>
      <w:r>
        <w:t>4,3</w:t>
      </w:r>
      <w:r w:rsidRPr="00003485">
        <w:t xml:space="preserve"> </w:t>
      </w:r>
      <w:r w:rsidRPr="00FE1886">
        <w:t>млн. лв.</w:t>
      </w:r>
      <w:r w:rsidRPr="00003485">
        <w:t>)</w:t>
      </w:r>
      <w:r w:rsidRPr="00FE1886">
        <w:t xml:space="preserve"> по-малко корпоративен данък спрямо 202</w:t>
      </w:r>
      <w:r>
        <w:t>1</w:t>
      </w:r>
      <w:r w:rsidRPr="00FE1886">
        <w:t xml:space="preserve"> г</w:t>
      </w:r>
      <w:r>
        <w:t>одина</w:t>
      </w:r>
      <w:r w:rsidRPr="00FE1886">
        <w:t>.</w:t>
      </w:r>
    </w:p>
    <w:p w14:paraId="5E571F50" w14:textId="77777777" w:rsidR="00BD39E0" w:rsidRPr="00C2040F" w:rsidRDefault="00BD39E0" w:rsidP="00BD39E0">
      <w:pPr>
        <w:tabs>
          <w:tab w:val="left" w:pos="360"/>
        </w:tabs>
        <w:spacing w:before="120" w:after="120"/>
        <w:ind w:firstLine="709"/>
        <w:jc w:val="both"/>
        <w:rPr>
          <w:u w:val="single"/>
        </w:rPr>
      </w:pPr>
      <w:r w:rsidRPr="00C2040F">
        <w:rPr>
          <w:b/>
          <w:i/>
          <w:u w:val="single"/>
        </w:rPr>
        <w:t xml:space="preserve">Данъци върху дивидентите и ликвидационните дялове на местни и чуждестранни юридически лица (ЧЮЛ) и данък върху доходите на ЧЮЛ </w:t>
      </w:r>
    </w:p>
    <w:p w14:paraId="4F592CA2" w14:textId="77777777" w:rsidR="00BD39E0" w:rsidRPr="004F15D1" w:rsidRDefault="00BD39E0" w:rsidP="00BD39E0">
      <w:pPr>
        <w:spacing w:after="120"/>
        <w:ind w:firstLine="709"/>
        <w:jc w:val="both"/>
        <w:rPr>
          <w:lang w:eastAsia="en-US"/>
        </w:rPr>
      </w:pPr>
      <w:r w:rsidRPr="00FE1886">
        <w:rPr>
          <w:lang w:eastAsia="en-US"/>
        </w:rPr>
        <w:t>За 202</w:t>
      </w:r>
      <w:r w:rsidRPr="004F15D1">
        <w:rPr>
          <w:lang w:eastAsia="en-US"/>
        </w:rPr>
        <w:t>2</w:t>
      </w:r>
      <w:r w:rsidRPr="00FE1886">
        <w:rPr>
          <w:lang w:eastAsia="en-US"/>
        </w:rPr>
        <w:t xml:space="preserve"> г. постъпленията от данъци върху дивидентите, ликвидационните дялове на местни и чуждестранни юридически лица и доходите на ЧЮЛ са в размер на </w:t>
      </w:r>
      <w:r w:rsidRPr="00703559">
        <w:rPr>
          <w:lang w:eastAsia="en-US"/>
        </w:rPr>
        <w:t>94,1</w:t>
      </w:r>
      <w:r w:rsidRPr="00FE1886">
        <w:rPr>
          <w:lang w:eastAsia="en-US"/>
        </w:rPr>
        <w:t xml:space="preserve"> млн. лв. или </w:t>
      </w:r>
      <w:r>
        <w:rPr>
          <w:lang w:eastAsia="en-US"/>
        </w:rPr>
        <w:t>84,0</w:t>
      </w:r>
      <w:r w:rsidRPr="00FE1886">
        <w:rPr>
          <w:lang w:eastAsia="en-US"/>
        </w:rPr>
        <w:t xml:space="preserve"> % от актуализирания разчет за годината. Съпоставено с предходната година, приходите са </w:t>
      </w:r>
      <w:r>
        <w:rPr>
          <w:lang w:eastAsia="en-US"/>
        </w:rPr>
        <w:t xml:space="preserve">с </w:t>
      </w:r>
      <w:r w:rsidRPr="00FC73F4">
        <w:t>18,2</w:t>
      </w:r>
      <w:r w:rsidRPr="00283D70">
        <w:t xml:space="preserve"> млн. лв. повече (</w:t>
      </w:r>
      <w:r>
        <w:t>23,9</w:t>
      </w:r>
      <w:r w:rsidRPr="00283D70">
        <w:rPr>
          <w:lang w:val="en-US"/>
        </w:rPr>
        <w:t> </w:t>
      </w:r>
      <w:r w:rsidRPr="00283D70">
        <w:t>%).</w:t>
      </w:r>
    </w:p>
    <w:p w14:paraId="2B122443" w14:textId="538D9EC4" w:rsidR="00BD39E0" w:rsidRPr="007B48E9" w:rsidRDefault="00BD39E0" w:rsidP="00BD39E0">
      <w:pPr>
        <w:ind w:firstLine="709"/>
        <w:jc w:val="both"/>
        <w:rPr>
          <w:color w:val="0070C0"/>
        </w:rPr>
      </w:pPr>
      <w:r w:rsidRPr="00E66F80">
        <w:rPr>
          <w:lang w:eastAsia="en-US"/>
        </w:rPr>
        <w:t>Постъпленията от данъците върху дивидентите, ликвидационните дялове и доходите на юридически лица зависят от състоянието на икономиката и осъществяващите се процеси по покупко-продажба на фирмена собственост в страната</w:t>
      </w:r>
      <w:r w:rsidRPr="004F15D1">
        <w:rPr>
          <w:lang w:eastAsia="en-US"/>
        </w:rPr>
        <w:t xml:space="preserve"> </w:t>
      </w:r>
      <w:r w:rsidRPr="00906C6A">
        <w:rPr>
          <w:lang w:eastAsia="en-US"/>
        </w:rPr>
        <w:t xml:space="preserve">и </w:t>
      </w:r>
      <w:r w:rsidR="000F7AB1">
        <w:rPr>
          <w:lang w:eastAsia="en-US"/>
        </w:rPr>
        <w:t>нямат регулярен</w:t>
      </w:r>
      <w:r w:rsidR="000F7AB1" w:rsidRPr="00906C6A" w:rsidDel="000F7AB1">
        <w:rPr>
          <w:lang w:eastAsia="en-US"/>
        </w:rPr>
        <w:t xml:space="preserve"> </w:t>
      </w:r>
      <w:r w:rsidRPr="00906C6A">
        <w:rPr>
          <w:lang w:eastAsia="en-US"/>
        </w:rPr>
        <w:t>характер</w:t>
      </w:r>
      <w:r w:rsidRPr="00E66F80">
        <w:rPr>
          <w:lang w:eastAsia="en-US"/>
        </w:rPr>
        <w:t>.</w:t>
      </w:r>
    </w:p>
    <w:p w14:paraId="7205D6E8" w14:textId="77777777" w:rsidR="00BD39E0" w:rsidRPr="00AD4B08" w:rsidRDefault="00BD39E0" w:rsidP="00BD39E0">
      <w:pPr>
        <w:pStyle w:val="Heading3"/>
        <w:numPr>
          <w:ilvl w:val="2"/>
          <w:numId w:val="8"/>
        </w:numPr>
        <w:rPr>
          <w:rFonts w:ascii="Times New Roman" w:hAnsi="Times New Roman"/>
          <w:sz w:val="24"/>
          <w:lang w:val="bg-BG"/>
        </w:rPr>
      </w:pPr>
      <w:bookmarkStart w:id="131" w:name="_Toc11323404"/>
      <w:bookmarkStart w:id="132" w:name="_Toc18316937"/>
      <w:bookmarkStart w:id="133" w:name="_Toc83045480"/>
      <w:bookmarkStart w:id="134" w:name="_Toc136273495"/>
      <w:bookmarkStart w:id="135" w:name="_Toc146037892"/>
      <w:r w:rsidRPr="00AD4B08">
        <w:rPr>
          <w:rFonts w:ascii="Times New Roman" w:hAnsi="Times New Roman"/>
          <w:sz w:val="24"/>
          <w:lang w:val="bg-BG"/>
        </w:rPr>
        <w:t>Данъци върху доходите на физическите лица</w:t>
      </w:r>
      <w:bookmarkEnd w:id="131"/>
      <w:bookmarkEnd w:id="132"/>
      <w:bookmarkEnd w:id="133"/>
      <w:bookmarkEnd w:id="134"/>
      <w:bookmarkEnd w:id="135"/>
    </w:p>
    <w:p w14:paraId="651287CD" w14:textId="77777777" w:rsidR="00BD39E0" w:rsidRPr="00003485" w:rsidRDefault="00BD39E0" w:rsidP="00511C14">
      <w:pPr>
        <w:spacing w:after="120"/>
        <w:ind w:firstLine="709"/>
        <w:jc w:val="both"/>
      </w:pPr>
      <w:r w:rsidRPr="00FE1886">
        <w:t>Приходите от данъците върху доходите на физическите лица (ДДФЛ) за 202</w:t>
      </w:r>
      <w:r>
        <w:t>2</w:t>
      </w:r>
      <w:r w:rsidRPr="00FE1886">
        <w:t xml:space="preserve"> г. са в размер на </w:t>
      </w:r>
      <w:r w:rsidRPr="000F3A52">
        <w:t>5</w:t>
      </w:r>
      <w:r>
        <w:t> </w:t>
      </w:r>
      <w:r w:rsidRPr="000F3A52">
        <w:t>3</w:t>
      </w:r>
      <w:r>
        <w:t>31,2</w:t>
      </w:r>
      <w:r w:rsidRPr="00FE1886">
        <w:t xml:space="preserve"> млн. лв. или </w:t>
      </w:r>
      <w:r w:rsidRPr="000F3A52">
        <w:t>106,</w:t>
      </w:r>
      <w:r>
        <w:t>0</w:t>
      </w:r>
      <w:r w:rsidRPr="00FE1886">
        <w:t> % спрямо актуализирания годишен план</w:t>
      </w:r>
      <w:r w:rsidRPr="00003485">
        <w:t xml:space="preserve">. </w:t>
      </w:r>
      <w:r w:rsidRPr="00FE1886">
        <w:t xml:space="preserve">Постъпленията от ДДФЛ представляват </w:t>
      </w:r>
      <w:r>
        <w:t>11,4</w:t>
      </w:r>
      <w:r w:rsidRPr="00FE1886">
        <w:t xml:space="preserve"> % от общия размер на данъчните приходи по </w:t>
      </w:r>
      <w:r>
        <w:t>КФП</w:t>
      </w:r>
      <w:r w:rsidRPr="00FE1886">
        <w:t xml:space="preserve"> и формират </w:t>
      </w:r>
      <w:r>
        <w:t>3,2</w:t>
      </w:r>
      <w:r w:rsidRPr="00FE1886">
        <w:t xml:space="preserve"> % от БВП за отчетния период. Тези приходи са с </w:t>
      </w:r>
      <w:r w:rsidRPr="000F3A52">
        <w:t>479</w:t>
      </w:r>
      <w:r>
        <w:t>,2</w:t>
      </w:r>
      <w:r w:rsidRPr="00FE1886">
        <w:t xml:space="preserve"> млн. лв. или </w:t>
      </w:r>
      <w:r>
        <w:t>9,9 </w:t>
      </w:r>
      <w:r w:rsidRPr="00FE1886">
        <w:t>% повече спрямо отчета за предходната година.</w:t>
      </w:r>
    </w:p>
    <w:p w14:paraId="12F0B7B1" w14:textId="473CF73F" w:rsidR="00BD39E0" w:rsidRPr="00FE1886" w:rsidRDefault="00383E73" w:rsidP="00BD39E0">
      <w:pPr>
        <w:spacing w:after="120"/>
        <w:jc w:val="center"/>
      </w:pPr>
      <w:r>
        <w:rPr>
          <w:noProof/>
        </w:rPr>
        <w:drawing>
          <wp:inline distT="0" distB="0" distL="0" distR="0" wp14:anchorId="47AC8C57" wp14:editId="7E3FD908">
            <wp:extent cx="5962650" cy="2956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62650" cy="2956560"/>
                    </a:xfrm>
                    <a:prstGeom prst="rect">
                      <a:avLst/>
                    </a:prstGeom>
                    <a:noFill/>
                  </pic:spPr>
                </pic:pic>
              </a:graphicData>
            </a:graphic>
          </wp:inline>
        </w:drawing>
      </w:r>
    </w:p>
    <w:p w14:paraId="37C3AA36" w14:textId="77777777" w:rsidR="00BD39E0" w:rsidRPr="00380557" w:rsidRDefault="00BD39E0" w:rsidP="00BD39E0">
      <w:pPr>
        <w:pStyle w:val="ListParagraph"/>
        <w:spacing w:after="120"/>
        <w:ind w:left="3905" w:firstLine="349"/>
        <w:jc w:val="center"/>
        <w:rPr>
          <w:color w:val="FF0000"/>
        </w:rPr>
      </w:pPr>
      <w:r w:rsidRPr="00380557">
        <w:rPr>
          <w:i/>
          <w:lang w:eastAsia="en-US"/>
        </w:rPr>
        <w:t xml:space="preserve">       Източник: Министерство на финансите</w:t>
      </w:r>
    </w:p>
    <w:p w14:paraId="6865BA33" w14:textId="77777777" w:rsidR="00BD39E0" w:rsidRPr="004401A3" w:rsidRDefault="00BD39E0" w:rsidP="00AC6801">
      <w:pPr>
        <w:ind w:firstLine="709"/>
        <w:jc w:val="both"/>
      </w:pPr>
      <w:r w:rsidRPr="004401A3">
        <w:t>С най-голям относителен дял в общата сума на постъпленията от ДДФЛ са приходите от трудови и приравнени на тях правоотношения – 81,7 %, постъпленията от окончателния данък на местните и чуждестранни физически лица и данъка върху дивидентите и ликвидационните дялове на местни и чуждестранни физически лица са 9,4 %, приходите от извънтрудови правоотношения</w:t>
      </w:r>
      <w:r w:rsidRPr="004401A3" w:rsidDel="003C3F7B">
        <w:t xml:space="preserve"> </w:t>
      </w:r>
      <w:r w:rsidRPr="004401A3">
        <w:t>– 8,6 %,  приходите от окончателен годишен (патентен) данък и данък върху таксиметров превоз на пътници – 0,2 % и данък върху лихвите по банкови сметки - 0,</w:t>
      </w:r>
      <w:r>
        <w:t>03</w:t>
      </w:r>
      <w:r w:rsidRPr="004401A3">
        <w:t xml:space="preserve"> %.</w:t>
      </w:r>
    </w:p>
    <w:p w14:paraId="21A5158A" w14:textId="5509BFD6" w:rsidR="00BD39E0" w:rsidRPr="00FE1886" w:rsidRDefault="00BD39E0" w:rsidP="00AC6801">
      <w:pPr>
        <w:ind w:firstLine="709"/>
        <w:jc w:val="both"/>
      </w:pPr>
      <w:r w:rsidRPr="00FE1886">
        <w:t xml:space="preserve">Върху размера на постъпленията от ДДФЛ основно влияние имат развитието на параметрите на пазара на труда и предприетите законодателни и административни мерки в областта на трудовото, социалното и данъчното законодателство. Положителен ефект върху приходите от ДДФЛ имат и предприетите мерки </w:t>
      </w:r>
      <w:r w:rsidR="004703BB">
        <w:t>срещу</w:t>
      </w:r>
      <w:r w:rsidRPr="00FE1886">
        <w:t xml:space="preserve"> избягване на данъчно облагане, мерките за намаляване на недекларираната заетост и мерките за повишаване на събираемостта на задължения за минали периоди</w:t>
      </w:r>
      <w:r>
        <w:t>, както и провежданите от НАП тематични кампании за контрол</w:t>
      </w:r>
      <w:r w:rsidRPr="00FE1886">
        <w:t xml:space="preserve">. </w:t>
      </w:r>
    </w:p>
    <w:p w14:paraId="55380EE5" w14:textId="77777777" w:rsidR="00BD39E0" w:rsidRPr="00FE1886" w:rsidRDefault="00BD39E0" w:rsidP="00BD39E0">
      <w:pPr>
        <w:spacing w:after="120"/>
        <w:ind w:firstLine="709"/>
        <w:jc w:val="both"/>
      </w:pPr>
      <w:r w:rsidRPr="00FE1886">
        <w:t xml:space="preserve">Постъпленията от </w:t>
      </w:r>
      <w:r w:rsidRPr="00FE1886">
        <w:rPr>
          <w:i/>
        </w:rPr>
        <w:t>трудови правоотношения</w:t>
      </w:r>
      <w:r w:rsidRPr="00FE1886">
        <w:t xml:space="preserve"> възлизат на </w:t>
      </w:r>
      <w:r w:rsidRPr="00314F1A">
        <w:t>4 358,2</w:t>
      </w:r>
      <w:r w:rsidRPr="00FE1886">
        <w:t xml:space="preserve"> млн. лв., което е </w:t>
      </w:r>
      <w:r w:rsidRPr="00314F1A">
        <w:t>105,7</w:t>
      </w:r>
      <w:r w:rsidRPr="00FE1886">
        <w:t xml:space="preserve"> % изпълнение на актуализирания план за 202</w:t>
      </w:r>
      <w:r>
        <w:t>2</w:t>
      </w:r>
      <w:r w:rsidRPr="00FE1886">
        <w:t xml:space="preserve"> година. Спрямо предходната година приходите са с </w:t>
      </w:r>
      <w:r w:rsidRPr="00314F1A">
        <w:t>405,5</w:t>
      </w:r>
      <w:r w:rsidRPr="00FE1886">
        <w:t xml:space="preserve"> млн. лв. повече </w:t>
      </w:r>
      <w:r w:rsidRPr="00003485">
        <w:t>(</w:t>
      </w:r>
      <w:r>
        <w:t>10,3</w:t>
      </w:r>
      <w:r w:rsidRPr="00FE1886">
        <w:t> %</w:t>
      </w:r>
      <w:r w:rsidRPr="00003485">
        <w:t>)</w:t>
      </w:r>
      <w:r w:rsidRPr="00FE1886">
        <w:t xml:space="preserve">. </w:t>
      </w:r>
    </w:p>
    <w:p w14:paraId="62A05722" w14:textId="77777777" w:rsidR="00BD39E0" w:rsidRPr="00FE1886" w:rsidRDefault="00BD39E0" w:rsidP="00BD39E0">
      <w:pPr>
        <w:pStyle w:val="ListParagraph"/>
        <w:tabs>
          <w:tab w:val="left" w:pos="851"/>
        </w:tabs>
        <w:ind w:left="0" w:firstLine="709"/>
        <w:contextualSpacing w:val="0"/>
        <w:jc w:val="both"/>
      </w:pPr>
      <w:r w:rsidRPr="00FE1886">
        <w:t>Основните параметри на пазара на труда, които влияят върху приходите от ДДФЛ</w:t>
      </w:r>
      <w:r>
        <w:t>,</w:t>
      </w:r>
      <w:r w:rsidRPr="00FE1886">
        <w:t xml:space="preserve"> са:</w:t>
      </w:r>
    </w:p>
    <w:p w14:paraId="3C3B9B6D" w14:textId="77777777" w:rsidR="00BD39E0" w:rsidRPr="00FE1886" w:rsidRDefault="00BD39E0" w:rsidP="00BD39E0">
      <w:pPr>
        <w:pStyle w:val="ListParagraph"/>
        <w:numPr>
          <w:ilvl w:val="0"/>
          <w:numId w:val="23"/>
        </w:numPr>
        <w:tabs>
          <w:tab w:val="clear" w:pos="1069"/>
          <w:tab w:val="left" w:pos="851"/>
        </w:tabs>
        <w:ind w:left="0" w:firstLine="709"/>
        <w:contextualSpacing w:val="0"/>
        <w:jc w:val="both"/>
      </w:pPr>
      <w:r w:rsidRPr="00FE1886">
        <w:t>промените в нивото на заплащане на наетите лица  - през 202</w:t>
      </w:r>
      <w:r>
        <w:t>2</w:t>
      </w:r>
      <w:r w:rsidRPr="00FE1886">
        <w:t xml:space="preserve"> г.</w:t>
      </w:r>
      <w:r w:rsidRPr="00FE1886">
        <w:rPr>
          <w:rStyle w:val="FootnoteReference"/>
        </w:rPr>
        <w:footnoteReference w:id="16"/>
      </w:r>
      <w:r w:rsidRPr="00FE1886">
        <w:t xml:space="preserve"> средната брутна месечна работна заплата на наетите лица по трудово и служебно правоотноошение е </w:t>
      </w:r>
      <w:r w:rsidRPr="0084741E">
        <w:t>1</w:t>
      </w:r>
      <w:r>
        <w:t> </w:t>
      </w:r>
      <w:r w:rsidRPr="0084741E">
        <w:t>761</w:t>
      </w:r>
      <w:r w:rsidRPr="00003485">
        <w:t xml:space="preserve"> </w:t>
      </w:r>
      <w:r w:rsidRPr="00FE1886">
        <w:t xml:space="preserve"> лв., като спрямо 20</w:t>
      </w:r>
      <w:r w:rsidRPr="00003485">
        <w:t>2</w:t>
      </w:r>
      <w:r>
        <w:t>1</w:t>
      </w:r>
      <w:r w:rsidRPr="00FE1886">
        <w:t xml:space="preserve"> г. нараства с </w:t>
      </w:r>
      <w:r w:rsidRPr="0026173C">
        <w:t>12,8</w:t>
      </w:r>
      <w:r w:rsidRPr="00FE1886">
        <w:t xml:space="preserve"> %;</w:t>
      </w:r>
    </w:p>
    <w:p w14:paraId="55C689E6" w14:textId="77777777" w:rsidR="00BD39E0" w:rsidRPr="00FE1886" w:rsidRDefault="00BD39E0" w:rsidP="00BD39E0">
      <w:pPr>
        <w:pStyle w:val="ListParagraph"/>
        <w:numPr>
          <w:ilvl w:val="0"/>
          <w:numId w:val="60"/>
        </w:numPr>
        <w:tabs>
          <w:tab w:val="left" w:pos="851"/>
        </w:tabs>
        <w:ind w:left="0" w:firstLine="709"/>
        <w:jc w:val="both"/>
      </w:pPr>
      <w:r w:rsidRPr="00FE1886">
        <w:t>промените в нивото на заетостта - коефициентът на заетост за населението на възраст</w:t>
      </w:r>
      <w:r w:rsidRPr="00414682">
        <w:t xml:space="preserve"> </w:t>
      </w:r>
      <w:r w:rsidRPr="00FE1886">
        <w:t>20</w:t>
      </w:r>
      <w:r w:rsidRPr="00414682">
        <w:t xml:space="preserve"> </w:t>
      </w:r>
      <w:r w:rsidRPr="00FE1886">
        <w:t>-</w:t>
      </w:r>
      <w:r w:rsidRPr="00414682">
        <w:t xml:space="preserve"> </w:t>
      </w:r>
      <w:r w:rsidRPr="00FE1886">
        <w:t>64 навършени години за 202</w:t>
      </w:r>
      <w:r>
        <w:t>2</w:t>
      </w:r>
      <w:r w:rsidRPr="00414682">
        <w:t xml:space="preserve"> г.</w:t>
      </w:r>
      <w:r w:rsidRPr="00FE1886">
        <w:rPr>
          <w:rStyle w:val="FootnoteReference"/>
        </w:rPr>
        <w:footnoteReference w:id="17"/>
      </w:r>
      <w:r w:rsidRPr="00FE1886">
        <w:t xml:space="preserve"> е </w:t>
      </w:r>
      <w:r>
        <w:t>75,7</w:t>
      </w:r>
      <w:r w:rsidRPr="00FE1886">
        <w:t xml:space="preserve"> % и е нараснал с </w:t>
      </w:r>
      <w:r>
        <w:t>2,5</w:t>
      </w:r>
      <w:r w:rsidRPr="00FE1886">
        <w:t xml:space="preserve"> п.</w:t>
      </w:r>
      <w:r w:rsidRPr="00414682">
        <w:t xml:space="preserve"> </w:t>
      </w:r>
      <w:r w:rsidRPr="00FE1886">
        <w:t>п. спрямо 202</w:t>
      </w:r>
      <w:r>
        <w:t>1 </w:t>
      </w:r>
      <w:r w:rsidRPr="00FE1886">
        <w:t>г.;</w:t>
      </w:r>
    </w:p>
    <w:p w14:paraId="3CA52C93" w14:textId="580FA2A1" w:rsidR="00BD39E0" w:rsidRPr="00FE1886" w:rsidRDefault="00BD39E0" w:rsidP="00BD39E0">
      <w:pPr>
        <w:tabs>
          <w:tab w:val="left" w:pos="851"/>
        </w:tabs>
        <w:spacing w:after="120"/>
        <w:ind w:firstLine="709"/>
        <w:jc w:val="both"/>
      </w:pPr>
      <w:r w:rsidRPr="00FE1886">
        <w:t>-</w:t>
      </w:r>
      <w:r w:rsidRPr="00FE1886">
        <w:tab/>
        <w:t>промените в нивото на безработица - коефициентът на безработица за 202</w:t>
      </w:r>
      <w:r>
        <w:t>2</w:t>
      </w:r>
      <w:r w:rsidRPr="00FE1886">
        <w:t xml:space="preserve"> г.</w:t>
      </w:r>
      <w:r w:rsidRPr="00FE1886">
        <w:rPr>
          <w:rStyle w:val="FootnoteReference"/>
        </w:rPr>
        <w:t xml:space="preserve"> </w:t>
      </w:r>
      <w:r w:rsidRPr="00FE1886">
        <w:rPr>
          <w:rStyle w:val="FootnoteReference"/>
        </w:rPr>
        <w:footnoteReference w:id="18"/>
      </w:r>
      <w:r w:rsidRPr="00FE1886">
        <w:t xml:space="preserve">  е </w:t>
      </w:r>
      <w:r>
        <w:t>4,3</w:t>
      </w:r>
      <w:r w:rsidRPr="00FE1886">
        <w:t xml:space="preserve"> % и в сравнение с предходната година е намалял с </w:t>
      </w:r>
      <w:r>
        <w:t>1,0</w:t>
      </w:r>
      <w:r w:rsidRPr="00FE1886">
        <w:t xml:space="preserve"> процент</w:t>
      </w:r>
      <w:r w:rsidR="004703BB">
        <w:t>е</w:t>
      </w:r>
      <w:r w:rsidRPr="00FE1886">
        <w:t>н пунк.</w:t>
      </w:r>
    </w:p>
    <w:p w14:paraId="27ABCC16" w14:textId="77777777" w:rsidR="00BD39E0" w:rsidRPr="00FE1886" w:rsidRDefault="00BD39E0" w:rsidP="00BD39E0">
      <w:pPr>
        <w:ind w:firstLine="709"/>
        <w:jc w:val="both"/>
      </w:pPr>
      <w:r w:rsidRPr="00FE1886">
        <w:t>Влияние върху размера на постъпленията през 202</w:t>
      </w:r>
      <w:r>
        <w:t>2</w:t>
      </w:r>
      <w:r w:rsidRPr="00FE1886">
        <w:t xml:space="preserve"> г. имат предприетите </w:t>
      </w:r>
      <w:r>
        <w:t xml:space="preserve">законодателни изменения и </w:t>
      </w:r>
      <w:r w:rsidRPr="00FE1886">
        <w:t>политики по доходите:</w:t>
      </w:r>
    </w:p>
    <w:p w14:paraId="04C122D1" w14:textId="77777777" w:rsidR="00BD39E0" w:rsidRDefault="00BD39E0" w:rsidP="00BD39E0">
      <w:pPr>
        <w:tabs>
          <w:tab w:val="left" w:pos="851"/>
        </w:tabs>
        <w:ind w:firstLine="709"/>
        <w:jc w:val="both"/>
      </w:pPr>
      <w:r w:rsidRPr="00FE1886">
        <w:t>-</w:t>
      </w:r>
      <w:r w:rsidRPr="00FE1886">
        <w:tab/>
      </w:r>
      <w:r>
        <w:t>увеличение на минималната работна заплата за страната с 9,2 %, от 650 лв. на 710 лева от от 01.04.2022 г.;</w:t>
      </w:r>
    </w:p>
    <w:p w14:paraId="00614F99" w14:textId="77777777" w:rsidR="00BD39E0" w:rsidRDefault="00BD39E0" w:rsidP="00BD39E0">
      <w:pPr>
        <w:tabs>
          <w:tab w:val="left" w:pos="851"/>
        </w:tabs>
        <w:ind w:firstLine="709"/>
        <w:jc w:val="both"/>
      </w:pPr>
      <w:r>
        <w:t>-</w:t>
      </w:r>
      <w:r>
        <w:tab/>
        <w:t>увеличението на максималният месечен осигурителен доход от 3 000 лв. на 3 400 лв.</w:t>
      </w:r>
      <w:r w:rsidRPr="000A5252">
        <w:t xml:space="preserve"> </w:t>
      </w:r>
      <w:r>
        <w:t>от 01.04.2022 г.;</w:t>
      </w:r>
    </w:p>
    <w:p w14:paraId="30373F61" w14:textId="77777777" w:rsidR="00BD39E0" w:rsidRDefault="00BD39E0" w:rsidP="00BD39E0">
      <w:pPr>
        <w:tabs>
          <w:tab w:val="left" w:pos="851"/>
        </w:tabs>
        <w:ind w:firstLine="709"/>
        <w:jc w:val="both"/>
      </w:pPr>
      <w:r>
        <w:t>-</w:t>
      </w:r>
      <w:r>
        <w:tab/>
        <w:t>увеличението на минималните осигурителни прагове въз основа на повишението на МРЗ;</w:t>
      </w:r>
    </w:p>
    <w:p w14:paraId="528738D1" w14:textId="77777777" w:rsidR="00BD39E0" w:rsidRPr="00FE1886" w:rsidRDefault="00BD39E0" w:rsidP="00BD39E0">
      <w:pPr>
        <w:tabs>
          <w:tab w:val="left" w:pos="851"/>
        </w:tabs>
        <w:ind w:firstLine="709"/>
        <w:jc w:val="both"/>
      </w:pPr>
      <w:r w:rsidRPr="00FE1886">
        <w:t>-</w:t>
      </w:r>
      <w:r w:rsidRPr="00FE1886">
        <w:tab/>
        <w:t xml:space="preserve">увеличение на заплатите в </w:t>
      </w:r>
      <w:r w:rsidRPr="000A5252">
        <w:t>някои от бюджетните системи, одобрени с актуализацията на бюджета през 2022 г</w:t>
      </w:r>
      <w:r>
        <w:t>.</w:t>
      </w:r>
      <w:r w:rsidRPr="00FE1886">
        <w:t>;</w:t>
      </w:r>
    </w:p>
    <w:p w14:paraId="289B8437" w14:textId="77777777" w:rsidR="00BD39E0" w:rsidRPr="00FE1886" w:rsidRDefault="00BD39E0" w:rsidP="00BD39E0">
      <w:pPr>
        <w:tabs>
          <w:tab w:val="left" w:pos="851"/>
        </w:tabs>
        <w:spacing w:after="120"/>
        <w:ind w:firstLine="709"/>
        <w:jc w:val="both"/>
      </w:pPr>
      <w:r w:rsidRPr="00FE1886">
        <w:t>-</w:t>
      </w:r>
      <w:r w:rsidRPr="00FE1886">
        <w:tab/>
        <w:t>увеличение на заплатите на педагогическия персонал</w:t>
      </w:r>
      <w:r>
        <w:t>.</w:t>
      </w:r>
      <w:r w:rsidRPr="00FE1886">
        <w:tab/>
      </w:r>
    </w:p>
    <w:p w14:paraId="712C0719" w14:textId="1BAB950C" w:rsidR="00BD39E0" w:rsidRDefault="00BD39E0" w:rsidP="00AC6801">
      <w:pPr>
        <w:ind w:firstLine="709"/>
        <w:jc w:val="both"/>
      </w:pPr>
      <w:r w:rsidRPr="00FE1886">
        <w:t xml:space="preserve">Влияние върху приходите от трудови правоотношения оказва и ползването в увеличен размер на облекченията за деца по чл. 22в и чл. 22г от ЗДДФЛ чрез подаване на декларация по образец при работодателя през месец декември за доходите придобити през 2021 година. </w:t>
      </w:r>
      <w:r w:rsidRPr="000928A3">
        <w:t>Приетото през 2022 г. допълнително увеличение на размера на данъчното облекчение за деца (от 4 500 лв. на 6 000 лв. годишно) и на данъчното облекчение на деца с увреждания (от 9 000 лв. на 12 000 лв. годишно), както и въвеждане на възможност за авансово ползване (тримесечно) за 2022 г. на двете данъчни облекчения</w:t>
      </w:r>
      <w:r w:rsidR="00204177">
        <w:t>,</w:t>
      </w:r>
      <w:r w:rsidRPr="000928A3">
        <w:t xml:space="preserve"> има</w:t>
      </w:r>
      <w:r w:rsidR="00204177">
        <w:t>т</w:t>
      </w:r>
      <w:r w:rsidRPr="000928A3">
        <w:t xml:space="preserve"> допълнително влияние в посока намаление на приходите от ДДФЛ за 2022 година</w:t>
      </w:r>
      <w:r w:rsidRPr="00FE1886">
        <w:t xml:space="preserve">. </w:t>
      </w:r>
    </w:p>
    <w:p w14:paraId="4119311C" w14:textId="77777777" w:rsidR="00BD39E0" w:rsidRPr="00FE1886" w:rsidRDefault="00BD39E0" w:rsidP="00AC6801">
      <w:pPr>
        <w:ind w:firstLine="709"/>
        <w:jc w:val="both"/>
      </w:pPr>
      <w:r w:rsidRPr="002A4422">
        <w:t>По-високият ръст на приходите от трудови правоотношения за периода се дължи на увеличението на разходите за персонал както в обществения сектор, така и в частните предприятия в отговор на високия ръст на инфлацията. За ръста на приходите допринася и по-ниският от очакваното размер на авансово използваните данъчни облекчения за деца в увеличен размер за доходите, придобити  през 2022 година.</w:t>
      </w:r>
    </w:p>
    <w:p w14:paraId="7E7DCFB7" w14:textId="73299B93" w:rsidR="00BD39E0" w:rsidRPr="00FE1886" w:rsidRDefault="00BD39E0" w:rsidP="00AC6801">
      <w:pPr>
        <w:spacing w:before="120"/>
        <w:ind w:firstLine="709"/>
        <w:jc w:val="both"/>
        <w:rPr>
          <w:lang w:eastAsia="en-US"/>
        </w:rPr>
      </w:pPr>
      <w:r w:rsidRPr="00FE1886">
        <w:t xml:space="preserve">От </w:t>
      </w:r>
      <w:r w:rsidRPr="00FE1886">
        <w:rPr>
          <w:i/>
        </w:rPr>
        <w:t>извънтрудови правоотношения</w:t>
      </w:r>
      <w:r w:rsidRPr="00FE1886">
        <w:t xml:space="preserve"> (ЕТ, свободни професии, граждански договори, годишен и авансов данък и др.) приходите от данъка към </w:t>
      </w:r>
      <w:r w:rsidRPr="009E2A69">
        <w:t>31.12.2022 г. са</w:t>
      </w:r>
      <w:r>
        <w:t xml:space="preserve"> в размер на</w:t>
      </w:r>
      <w:r w:rsidRPr="009E2A69">
        <w:t xml:space="preserve"> 459,7 млн. лв.</w:t>
      </w:r>
      <w:r>
        <w:t xml:space="preserve"> или </w:t>
      </w:r>
      <w:r w:rsidRPr="009E2A69">
        <w:t xml:space="preserve">120,8 % от актуализирания годишен план. </w:t>
      </w:r>
      <w:r>
        <w:t>Съпоставени с 2021 г.</w:t>
      </w:r>
      <w:r w:rsidR="004703BB">
        <w:t>,</w:t>
      </w:r>
      <w:r>
        <w:t xml:space="preserve"> постъпленията са</w:t>
      </w:r>
      <w:r w:rsidRPr="009E2A69">
        <w:t xml:space="preserve"> с 51,8 млн. лв. повече (12,7 % ръст). </w:t>
      </w:r>
      <w:r w:rsidRPr="00221F3E">
        <w:t>По данни на НАП към края на 2022 г., 32,5 % от внесения данък е от еднолични търговци, а 67,5 % е от свободни професии и други самостоятелно заети лица. Основно влияние върху тези приходи оказват резултатите от годишните данъчни декларации по чл. 50 от ЗДДФЛ (дължим данък за довнасяне или надвнесен данък) и дължимите авансови вноски. По данни на НАП към 31.12.2022 г. плащанията по декларации са с най-голям относителен дял (62,3 %) и нарастват с 28,6 % спрямо края на 2021 година. Авансовите вноски през 2022 г. са 25,7 % от общата сума на приходите от извънтрудови правоотношения и нарастват с 55,6 % на годишна база. Значителен принос за този вид данъчни приходи имат и плащанията за минали години. Делът им в приходите от този вид данъци към края на декември 2022 г. е 29,6 %, а годишният ръст - 25,4 %.</w:t>
      </w:r>
      <w:r>
        <w:t xml:space="preserve"> Положително в</w:t>
      </w:r>
      <w:r w:rsidRPr="0046744E">
        <w:t>лияние</w:t>
      </w:r>
      <w:r>
        <w:t xml:space="preserve"> върху по-високото изпълнение на </w:t>
      </w:r>
      <w:r w:rsidRPr="0046744E">
        <w:t xml:space="preserve">тази </w:t>
      </w:r>
      <w:r>
        <w:t>група данъчни приходи оказва</w:t>
      </w:r>
      <w:r w:rsidRPr="0046744E">
        <w:t>т</w:t>
      </w:r>
      <w:r>
        <w:t xml:space="preserve"> постигнатите по-добри финансови резултати от ЕТ и упражняващите свободни професии </w:t>
      </w:r>
      <w:r w:rsidRPr="0046744E">
        <w:t>през отчетния период. От друга страна</w:t>
      </w:r>
      <w:r>
        <w:t>,</w:t>
      </w:r>
      <w:r w:rsidRPr="0046744E">
        <w:t xml:space="preserve"> </w:t>
      </w:r>
      <w:r>
        <w:t>ползването на данъчните облекчения за деца по чл. 22в и чл. 22г от ЗДДФЛ в увеличен размер при подаването на годишната данъчна декларация за 2021 г.</w:t>
      </w:r>
      <w:r w:rsidRPr="0046744E">
        <w:t xml:space="preserve">, допринася за </w:t>
      </w:r>
      <w:r>
        <w:t>намаление на ръста</w:t>
      </w:r>
      <w:r w:rsidRPr="0046744E">
        <w:t xml:space="preserve"> на данъчните приходи.</w:t>
      </w:r>
      <w:r w:rsidRPr="00FE1886">
        <w:rPr>
          <w:lang w:eastAsia="en-US"/>
        </w:rPr>
        <w:t xml:space="preserve"> </w:t>
      </w:r>
    </w:p>
    <w:p w14:paraId="3B96A9CC" w14:textId="77777777" w:rsidR="00BD39E0" w:rsidRPr="004B154B" w:rsidRDefault="00BD39E0" w:rsidP="00AC6801">
      <w:pPr>
        <w:ind w:firstLine="709"/>
        <w:jc w:val="both"/>
        <w:rPr>
          <w:szCs w:val="20"/>
          <w:lang w:eastAsia="en-US"/>
        </w:rPr>
      </w:pPr>
      <w:r w:rsidRPr="004B154B">
        <w:rPr>
          <w:lang w:eastAsia="en-US"/>
        </w:rPr>
        <w:t xml:space="preserve"> </w:t>
      </w:r>
      <w:r w:rsidRPr="004B154B">
        <w:rPr>
          <w:szCs w:val="20"/>
          <w:lang w:eastAsia="en-US"/>
        </w:rPr>
        <w:t xml:space="preserve">През 2022 г. приходите от </w:t>
      </w:r>
      <w:r w:rsidRPr="004B154B">
        <w:rPr>
          <w:i/>
          <w:szCs w:val="20"/>
          <w:lang w:eastAsia="en-US"/>
        </w:rPr>
        <w:t>окончателен годишен (патентен) данък и данък върху таксиметров превоз на пътници</w:t>
      </w:r>
      <w:r w:rsidRPr="004B154B">
        <w:rPr>
          <w:szCs w:val="20"/>
          <w:lang w:eastAsia="en-US"/>
        </w:rPr>
        <w:t>, администриран от общините, са в размер на 12,7 млн. лв., което е 76,2 % от годишния разчет.</w:t>
      </w:r>
    </w:p>
    <w:p w14:paraId="1DFCDCF0" w14:textId="77777777" w:rsidR="00BD39E0" w:rsidRDefault="00BD39E0" w:rsidP="00AC6801">
      <w:pPr>
        <w:ind w:firstLine="709"/>
        <w:jc w:val="both"/>
      </w:pPr>
      <w:bookmarkStart w:id="136" w:name="_Toc261276571"/>
      <w:bookmarkStart w:id="137" w:name="_Toc199730302"/>
      <w:bookmarkStart w:id="138" w:name="_Toc393728058"/>
      <w:bookmarkStart w:id="139" w:name="_Toc357527084"/>
      <w:bookmarkStart w:id="140" w:name="_Toc326315899"/>
      <w:bookmarkStart w:id="141" w:name="_Toc324863406"/>
      <w:bookmarkStart w:id="142" w:name="_Toc462146107"/>
      <w:bookmarkStart w:id="143" w:name="_Toc494102625"/>
      <w:bookmarkStart w:id="144" w:name="_Toc11323405"/>
      <w:bookmarkStart w:id="145" w:name="_Toc18316938"/>
      <w:bookmarkStart w:id="146" w:name="_Toc83045481"/>
      <w:bookmarkStart w:id="147" w:name="_Toc136273496"/>
      <w:bookmarkEnd w:id="124"/>
      <w:bookmarkEnd w:id="125"/>
      <w:bookmarkEnd w:id="126"/>
      <w:bookmarkEnd w:id="127"/>
      <w:bookmarkEnd w:id="128"/>
      <w:bookmarkEnd w:id="129"/>
      <w:bookmarkEnd w:id="130"/>
      <w:r w:rsidRPr="00FE1886">
        <w:t xml:space="preserve">Постъпленията от </w:t>
      </w:r>
      <w:r w:rsidRPr="00FE1886">
        <w:rPr>
          <w:i/>
        </w:rPr>
        <w:t>окончателния данък върху доходите на местните физически лица от лихви по банкови сметки</w:t>
      </w:r>
      <w:r w:rsidRPr="00FE1886">
        <w:t xml:space="preserve"> за 202</w:t>
      </w:r>
      <w:r>
        <w:t>2</w:t>
      </w:r>
      <w:r w:rsidRPr="00FE1886">
        <w:t xml:space="preserve"> г. са в размер на </w:t>
      </w:r>
      <w:r w:rsidRPr="00221F3E">
        <w:t xml:space="preserve">1,5 млн. лв., или 91,9 % от актуализирания годишен план за 2022 година. Съгласно приетите изменения в </w:t>
      </w:r>
      <w:r>
        <w:t>ЗДДФЛ</w:t>
      </w:r>
      <w:r w:rsidRPr="00221F3E">
        <w:t xml:space="preserve"> облагането с данък на лихвите по банкови сметки се отменя, считано от 01.04.2022 година. Основната причина за това е продължаващото намаляване на лихвите по влоговете в банките и клоновете на банки през последните години, в резултат на което намаляха значително и приходите от този данък. Във връзка с това, администрирането на данъка създава административна тежест за банковите институции, задължени да го удържат и внасят, както и за физическите лица, когато са задължени сами да внесат данъка, която тежест е непропорционална от ефекта от данъка за бюджета</w:t>
      </w:r>
      <w:r w:rsidRPr="00FE1886">
        <w:t>.</w:t>
      </w:r>
    </w:p>
    <w:p w14:paraId="08B4B743" w14:textId="77777777" w:rsidR="00BD39E0" w:rsidRPr="00FE1886" w:rsidRDefault="00BD39E0" w:rsidP="00AC6801">
      <w:pPr>
        <w:ind w:firstLine="709"/>
        <w:jc w:val="both"/>
      </w:pPr>
      <w:r w:rsidRPr="00FE1886">
        <w:t xml:space="preserve">Постъпленията от </w:t>
      </w:r>
      <w:r w:rsidRPr="00FE1886">
        <w:rPr>
          <w:i/>
        </w:rPr>
        <w:t>окончателния данък на местните и чуждестранни физически лица, данък върху дивидентите и ликвидационните дялове на местни и чуждестранни физически лица</w:t>
      </w:r>
      <w:r w:rsidRPr="00FE1886">
        <w:t xml:space="preserve"> за 202</w:t>
      </w:r>
      <w:r>
        <w:t>2</w:t>
      </w:r>
      <w:r w:rsidRPr="00FE1886">
        <w:t xml:space="preserve"> г. възлизат на </w:t>
      </w:r>
      <w:r w:rsidRPr="00266557">
        <w:t>499,1 млн. лв.</w:t>
      </w:r>
      <w:r>
        <w:t xml:space="preserve">, което е </w:t>
      </w:r>
      <w:r w:rsidRPr="00266557">
        <w:t>97,6 % от актуал</w:t>
      </w:r>
      <w:r>
        <w:t>изирания годишен план за 2022 година</w:t>
      </w:r>
      <w:r w:rsidRPr="00266557">
        <w:t xml:space="preserve">. </w:t>
      </w:r>
      <w:r>
        <w:t xml:space="preserve">Съпоставено с </w:t>
      </w:r>
      <w:r w:rsidRPr="00266557">
        <w:t>202</w:t>
      </w:r>
      <w:r>
        <w:t>1</w:t>
      </w:r>
      <w:r w:rsidRPr="00266557">
        <w:t xml:space="preserve"> г. </w:t>
      </w:r>
      <w:r>
        <w:t>приходите</w:t>
      </w:r>
      <w:r w:rsidRPr="00266557">
        <w:t xml:space="preserve"> са с 24,6 млн. лв. повече (5,2 %</w:t>
      </w:r>
      <w:r>
        <w:t xml:space="preserve"> ръст</w:t>
      </w:r>
      <w:r w:rsidRPr="00266557">
        <w:t>)</w:t>
      </w:r>
      <w:r>
        <w:t>.</w:t>
      </w:r>
      <w:r w:rsidRPr="00FE1886">
        <w:t xml:space="preserve"> </w:t>
      </w:r>
      <w:r w:rsidRPr="006768CA">
        <w:t xml:space="preserve">Отчетеният ръст се дължи на </w:t>
      </w:r>
      <w:r w:rsidRPr="00270EDE">
        <w:t>по-високия размер на постъпленията от данък върху доходите на чуждестранни юридически лица</w:t>
      </w:r>
      <w:r w:rsidRPr="006768CA">
        <w:t>.</w:t>
      </w:r>
      <w:r w:rsidRPr="00FE1886">
        <w:t xml:space="preserve"> </w:t>
      </w:r>
      <w:r w:rsidRPr="00AC70EA">
        <w:t>Влияние за по-високото изпълнение на приходите от данък върху дивидентите и ликвидационните дялове на местни и чуждестранни физически и юридически лица има и предприетата комуникационна кампания и контролни действия от НАП през 2021 г. за проверка на касови наличности. Кампанията е насочена приоритетно към лица, за които има информация за висока касова наличност (над 100 хил. лв.)</w:t>
      </w:r>
      <w:r w:rsidRPr="00FE1886">
        <w:t>, и при които има риск от наличие на сделки, сключени при условия, водещи до отклонение от данъчно облагане, наличието на скрито разпределение на печалбата по смисъла на § 1, т. 5 от ДР на ЗКПО. Скритото разпределение на печалбата се третира като дивидент, за който се внася 5 % данък върху разпределените суми.</w:t>
      </w:r>
    </w:p>
    <w:p w14:paraId="17E7312D" w14:textId="77777777" w:rsidR="00BD39E0" w:rsidRPr="00291C6D" w:rsidRDefault="00BD39E0" w:rsidP="00BD39E0">
      <w:pPr>
        <w:pStyle w:val="Heading3"/>
        <w:numPr>
          <w:ilvl w:val="2"/>
          <w:numId w:val="8"/>
        </w:numPr>
        <w:rPr>
          <w:rFonts w:ascii="Times New Roman" w:hAnsi="Times New Roman" w:cs="Times New Roman"/>
          <w:color w:val="000000" w:themeColor="text1"/>
          <w:sz w:val="24"/>
          <w:szCs w:val="24"/>
          <w:lang w:val="bg-BG"/>
        </w:rPr>
      </w:pPr>
      <w:bookmarkStart w:id="148" w:name="_Toc146037893"/>
      <w:r w:rsidRPr="00291C6D">
        <w:rPr>
          <w:rFonts w:ascii="Times New Roman" w:hAnsi="Times New Roman" w:cs="Times New Roman"/>
          <w:color w:val="000000" w:themeColor="text1"/>
          <w:sz w:val="24"/>
          <w:szCs w:val="24"/>
          <w:lang w:val="bg-BG"/>
        </w:rPr>
        <w:t>Приходи от осигурителни вноски</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1B5648CB" w14:textId="77777777" w:rsidR="00BD39E0" w:rsidRPr="007B48E9" w:rsidRDefault="00BD39E0" w:rsidP="00BD39E0">
      <w:pPr>
        <w:jc w:val="both"/>
        <w:rPr>
          <w:b/>
          <w:color w:val="0070C0"/>
          <w:sz w:val="8"/>
          <w:szCs w:val="8"/>
        </w:rPr>
      </w:pPr>
    </w:p>
    <w:p w14:paraId="5833451F" w14:textId="5FE18266" w:rsidR="00BD39E0" w:rsidRPr="00DD7E5A" w:rsidRDefault="00BD39E0" w:rsidP="00BD39E0">
      <w:pPr>
        <w:ind w:firstLine="709"/>
        <w:jc w:val="both"/>
        <w:rPr>
          <w:bCs/>
          <w:color w:val="000000" w:themeColor="text1"/>
        </w:rPr>
      </w:pPr>
      <w:bookmarkStart w:id="149" w:name="_Toc261276572"/>
      <w:r w:rsidRPr="00DD7E5A">
        <w:rPr>
          <w:color w:val="000000" w:themeColor="text1"/>
        </w:rPr>
        <w:t>Постъпленията от социални и здравноосигурителни вноски за 2022 г. са в размер на 13 </w:t>
      </w:r>
      <w:r w:rsidR="004703BB">
        <w:rPr>
          <w:color w:val="000000" w:themeColor="text1"/>
        </w:rPr>
        <w:t>737</w:t>
      </w:r>
      <w:r w:rsidRPr="00DD7E5A">
        <w:rPr>
          <w:color w:val="000000" w:themeColor="text1"/>
        </w:rPr>
        <w:t>,</w:t>
      </w:r>
      <w:r w:rsidR="004703BB">
        <w:rPr>
          <w:color w:val="000000" w:themeColor="text1"/>
        </w:rPr>
        <w:t>7</w:t>
      </w:r>
      <w:r w:rsidRPr="00DD7E5A">
        <w:rPr>
          <w:color w:val="000000" w:themeColor="text1"/>
        </w:rPr>
        <w:t xml:space="preserve"> млн. лв., което представлява 102,6 % изпълнение на разчетите и 8,3 % от БВП. </w:t>
      </w:r>
      <w:r w:rsidRPr="00DD7E5A">
        <w:rPr>
          <w:bCs/>
          <w:color w:val="000000" w:themeColor="text1"/>
        </w:rPr>
        <w:t>Данните показват увеличение на приходите от осигурителни вноски с 1 507,6 млн. лв. (12,3 %) спрямо предходната година.</w:t>
      </w:r>
    </w:p>
    <w:p w14:paraId="41EFAB00" w14:textId="77777777" w:rsidR="00BD39E0" w:rsidRPr="00DD7E5A" w:rsidRDefault="00BD39E0" w:rsidP="00BD39E0">
      <w:pPr>
        <w:ind w:firstLine="709"/>
        <w:jc w:val="both"/>
        <w:rPr>
          <w:bCs/>
          <w:color w:val="000000" w:themeColor="text1"/>
        </w:rPr>
      </w:pPr>
      <w:r w:rsidRPr="00DD7E5A">
        <w:rPr>
          <w:bCs/>
          <w:color w:val="000000" w:themeColor="text1"/>
        </w:rPr>
        <w:t>Факторите, които оказват влияние на приходите от задължителни осигурителни вноски през годината, са:</w:t>
      </w:r>
    </w:p>
    <w:p w14:paraId="227FF8B1" w14:textId="77777777" w:rsidR="00BD39E0" w:rsidRPr="00DD7E5A" w:rsidRDefault="00BD39E0" w:rsidP="00BD39E0">
      <w:pPr>
        <w:numPr>
          <w:ilvl w:val="0"/>
          <w:numId w:val="56"/>
        </w:numPr>
        <w:tabs>
          <w:tab w:val="clear" w:pos="885"/>
          <w:tab w:val="num" w:pos="851"/>
          <w:tab w:val="num" w:pos="1499"/>
        </w:tabs>
        <w:ind w:left="851" w:hanging="284"/>
        <w:jc w:val="both"/>
        <w:rPr>
          <w:bCs/>
          <w:color w:val="000000" w:themeColor="text1"/>
          <w:lang w:eastAsia="en-US"/>
        </w:rPr>
      </w:pPr>
      <w:r w:rsidRPr="00DD7E5A">
        <w:rPr>
          <w:bCs/>
          <w:color w:val="000000" w:themeColor="text1"/>
          <w:lang w:eastAsia="en-US"/>
        </w:rPr>
        <w:t>Ръстът на средния осигурителен доход</w:t>
      </w:r>
      <w:r w:rsidRPr="00DD7E5A">
        <w:rPr>
          <w:bCs/>
          <w:color w:val="000000" w:themeColor="text1"/>
          <w:lang w:val="ru-RU" w:eastAsia="en-US"/>
        </w:rPr>
        <w:t>;</w:t>
      </w:r>
    </w:p>
    <w:p w14:paraId="2274620A" w14:textId="77777777" w:rsidR="00BD39E0" w:rsidRPr="00DD7E5A" w:rsidRDefault="00BD39E0" w:rsidP="00BD39E0">
      <w:pPr>
        <w:numPr>
          <w:ilvl w:val="0"/>
          <w:numId w:val="56"/>
        </w:numPr>
        <w:tabs>
          <w:tab w:val="clear" w:pos="885"/>
          <w:tab w:val="num" w:pos="851"/>
          <w:tab w:val="num" w:pos="1499"/>
        </w:tabs>
        <w:ind w:left="851" w:hanging="284"/>
        <w:jc w:val="both"/>
        <w:rPr>
          <w:bCs/>
          <w:color w:val="000000" w:themeColor="text1"/>
          <w:lang w:eastAsia="en-US"/>
        </w:rPr>
      </w:pPr>
      <w:r w:rsidRPr="00DD7E5A">
        <w:rPr>
          <w:bCs/>
          <w:color w:val="000000" w:themeColor="text1"/>
          <w:lang w:eastAsia="en-US"/>
        </w:rPr>
        <w:t xml:space="preserve">Ръстът на минималната работна заплата; </w:t>
      </w:r>
      <w:r w:rsidRPr="00DD7E5A">
        <w:rPr>
          <w:bCs/>
          <w:color w:val="000000" w:themeColor="text1"/>
          <w:lang w:val="ru-RU" w:eastAsia="en-US"/>
        </w:rPr>
        <w:t>(</w:t>
      </w:r>
      <w:r w:rsidRPr="00DD7E5A">
        <w:rPr>
          <w:bCs/>
          <w:color w:val="000000" w:themeColor="text1"/>
          <w:lang w:eastAsia="en-US"/>
        </w:rPr>
        <w:t xml:space="preserve"> минималната работна заплата, съответно минималния месечен размер на осигурителния доход за самоосигуряващи се лица за периода  от януари до март 2022</w:t>
      </w:r>
      <w:r>
        <w:rPr>
          <w:bCs/>
          <w:color w:val="000000" w:themeColor="text1"/>
          <w:lang w:eastAsia="en-US"/>
        </w:rPr>
        <w:t xml:space="preserve"> г.</w:t>
      </w:r>
      <w:r w:rsidRPr="00DD7E5A">
        <w:rPr>
          <w:bCs/>
          <w:color w:val="000000" w:themeColor="text1"/>
          <w:lang w:eastAsia="en-US"/>
        </w:rPr>
        <w:t xml:space="preserve"> се запазва на 650 лева и се увеличава на 710 лева за периода април – декември 2022 година</w:t>
      </w:r>
      <w:r w:rsidRPr="00DD7E5A">
        <w:rPr>
          <w:bCs/>
          <w:color w:val="000000" w:themeColor="text1"/>
          <w:lang w:val="ru-RU" w:eastAsia="en-US"/>
        </w:rPr>
        <w:t>);</w:t>
      </w:r>
    </w:p>
    <w:p w14:paraId="65E1D4E6" w14:textId="77777777" w:rsidR="00BD39E0" w:rsidRPr="00DD7E5A" w:rsidRDefault="00BD39E0" w:rsidP="00BD39E0">
      <w:pPr>
        <w:numPr>
          <w:ilvl w:val="0"/>
          <w:numId w:val="56"/>
        </w:numPr>
        <w:tabs>
          <w:tab w:val="clear" w:pos="885"/>
          <w:tab w:val="num" w:pos="851"/>
          <w:tab w:val="num" w:pos="1499"/>
        </w:tabs>
        <w:ind w:left="851" w:hanging="284"/>
        <w:jc w:val="both"/>
        <w:rPr>
          <w:color w:val="000000" w:themeColor="text1"/>
          <w:lang w:eastAsia="en-US"/>
        </w:rPr>
      </w:pPr>
      <w:r w:rsidRPr="00DD7E5A">
        <w:rPr>
          <w:color w:val="000000" w:themeColor="text1"/>
          <w:lang w:eastAsia="en-US"/>
        </w:rPr>
        <w:t>Минималният месечен размер на осигурителния доход за регистрираните земеделски производители и тютюнопроизводители за периода от 1 януари до 31 март 2022 година е 420 лева и се увеличава на 710 лева за периода 1 април до 31 декември 2022 година;</w:t>
      </w:r>
    </w:p>
    <w:p w14:paraId="23B16F65" w14:textId="77777777" w:rsidR="00BD39E0" w:rsidRPr="00DD7E5A" w:rsidRDefault="00BD39E0" w:rsidP="00BD39E0">
      <w:pPr>
        <w:numPr>
          <w:ilvl w:val="0"/>
          <w:numId w:val="56"/>
        </w:numPr>
        <w:tabs>
          <w:tab w:val="clear" w:pos="885"/>
          <w:tab w:val="num" w:pos="851"/>
          <w:tab w:val="num" w:pos="1499"/>
        </w:tabs>
        <w:ind w:left="851" w:hanging="284"/>
        <w:jc w:val="both"/>
        <w:rPr>
          <w:color w:val="000000" w:themeColor="text1"/>
          <w:lang w:eastAsia="en-US"/>
        </w:rPr>
      </w:pPr>
      <w:r w:rsidRPr="00DD7E5A">
        <w:rPr>
          <w:color w:val="000000" w:themeColor="text1"/>
          <w:lang w:eastAsia="en-US"/>
        </w:rPr>
        <w:t>Максималният месечен размер на осигурителния доход от януари до март 2022 г. се запазва на 3 000 лв. и се увеличава на 3 400 лева за периода от 1 април 2022 година.</w:t>
      </w:r>
    </w:p>
    <w:p w14:paraId="690B487C" w14:textId="5A315259" w:rsidR="00BD39E0" w:rsidRPr="00DD7E5A" w:rsidRDefault="00BD39E0" w:rsidP="00BD39E0">
      <w:pPr>
        <w:ind w:firstLine="709"/>
        <w:jc w:val="both"/>
        <w:rPr>
          <w:color w:val="000000" w:themeColor="text1"/>
        </w:rPr>
      </w:pPr>
      <w:r w:rsidRPr="00DD7E5A">
        <w:rPr>
          <w:color w:val="000000" w:themeColor="text1"/>
        </w:rPr>
        <w:t xml:space="preserve">Приходите от осигурителни вноски по бюджетите на социално-осигурителните фондове (вкл. ДОО, ФГВРС и УПФ) са в размер на </w:t>
      </w:r>
      <w:r>
        <w:rPr>
          <w:color w:val="000000" w:themeColor="text1"/>
        </w:rPr>
        <w:t>9 934,2</w:t>
      </w:r>
      <w:r w:rsidRPr="00DD7E5A">
        <w:rPr>
          <w:color w:val="000000" w:themeColor="text1"/>
        </w:rPr>
        <w:t xml:space="preserve"> млн. лв., което представлява </w:t>
      </w:r>
      <w:r>
        <w:rPr>
          <w:color w:val="000000" w:themeColor="text1"/>
        </w:rPr>
        <w:t>103,1</w:t>
      </w:r>
      <w:r w:rsidRPr="00DD7E5A">
        <w:rPr>
          <w:color w:val="000000" w:themeColor="text1"/>
        </w:rPr>
        <w:t xml:space="preserve"> % изпълнение на годишните разчети и с </w:t>
      </w:r>
      <w:r>
        <w:rPr>
          <w:color w:val="000000" w:themeColor="text1"/>
        </w:rPr>
        <w:t>1 093</w:t>
      </w:r>
      <w:r w:rsidRPr="00DD7E5A">
        <w:rPr>
          <w:color w:val="000000" w:themeColor="text1"/>
        </w:rPr>
        <w:t>,4 млн. лв. повече спрямо предходната година. Здравноосигурителните вноски по бюджета на НЗОК възлизат на 3</w:t>
      </w:r>
      <w:r w:rsidR="002C6B14">
        <w:rPr>
          <w:color w:val="000000" w:themeColor="text1"/>
        </w:rPr>
        <w:t xml:space="preserve"> </w:t>
      </w:r>
      <w:r w:rsidRPr="00DD7E5A">
        <w:rPr>
          <w:color w:val="000000" w:themeColor="text1"/>
        </w:rPr>
        <w:t>8</w:t>
      </w:r>
      <w:r>
        <w:rPr>
          <w:color w:val="000000" w:themeColor="text1"/>
        </w:rPr>
        <w:t>03,5</w:t>
      </w:r>
      <w:r w:rsidRPr="00DD7E5A">
        <w:rPr>
          <w:color w:val="000000" w:themeColor="text1"/>
        </w:rPr>
        <w:t xml:space="preserve"> млн. лв., което е 101,</w:t>
      </w:r>
      <w:r>
        <w:rPr>
          <w:color w:val="000000" w:themeColor="text1"/>
        </w:rPr>
        <w:t>2</w:t>
      </w:r>
      <w:r w:rsidRPr="00DD7E5A">
        <w:rPr>
          <w:color w:val="000000" w:themeColor="text1"/>
        </w:rPr>
        <w:t xml:space="preserve"> % </w:t>
      </w:r>
      <w:r>
        <w:rPr>
          <w:color w:val="000000" w:themeColor="text1"/>
        </w:rPr>
        <w:t>спрямо</w:t>
      </w:r>
      <w:r w:rsidRPr="00DD7E5A">
        <w:rPr>
          <w:color w:val="000000" w:themeColor="text1"/>
        </w:rPr>
        <w:t xml:space="preserve"> заложените в разчета за годината и с </w:t>
      </w:r>
      <w:r>
        <w:rPr>
          <w:color w:val="000000" w:themeColor="text1"/>
        </w:rPr>
        <w:t>414,2</w:t>
      </w:r>
      <w:r w:rsidRPr="00DD7E5A">
        <w:rPr>
          <w:color w:val="000000" w:themeColor="text1"/>
        </w:rPr>
        <w:t xml:space="preserve"> млн. лв. повече спрямо 202</w:t>
      </w:r>
      <w:r>
        <w:rPr>
          <w:color w:val="000000" w:themeColor="text1"/>
        </w:rPr>
        <w:t>1</w:t>
      </w:r>
      <w:r w:rsidRPr="00DD7E5A">
        <w:rPr>
          <w:color w:val="000000" w:themeColor="text1"/>
        </w:rPr>
        <w:t> г</w:t>
      </w:r>
      <w:r>
        <w:rPr>
          <w:color w:val="000000" w:themeColor="text1"/>
        </w:rPr>
        <w:t>одина</w:t>
      </w:r>
      <w:r w:rsidRPr="00DD7E5A">
        <w:rPr>
          <w:color w:val="000000" w:themeColor="text1"/>
        </w:rPr>
        <w:t xml:space="preserve">. </w:t>
      </w:r>
    </w:p>
    <w:p w14:paraId="70E8B23B" w14:textId="77777777" w:rsidR="00BD39E0" w:rsidRPr="004B154B" w:rsidRDefault="00BD39E0" w:rsidP="00BD39E0">
      <w:pPr>
        <w:pStyle w:val="Heading3"/>
        <w:numPr>
          <w:ilvl w:val="2"/>
          <w:numId w:val="8"/>
        </w:numPr>
        <w:rPr>
          <w:rFonts w:ascii="Times New Roman" w:hAnsi="Times New Roman" w:cs="Times New Roman"/>
          <w:sz w:val="24"/>
          <w:szCs w:val="24"/>
          <w:lang w:val="bg-BG"/>
        </w:rPr>
      </w:pPr>
      <w:bookmarkStart w:id="150" w:name="_Toc324863407"/>
      <w:bookmarkStart w:id="151" w:name="_Toc326315900"/>
      <w:bookmarkStart w:id="152" w:name="_Toc357527085"/>
      <w:bookmarkStart w:id="153" w:name="_Toc393728059"/>
      <w:r w:rsidRPr="004B154B">
        <w:rPr>
          <w:rFonts w:ascii="Times New Roman" w:hAnsi="Times New Roman" w:cs="Times New Roman"/>
          <w:sz w:val="24"/>
          <w:szCs w:val="24"/>
          <w:lang w:val="bg-BG"/>
        </w:rPr>
        <w:t xml:space="preserve"> </w:t>
      </w:r>
      <w:bookmarkStart w:id="154" w:name="_Toc462146108"/>
      <w:bookmarkStart w:id="155" w:name="_Toc494102626"/>
      <w:bookmarkStart w:id="156" w:name="_Toc11323406"/>
      <w:bookmarkStart w:id="157" w:name="_Toc18316939"/>
      <w:bookmarkStart w:id="158" w:name="_Toc83045482"/>
      <w:bookmarkStart w:id="159" w:name="_Toc136273497"/>
      <w:bookmarkStart w:id="160" w:name="_Toc146037894"/>
      <w:r w:rsidRPr="004B154B">
        <w:rPr>
          <w:rFonts w:ascii="Times New Roman" w:hAnsi="Times New Roman" w:cs="Times New Roman"/>
          <w:sz w:val="24"/>
          <w:szCs w:val="24"/>
          <w:lang w:val="bg-BG"/>
        </w:rPr>
        <w:t>Данък върху добавената стойност</w:t>
      </w:r>
      <w:bookmarkEnd w:id="149"/>
      <w:bookmarkEnd w:id="150"/>
      <w:bookmarkEnd w:id="151"/>
      <w:bookmarkEnd w:id="152"/>
      <w:bookmarkEnd w:id="153"/>
      <w:bookmarkEnd w:id="154"/>
      <w:bookmarkEnd w:id="155"/>
      <w:bookmarkEnd w:id="156"/>
      <w:bookmarkEnd w:id="157"/>
      <w:bookmarkEnd w:id="158"/>
      <w:bookmarkEnd w:id="159"/>
      <w:bookmarkEnd w:id="160"/>
    </w:p>
    <w:p w14:paraId="2A0A84EF" w14:textId="77777777" w:rsidR="00BD39E0" w:rsidRPr="007B48E9" w:rsidRDefault="00BD39E0" w:rsidP="00BD39E0">
      <w:pPr>
        <w:tabs>
          <w:tab w:val="left" w:pos="9360"/>
        </w:tabs>
        <w:ind w:right="22" w:firstLine="540"/>
        <w:jc w:val="both"/>
        <w:rPr>
          <w:color w:val="0070C0"/>
          <w:sz w:val="8"/>
          <w:szCs w:val="8"/>
        </w:rPr>
      </w:pPr>
    </w:p>
    <w:p w14:paraId="709A9645" w14:textId="77777777" w:rsidR="00BD39E0" w:rsidRPr="004B154B" w:rsidRDefault="00BD39E0" w:rsidP="00BD39E0">
      <w:pPr>
        <w:spacing w:after="120"/>
        <w:ind w:firstLine="709"/>
        <w:jc w:val="both"/>
      </w:pPr>
      <w:bookmarkStart w:id="161" w:name="_Toc393728060"/>
      <w:bookmarkStart w:id="162" w:name="_Toc357527086"/>
      <w:bookmarkStart w:id="163" w:name="_Toc326315901"/>
      <w:bookmarkStart w:id="164" w:name="_Toc324863409"/>
      <w:bookmarkStart w:id="165" w:name="_Toc462146109"/>
      <w:bookmarkStart w:id="166" w:name="_Toc494102627"/>
      <w:bookmarkStart w:id="167" w:name="_Toc11323407"/>
      <w:bookmarkStart w:id="168" w:name="_Toc18316940"/>
      <w:bookmarkStart w:id="169" w:name="_Toc83045483"/>
      <w:bookmarkStart w:id="170" w:name="_Toc136273498"/>
      <w:r w:rsidRPr="004B154B">
        <w:t xml:space="preserve">Приходите от ДДС формират най-голяма част от данъчните постъпления по КФП – 32,8 %. </w:t>
      </w:r>
      <w:bookmarkEnd w:id="161"/>
      <w:bookmarkEnd w:id="162"/>
      <w:bookmarkEnd w:id="163"/>
      <w:bookmarkEnd w:id="164"/>
      <w:r w:rsidRPr="004B154B">
        <w:rPr>
          <w:bCs/>
        </w:rPr>
        <w:t>За 2022 г. нетните приходи от ДДС възлизат на 15 331,3 млн. лв. или 95,7 % изпълнение на актуализирания годишен план (688,7 млн. лв. по-малко от актуализирания</w:t>
      </w:r>
      <w:r w:rsidRPr="004B154B">
        <w:t xml:space="preserve"> план)</w:t>
      </w:r>
      <w:r w:rsidRPr="004B154B">
        <w:rPr>
          <w:b/>
        </w:rPr>
        <w:t xml:space="preserve"> </w:t>
      </w:r>
      <w:r w:rsidRPr="004B154B">
        <w:rPr>
          <w:bCs/>
        </w:rPr>
        <w:t xml:space="preserve"> и представляват 9,3 % от БВП за годината. В сравнение с 2021 г., се отчита увеличение от 18,1 % (2 352,8 млн. лв.), което е в </w:t>
      </w:r>
      <w:r w:rsidRPr="004B154B">
        <w:t>резултат на постепенното възстановяване</w:t>
      </w:r>
      <w:r w:rsidRPr="004B154B">
        <w:rPr>
          <w:bCs/>
        </w:rPr>
        <w:t xml:space="preserve"> на потреблението и търговските вериги, ръстът в цените на стоките и </w:t>
      </w:r>
      <w:r w:rsidRPr="004B154B">
        <w:t>предприетите мерки от приходните агенции за подобряване на митническия и данъчен контрол.</w:t>
      </w:r>
    </w:p>
    <w:p w14:paraId="7583BFE9" w14:textId="77777777" w:rsidR="00BD39E0" w:rsidRPr="004B154B" w:rsidRDefault="00BD39E0" w:rsidP="00BD39E0">
      <w:pPr>
        <w:spacing w:after="120"/>
        <w:jc w:val="right"/>
        <w:rPr>
          <w:i/>
          <w:lang w:eastAsia="en-US"/>
        </w:rPr>
      </w:pPr>
    </w:p>
    <w:p w14:paraId="5A664EBF" w14:textId="7D631AD4" w:rsidR="00BD39E0" w:rsidRPr="004B154B" w:rsidRDefault="00560526" w:rsidP="00BD39E0">
      <w:pPr>
        <w:spacing w:after="120"/>
        <w:jc w:val="center"/>
        <w:rPr>
          <w:i/>
          <w:lang w:eastAsia="en-US"/>
        </w:rPr>
      </w:pPr>
      <w:r>
        <w:rPr>
          <w:i/>
          <w:noProof/>
        </w:rPr>
        <w:drawing>
          <wp:inline distT="0" distB="0" distL="0" distR="0" wp14:anchorId="0F0C8E00" wp14:editId="2BEC788E">
            <wp:extent cx="5426075" cy="320040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6075" cy="3200400"/>
                    </a:xfrm>
                    <a:prstGeom prst="rect">
                      <a:avLst/>
                    </a:prstGeom>
                    <a:noFill/>
                  </pic:spPr>
                </pic:pic>
              </a:graphicData>
            </a:graphic>
          </wp:inline>
        </w:drawing>
      </w:r>
    </w:p>
    <w:p w14:paraId="21E7CE07" w14:textId="77777777" w:rsidR="00BD39E0" w:rsidRPr="004B154B" w:rsidRDefault="00BD39E0" w:rsidP="00BD39E0">
      <w:pPr>
        <w:spacing w:after="120"/>
        <w:jc w:val="right"/>
      </w:pPr>
      <w:r w:rsidRPr="004B154B">
        <w:rPr>
          <w:i/>
          <w:lang w:eastAsia="en-US"/>
        </w:rPr>
        <w:tab/>
      </w:r>
      <w:r w:rsidRPr="004B154B">
        <w:rPr>
          <w:i/>
          <w:lang w:eastAsia="en-US"/>
        </w:rPr>
        <w:tab/>
      </w:r>
      <w:r w:rsidRPr="004B154B">
        <w:rPr>
          <w:i/>
          <w:lang w:eastAsia="en-US"/>
        </w:rPr>
        <w:tab/>
      </w:r>
      <w:r w:rsidRPr="004B154B">
        <w:rPr>
          <w:i/>
          <w:lang w:eastAsia="en-US"/>
        </w:rPr>
        <w:tab/>
      </w:r>
      <w:r w:rsidRPr="004B154B">
        <w:rPr>
          <w:i/>
          <w:lang w:eastAsia="en-US"/>
        </w:rPr>
        <w:tab/>
        <w:t xml:space="preserve">    Източник: Министерство на финансите</w:t>
      </w:r>
    </w:p>
    <w:p w14:paraId="54D7B7CF" w14:textId="77777777" w:rsidR="00BD39E0" w:rsidRPr="004B154B" w:rsidRDefault="00BD39E0" w:rsidP="00BD39E0">
      <w:pPr>
        <w:tabs>
          <w:tab w:val="left" w:pos="0"/>
        </w:tabs>
        <w:autoSpaceDE w:val="0"/>
        <w:autoSpaceDN w:val="0"/>
        <w:adjustRightInd w:val="0"/>
        <w:spacing w:after="120"/>
        <w:ind w:firstLine="709"/>
        <w:jc w:val="both"/>
        <w:rPr>
          <w:b/>
          <w:i/>
        </w:rPr>
      </w:pPr>
      <w:r w:rsidRPr="004B154B">
        <w:rPr>
          <w:b/>
          <w:i/>
        </w:rPr>
        <w:t>Постъпления от ДДС от сделки в страната и вътреобщностни придобивания (ВОП)</w:t>
      </w:r>
    </w:p>
    <w:p w14:paraId="72B37529" w14:textId="77777777" w:rsidR="00BD39E0" w:rsidRPr="004B154B" w:rsidRDefault="00BD39E0" w:rsidP="00BD39E0">
      <w:pPr>
        <w:tabs>
          <w:tab w:val="left" w:pos="0"/>
        </w:tabs>
        <w:spacing w:before="120" w:after="120"/>
        <w:ind w:right="51" w:firstLine="709"/>
        <w:jc w:val="both"/>
      </w:pPr>
      <w:r w:rsidRPr="004B154B">
        <w:rPr>
          <w:bCs/>
        </w:rPr>
        <w:t>Приходите от ДДС от сделки в страната и ВОП (нето) за 2022 г. са в размер на 8</w:t>
      </w:r>
      <w:r w:rsidRPr="004B154B">
        <w:rPr>
          <w:bCs/>
          <w:lang w:val="en-US"/>
        </w:rPr>
        <w:t> </w:t>
      </w:r>
      <w:r w:rsidRPr="004B154B">
        <w:rPr>
          <w:bCs/>
        </w:rPr>
        <w:t xml:space="preserve">097,6 млн. лв. или 90,8 % изпълнение на актуализирания годишен план, като в сравнение с 2021 г. е отчетен спад от 331,4 млн. лв. (3,9 %). </w:t>
      </w:r>
      <w:r w:rsidRPr="004B154B">
        <w:t xml:space="preserve">Основна причина за това неизпълнение е неочаквано високия ръст на възстановения данък, което води до намаление на нетните касови постъпления. </w:t>
      </w:r>
      <w:r w:rsidRPr="004B154B">
        <w:rPr>
          <w:bCs/>
        </w:rPr>
        <w:t>Относителният дял на приходите от сделки в страната в общите приходи от ДДС е 52,8 % за отчетния период, при 64,9 % за 2021 година. Този резултат е следствие от динамиката на потреблението, изменението на вноса и износа, влиянието на приетите законодателни изменения от началото на 2022 г. и нарастване на вноса на суровия нефт от Русия</w:t>
      </w:r>
      <w:r w:rsidRPr="004B154B">
        <w:t xml:space="preserve">. </w:t>
      </w:r>
    </w:p>
    <w:p w14:paraId="69A2947D" w14:textId="77777777" w:rsidR="00BD39E0" w:rsidRPr="004B154B" w:rsidRDefault="00BD39E0" w:rsidP="00BD39E0">
      <w:pPr>
        <w:tabs>
          <w:tab w:val="left" w:pos="0"/>
          <w:tab w:val="left" w:pos="993"/>
        </w:tabs>
        <w:autoSpaceDE w:val="0"/>
        <w:autoSpaceDN w:val="0"/>
        <w:adjustRightInd w:val="0"/>
        <w:ind w:firstLine="709"/>
        <w:jc w:val="both"/>
        <w:rPr>
          <w:b/>
          <w:i/>
          <w:color w:val="FF0000"/>
        </w:rPr>
      </w:pPr>
      <w:r w:rsidRPr="004B154B">
        <w:rPr>
          <w:b/>
          <w:i/>
        </w:rPr>
        <w:t xml:space="preserve"> </w:t>
      </w:r>
      <w:r w:rsidRPr="004B154B">
        <w:rPr>
          <w:i/>
        </w:rPr>
        <w:t>Основните фактори</w:t>
      </w:r>
      <w:r w:rsidRPr="004B154B">
        <w:t>, повлияли върху постъпленията от данъка за 2022 г., са следните:</w:t>
      </w:r>
    </w:p>
    <w:p w14:paraId="1D275D26" w14:textId="77777777" w:rsidR="00BD39E0" w:rsidRPr="004B154B" w:rsidRDefault="00BD39E0" w:rsidP="00BD39E0">
      <w:pPr>
        <w:numPr>
          <w:ilvl w:val="0"/>
          <w:numId w:val="42"/>
        </w:numPr>
        <w:tabs>
          <w:tab w:val="left" w:pos="0"/>
          <w:tab w:val="left" w:pos="993"/>
          <w:tab w:val="left" w:pos="1134"/>
        </w:tabs>
        <w:spacing w:after="120"/>
        <w:ind w:firstLine="709"/>
        <w:contextualSpacing/>
        <w:jc w:val="both"/>
      </w:pPr>
      <w:r w:rsidRPr="004B154B">
        <w:t>Динамика на</w:t>
      </w:r>
      <w:r w:rsidRPr="004B154B">
        <w:rPr>
          <w:i/>
        </w:rPr>
        <w:t xml:space="preserve"> потреблението</w:t>
      </w:r>
      <w:r w:rsidRPr="004B154B">
        <w:t xml:space="preserve"> - по данни на НСИ за 2022 г.</w:t>
      </w:r>
      <w:r w:rsidRPr="004B154B">
        <w:rPr>
          <w:vertAlign w:val="superscript"/>
        </w:rPr>
        <w:footnoteReference w:id="19"/>
      </w:r>
      <w:r w:rsidRPr="004B154B">
        <w:t xml:space="preserve"> крайното потребление нараства с 20,8 % спрямо предходната година. Само за четвъртото тримесечие на 2022 г. крайното потребление отчита  ръст от 25,6 %, в сравнение със същия период на 2021 г.;</w:t>
      </w:r>
    </w:p>
    <w:p w14:paraId="0A2D3733" w14:textId="77777777" w:rsidR="00BD39E0" w:rsidRPr="004B154B" w:rsidRDefault="00BD39E0" w:rsidP="00BD39E0">
      <w:pPr>
        <w:numPr>
          <w:ilvl w:val="0"/>
          <w:numId w:val="42"/>
        </w:numPr>
        <w:tabs>
          <w:tab w:val="left" w:pos="0"/>
          <w:tab w:val="left" w:pos="993"/>
          <w:tab w:val="left" w:pos="1134"/>
        </w:tabs>
        <w:spacing w:after="120"/>
        <w:ind w:firstLine="709"/>
        <w:contextualSpacing/>
        <w:jc w:val="both"/>
      </w:pPr>
      <w:r w:rsidRPr="004B154B">
        <w:t>Изменението на</w:t>
      </w:r>
      <w:r w:rsidRPr="004B154B">
        <w:rPr>
          <w:i/>
        </w:rPr>
        <w:t xml:space="preserve"> вноса на стоки и услуги</w:t>
      </w:r>
      <w:r w:rsidRPr="004B154B">
        <w:t xml:space="preserve"> – по данни на НСИ</w:t>
      </w:r>
      <w:r w:rsidRPr="004B154B">
        <w:rPr>
          <w:vertAlign w:val="superscript"/>
        </w:rPr>
        <w:footnoteReference w:id="20"/>
      </w:r>
      <w:r w:rsidRPr="004B154B">
        <w:t xml:space="preserve"> вносът на България от ЕС за 2022 г. нараства с 29,3 % спрямо предходната година, което оказва положителен ефект върху приходите от ДДС, администрирани от НАП. Вносът на стоки в България от трети страни през 2022 г. също бележи увеличение с 58,5 % в сравнение с 2021 г.;</w:t>
      </w:r>
    </w:p>
    <w:p w14:paraId="03AB6271" w14:textId="77777777" w:rsidR="00BD39E0" w:rsidRPr="004B154B" w:rsidRDefault="00BD39E0" w:rsidP="00BD39E0">
      <w:pPr>
        <w:numPr>
          <w:ilvl w:val="0"/>
          <w:numId w:val="42"/>
        </w:numPr>
        <w:tabs>
          <w:tab w:val="left" w:pos="0"/>
          <w:tab w:val="left" w:pos="993"/>
          <w:tab w:val="left" w:pos="1134"/>
        </w:tabs>
        <w:spacing w:after="120"/>
        <w:ind w:firstLine="709"/>
        <w:jc w:val="both"/>
      </w:pPr>
      <w:r w:rsidRPr="004B154B">
        <w:t xml:space="preserve">Изменението на </w:t>
      </w:r>
      <w:r w:rsidRPr="004B154B">
        <w:rPr>
          <w:i/>
        </w:rPr>
        <w:t>износа на стоки и услуги</w:t>
      </w:r>
      <w:r w:rsidRPr="004B154B">
        <w:t xml:space="preserve"> – по данни на НСИ⁸ за 2022 г. износът от България за ЕС нараства с 35,6 %, в сравнение с 2021 г., а за трети страни нараства с 38,7 %.</w:t>
      </w:r>
    </w:p>
    <w:p w14:paraId="60EC4464" w14:textId="77777777" w:rsidR="00BD39E0" w:rsidRPr="004B154B" w:rsidRDefault="00BD39E0" w:rsidP="00BD39E0">
      <w:pPr>
        <w:tabs>
          <w:tab w:val="left" w:pos="142"/>
          <w:tab w:val="left" w:pos="993"/>
          <w:tab w:val="left" w:pos="9360"/>
        </w:tabs>
        <w:ind w:firstLine="709"/>
        <w:jc w:val="both"/>
      </w:pPr>
      <w:r w:rsidRPr="004B154B">
        <w:t xml:space="preserve">Основните показатели, които формират нетните приходи от </w:t>
      </w:r>
      <w:r w:rsidRPr="004B154B">
        <w:rPr>
          <w:i/>
        </w:rPr>
        <w:t>ДДС при сделки в страната и ВОП</w:t>
      </w:r>
      <w:r w:rsidRPr="004B154B">
        <w:t xml:space="preserve"> са следните:</w:t>
      </w:r>
    </w:p>
    <w:p w14:paraId="6308AB22" w14:textId="77777777" w:rsidR="00BD39E0" w:rsidRPr="004B154B" w:rsidRDefault="00BD39E0" w:rsidP="00BD39E0">
      <w:pPr>
        <w:numPr>
          <w:ilvl w:val="0"/>
          <w:numId w:val="42"/>
        </w:numPr>
        <w:tabs>
          <w:tab w:val="left" w:pos="993"/>
          <w:tab w:val="left" w:pos="1134"/>
        </w:tabs>
        <w:spacing w:after="120"/>
        <w:ind w:firstLine="709"/>
        <w:contextualSpacing/>
        <w:jc w:val="both"/>
      </w:pPr>
      <w:r w:rsidRPr="004B154B">
        <w:rPr>
          <w:i/>
        </w:rPr>
        <w:t>Ефективно внесеният ДДС</w:t>
      </w:r>
      <w:r w:rsidRPr="004B154B">
        <w:t xml:space="preserve"> по сметките на НАП, формиран като данък от справки-декларации от сделки в страната и ВОП и допълнително внесените суми, разкрити по данъчно-ревизионни актове, възлиза на 19 694,5 млн. лв. за 2022 г. и в сравнение с предходната година е с 3 575,7 млн. лв. (22,2 %) повече;</w:t>
      </w:r>
    </w:p>
    <w:p w14:paraId="5E9A2C63" w14:textId="77777777" w:rsidR="00BD39E0" w:rsidRPr="004B154B" w:rsidRDefault="00BD39E0" w:rsidP="00BD39E0">
      <w:pPr>
        <w:numPr>
          <w:ilvl w:val="0"/>
          <w:numId w:val="42"/>
        </w:numPr>
        <w:tabs>
          <w:tab w:val="left" w:pos="1134"/>
        </w:tabs>
        <w:spacing w:after="120"/>
        <w:ind w:firstLine="709"/>
        <w:contextualSpacing/>
        <w:jc w:val="both"/>
      </w:pPr>
      <w:r w:rsidRPr="004B154B">
        <w:rPr>
          <w:i/>
        </w:rPr>
        <w:t>Общо възстановеният ДДС</w:t>
      </w:r>
      <w:r w:rsidRPr="004B154B">
        <w:t xml:space="preserve"> (чрез прихващане и ефективно) е в размер на 11 596,9 млн. лв. за отчетния период и е </w:t>
      </w:r>
      <w:r w:rsidRPr="004B154B">
        <w:rPr>
          <w:bCs/>
        </w:rPr>
        <w:t xml:space="preserve">с 3 907,1 </w:t>
      </w:r>
      <w:r w:rsidRPr="004B154B">
        <w:rPr>
          <w:rFonts w:eastAsia="Calibri"/>
          <w:lang w:eastAsia="en-US"/>
        </w:rPr>
        <w:t xml:space="preserve"> млн. лв. (50,8 %)</w:t>
      </w:r>
      <w:r w:rsidRPr="004B154B">
        <w:rPr>
          <w:bCs/>
        </w:rPr>
        <w:t xml:space="preserve"> повече в сравнение с 2022 г.;</w:t>
      </w:r>
    </w:p>
    <w:p w14:paraId="5BA5C787" w14:textId="77777777" w:rsidR="00BD39E0" w:rsidRPr="004B154B" w:rsidRDefault="00BD39E0" w:rsidP="00BD39E0">
      <w:pPr>
        <w:numPr>
          <w:ilvl w:val="0"/>
          <w:numId w:val="42"/>
        </w:numPr>
        <w:tabs>
          <w:tab w:val="left" w:pos="993"/>
          <w:tab w:val="left" w:pos="1134"/>
        </w:tabs>
        <w:spacing w:after="120"/>
        <w:ind w:firstLine="709"/>
        <w:contextualSpacing/>
        <w:jc w:val="both"/>
      </w:pPr>
      <w:r w:rsidRPr="004B154B">
        <w:rPr>
          <w:bCs/>
          <w:i/>
        </w:rPr>
        <w:t>Съотношението на възстановения ДДС към ефективно внесения данък</w:t>
      </w:r>
      <w:r w:rsidRPr="004B154B">
        <w:rPr>
          <w:bCs/>
        </w:rPr>
        <w:t xml:space="preserve"> е 58,9 %, при 47,7 % за 2021 г.; </w:t>
      </w:r>
    </w:p>
    <w:p w14:paraId="01E45FA9" w14:textId="77777777" w:rsidR="00BD39E0" w:rsidRPr="004B154B" w:rsidRDefault="00BD39E0" w:rsidP="00BD39E0">
      <w:pPr>
        <w:numPr>
          <w:ilvl w:val="0"/>
          <w:numId w:val="42"/>
        </w:numPr>
        <w:tabs>
          <w:tab w:val="left" w:pos="993"/>
          <w:tab w:val="left" w:pos="1134"/>
        </w:tabs>
        <w:spacing w:after="120"/>
        <w:ind w:firstLine="709"/>
        <w:contextualSpacing/>
        <w:jc w:val="both"/>
      </w:pPr>
      <w:r w:rsidRPr="004B154B">
        <w:rPr>
          <w:i/>
        </w:rPr>
        <w:t>Декларираният ДДС за внасяне (след приспадане)</w:t>
      </w:r>
      <w:r w:rsidRPr="004B154B">
        <w:t xml:space="preserve"> към 31.12.2022 г. е 19 595,0</w:t>
      </w:r>
      <w:r w:rsidRPr="004B154B">
        <w:rPr>
          <w:bCs/>
        </w:rPr>
        <w:t xml:space="preserve"> млн. лв., като се отчита увеличение с 3 509,1 млн. лв. (21,8 %) на годишна база</w:t>
      </w:r>
      <w:r w:rsidRPr="004B154B">
        <w:t>;</w:t>
      </w:r>
      <w:r w:rsidRPr="004B154B">
        <w:rPr>
          <w:bCs/>
        </w:rPr>
        <w:t xml:space="preserve"> </w:t>
      </w:r>
    </w:p>
    <w:p w14:paraId="3136932A" w14:textId="77777777" w:rsidR="00BD39E0" w:rsidRPr="004B154B" w:rsidRDefault="00BD39E0" w:rsidP="00BD39E0">
      <w:pPr>
        <w:numPr>
          <w:ilvl w:val="0"/>
          <w:numId w:val="42"/>
        </w:numPr>
        <w:tabs>
          <w:tab w:val="left" w:pos="993"/>
          <w:tab w:val="left" w:pos="1134"/>
        </w:tabs>
        <w:spacing w:after="120"/>
        <w:ind w:firstLine="709"/>
        <w:contextualSpacing/>
        <w:jc w:val="both"/>
      </w:pPr>
      <w:r w:rsidRPr="004B154B">
        <w:rPr>
          <w:i/>
        </w:rPr>
        <w:t>Декларираният ДДС, подлежащ за възстановяване,</w:t>
      </w:r>
      <w:r w:rsidRPr="004B154B">
        <w:t xml:space="preserve"> е 11 755,4 млн. лв. за 2022 г., което представлява увеличение с 4 018,0 млн. лв. (51,9 %), съпоставено с предходната година;</w:t>
      </w:r>
    </w:p>
    <w:p w14:paraId="15B871A7" w14:textId="77777777" w:rsidR="00BD39E0" w:rsidRPr="004B154B" w:rsidRDefault="00BD39E0" w:rsidP="00BD39E0">
      <w:pPr>
        <w:numPr>
          <w:ilvl w:val="0"/>
          <w:numId w:val="42"/>
        </w:numPr>
        <w:tabs>
          <w:tab w:val="left" w:pos="993"/>
          <w:tab w:val="left" w:pos="1134"/>
        </w:tabs>
        <w:spacing w:after="120"/>
        <w:contextualSpacing/>
        <w:jc w:val="both"/>
      </w:pPr>
      <w:r w:rsidRPr="004B154B">
        <w:rPr>
          <w:i/>
        </w:rPr>
        <w:t>Невъзстановеният данъчен кредит ( НДК)</w:t>
      </w:r>
      <w:r w:rsidRPr="004B154B">
        <w:t xml:space="preserve"> към края на 2022 г. е 101,6 млн. лв. при 75,2 млн. към края на предходната година или се увеличава с 26,4 млн. лева. Основната причина за невъзстановяването са неприключилите ревизии на задължените лица.</w:t>
      </w:r>
    </w:p>
    <w:p w14:paraId="5FECD168" w14:textId="77777777" w:rsidR="00BD39E0" w:rsidRPr="004B154B" w:rsidRDefault="00BD39E0" w:rsidP="00BD39E0">
      <w:pPr>
        <w:spacing w:after="120"/>
        <w:ind w:firstLine="709"/>
        <w:contextualSpacing/>
        <w:jc w:val="both"/>
        <w:rPr>
          <w:b/>
        </w:rPr>
      </w:pPr>
      <w:r w:rsidRPr="004B154B">
        <w:rPr>
          <w:b/>
        </w:rPr>
        <w:t>Фирми с увеличение на нетния размер на ДДС</w:t>
      </w:r>
    </w:p>
    <w:p w14:paraId="1B2A7666" w14:textId="77777777" w:rsidR="00BD39E0" w:rsidRPr="004B154B" w:rsidRDefault="00BD39E0" w:rsidP="00BD39E0">
      <w:pPr>
        <w:spacing w:after="120"/>
        <w:ind w:right="-24" w:firstLine="708"/>
        <w:jc w:val="both"/>
      </w:pPr>
      <w:r w:rsidRPr="004B154B">
        <w:t>Към 31.12.2022 г. нетните приходи от ДДС на 340 задължени лица са с увеличение над 2,0 млн. лв. спрямо същия период на предходната година. Общият размер на нетните приходи от тези дружества е с 4 562,0 млн. лв. повече спрямо 2021 година.</w:t>
      </w:r>
    </w:p>
    <w:p w14:paraId="470CE4F2" w14:textId="77777777" w:rsidR="00BD39E0" w:rsidRPr="004B154B" w:rsidRDefault="00BD39E0" w:rsidP="00BD39E0">
      <w:pPr>
        <w:spacing w:after="120"/>
        <w:ind w:firstLine="709"/>
        <w:jc w:val="both"/>
      </w:pPr>
      <w:r w:rsidRPr="004B154B">
        <w:rPr>
          <w:b/>
        </w:rPr>
        <w:t>Фирми с намаление на нетния размер на ДДС</w:t>
      </w:r>
    </w:p>
    <w:p w14:paraId="54B7F31A" w14:textId="77777777" w:rsidR="00BD39E0" w:rsidRPr="004B154B" w:rsidRDefault="00BD39E0" w:rsidP="00BD39E0">
      <w:pPr>
        <w:tabs>
          <w:tab w:val="left" w:pos="0"/>
        </w:tabs>
        <w:autoSpaceDE w:val="0"/>
        <w:autoSpaceDN w:val="0"/>
        <w:adjustRightInd w:val="0"/>
        <w:spacing w:after="120"/>
        <w:ind w:firstLine="709"/>
        <w:jc w:val="both"/>
        <w:rPr>
          <w:bCs/>
        </w:rPr>
      </w:pPr>
      <w:r w:rsidRPr="004B154B">
        <w:rPr>
          <w:bCs/>
        </w:rPr>
        <w:t xml:space="preserve">Към 31.12.2022 г. нетните приходи от ДДС на 400 дружества са с намаление над 2,0 млн. лв. спрямо 2021 г., като намалението на общия размер на постъпленията от тези дружества е в размер на 4 554,0 млн. лева. </w:t>
      </w:r>
    </w:p>
    <w:p w14:paraId="2FF60875" w14:textId="77777777" w:rsidR="00BD39E0" w:rsidRPr="004B154B" w:rsidRDefault="00BD39E0" w:rsidP="00BD39E0">
      <w:pPr>
        <w:tabs>
          <w:tab w:val="left" w:pos="0"/>
        </w:tabs>
        <w:autoSpaceDE w:val="0"/>
        <w:autoSpaceDN w:val="0"/>
        <w:adjustRightInd w:val="0"/>
        <w:spacing w:after="120"/>
        <w:ind w:firstLine="709"/>
        <w:jc w:val="both"/>
        <w:rPr>
          <w:bCs/>
          <w:lang w:eastAsia="en-US"/>
        </w:rPr>
      </w:pPr>
      <w:r w:rsidRPr="004B154B">
        <w:rPr>
          <w:b/>
          <w:bCs/>
          <w:i/>
          <w:lang w:eastAsia="en-US"/>
        </w:rPr>
        <w:t>Приходи от ДДС от внос от страни извън ЕС</w:t>
      </w:r>
    </w:p>
    <w:p w14:paraId="0CAF4C72" w14:textId="77777777" w:rsidR="00BD39E0" w:rsidRPr="004B154B" w:rsidRDefault="00BD39E0" w:rsidP="001C78D8">
      <w:pPr>
        <w:ind w:firstLine="709"/>
        <w:jc w:val="both"/>
        <w:rPr>
          <w:bCs/>
        </w:rPr>
      </w:pPr>
      <w:r w:rsidRPr="004B154B">
        <w:rPr>
          <w:bCs/>
        </w:rPr>
        <w:t>Нетните постъпленията от ДДС от внос от трети страни за 2022 г. са в размер на 7 233,8 млн.</w:t>
      </w:r>
      <w:r w:rsidRPr="004B154B">
        <w:rPr>
          <w:b/>
          <w:bCs/>
        </w:rPr>
        <w:t xml:space="preserve"> </w:t>
      </w:r>
      <w:r w:rsidRPr="004B154B">
        <w:rPr>
          <w:bCs/>
        </w:rPr>
        <w:t>лв., което представлява 101,9 % от актуализирания годишен план, и се увеличават с 2 684,2 млн. лв. (59,0 %), в сравнение с 2021 година. Относителният дял на тези постъпления от внос към общите приходи от ДДС за 2022 г. е 47,2 % при 35,1 % за 2021 година.</w:t>
      </w:r>
      <w:r w:rsidRPr="004B154B">
        <w:rPr>
          <w:rFonts w:eastAsia="Calibri"/>
          <w:lang w:eastAsia="en-US"/>
        </w:rPr>
        <w:t xml:space="preserve"> </w:t>
      </w:r>
      <w:r w:rsidRPr="004B154B">
        <w:rPr>
          <w:bCs/>
        </w:rPr>
        <w:t>Регистрираното повишение е резултат от възстановяването на бизнес активността, повишаване на събираемостта, нарастването на цените на основни суровини, повишението на количествата на стоките, внасяни от трети страни, подобрения митнически контрол и надзор, прецизирането на контрола върху елементите за облагане – тарифно класиране, държава на произход, митническа стойност, както и акцент на контрола върху приходоопределящи икономически оператори и стоките с най-голям фискален ефект.</w:t>
      </w:r>
    </w:p>
    <w:p w14:paraId="3C146005" w14:textId="2618CDC2" w:rsidR="00BD39E0" w:rsidRPr="004B154B" w:rsidRDefault="004F0A60" w:rsidP="00BD39E0">
      <w:pPr>
        <w:spacing w:after="120"/>
        <w:ind w:firstLine="709"/>
        <w:jc w:val="both"/>
      </w:pPr>
      <w:r w:rsidRPr="002E7D13">
        <w:rPr>
          <w:iCs/>
        </w:rPr>
        <w:t xml:space="preserve">След 01.07.2019 г. </w:t>
      </w:r>
      <w:r>
        <w:rPr>
          <w:iCs/>
        </w:rPr>
        <w:t xml:space="preserve">се прилага </w:t>
      </w:r>
      <w:r w:rsidRPr="002E7D13">
        <w:rPr>
          <w:iCs/>
        </w:rPr>
        <w:t xml:space="preserve">разпоредбата на чл. 167а от </w:t>
      </w:r>
      <w:r>
        <w:rPr>
          <w:iCs/>
        </w:rPr>
        <w:t>ЗДДС, с която</w:t>
      </w:r>
      <w:r w:rsidRPr="002E7D13">
        <w:rPr>
          <w:iCs/>
        </w:rPr>
        <w:t xml:space="preserve"> е въведена възможността за отложено начисляване на ДДС от вносител при внос на стоки от трети страни. </w:t>
      </w:r>
      <w:r w:rsidRPr="002E7D13">
        <w:rPr>
          <w:bCs/>
        </w:rPr>
        <w:t xml:space="preserve">Ефектът от прилагането на този режим за 2022 г. е неначислен ДДС при внос в размер на 1 672,5 млн. лв., което е с </w:t>
      </w:r>
      <w:r w:rsidRPr="002E7D13">
        <w:rPr>
          <w:color w:val="000000"/>
        </w:rPr>
        <w:t>400,3</w:t>
      </w:r>
      <w:r w:rsidRPr="002E7D13">
        <w:rPr>
          <w:bCs/>
        </w:rPr>
        <w:t xml:space="preserve"> млн. лв. (</w:t>
      </w:r>
      <w:r w:rsidRPr="002E7D13">
        <w:rPr>
          <w:color w:val="000000"/>
        </w:rPr>
        <w:t>31,5</w:t>
      </w:r>
      <w:r w:rsidRPr="002E7D13">
        <w:rPr>
          <w:bCs/>
        </w:rPr>
        <w:t> %) повече от 2021 г. Стоките с най-голям дял в прилагането на</w:t>
      </w:r>
      <w:r w:rsidRPr="002E7D13">
        <w:t xml:space="preserve"> този режим са следните: стоки от глава „Руди, шлаки и пепели“ – 934,5 млн. лв. и стоки от глава „Мед и изделия от мед“ – 253,0 млн. лв. </w:t>
      </w:r>
      <w:r>
        <w:t xml:space="preserve">и </w:t>
      </w:r>
      <w:r>
        <w:rPr>
          <w:color w:val="000000"/>
        </w:rPr>
        <w:t>ч</w:t>
      </w:r>
      <w:r w:rsidRPr="002A14A2">
        <w:rPr>
          <w:color w:val="000000"/>
        </w:rPr>
        <w:t xml:space="preserve">угун, желязо и стомана </w:t>
      </w:r>
      <w:r>
        <w:rPr>
          <w:color w:val="000000"/>
        </w:rPr>
        <w:t xml:space="preserve">– </w:t>
      </w:r>
      <w:r w:rsidRPr="002A14A2">
        <w:rPr>
          <w:color w:val="000000"/>
        </w:rPr>
        <w:t>204</w:t>
      </w:r>
      <w:r>
        <w:rPr>
          <w:color w:val="000000"/>
        </w:rPr>
        <w:t xml:space="preserve">,4 млн. лева. </w:t>
      </w:r>
      <w:r w:rsidRPr="002E7D13">
        <w:t>Общо 70 икономически оператори са се възползвали от възможността да отложат начисляването на ДДС при внос</w:t>
      </w:r>
      <w:r w:rsidR="00BD39E0" w:rsidRPr="004B154B">
        <w:t>.</w:t>
      </w:r>
    </w:p>
    <w:p w14:paraId="74B478E7" w14:textId="3CFE4DBB" w:rsidR="00BD39E0" w:rsidRPr="004B154B" w:rsidRDefault="00BD39E0" w:rsidP="00A76D1C">
      <w:pPr>
        <w:spacing w:after="120"/>
        <w:ind w:firstLine="709"/>
        <w:jc w:val="both"/>
      </w:pPr>
      <w:r w:rsidRPr="004B154B">
        <w:t>Водещите групи стоки, при които се отчита ръст на начисления данък от внос за 2022</w:t>
      </w:r>
      <w:r w:rsidR="000462C3">
        <w:rPr>
          <w:lang w:val="en-US"/>
        </w:rPr>
        <w:t> </w:t>
      </w:r>
      <w:r w:rsidRPr="004B154B">
        <w:t xml:space="preserve">г. спрямо предходната година са, както следва: </w:t>
      </w:r>
    </w:p>
    <w:p w14:paraId="4A8F34FF" w14:textId="77777777" w:rsidR="00BD39E0" w:rsidRPr="004B154B" w:rsidRDefault="00BD39E0" w:rsidP="000462C3">
      <w:pPr>
        <w:numPr>
          <w:ilvl w:val="0"/>
          <w:numId w:val="61"/>
        </w:numPr>
        <w:ind w:left="714" w:right="-29" w:hanging="357"/>
        <w:jc w:val="both"/>
      </w:pPr>
      <w:r w:rsidRPr="004B154B">
        <w:t>минерални горива, минерални масла и продукти от тяхната дестилация – увеличение с 1 119,2 млн. лв. (119,6 %), предимно като следствие от повишението в цената на внесен суров петрол;</w:t>
      </w:r>
    </w:p>
    <w:p w14:paraId="72F0F6DF" w14:textId="77777777" w:rsidR="00BD39E0" w:rsidRPr="004B154B" w:rsidRDefault="00BD39E0" w:rsidP="000462C3">
      <w:pPr>
        <w:numPr>
          <w:ilvl w:val="0"/>
          <w:numId w:val="61"/>
        </w:numPr>
        <w:ind w:left="714" w:right="-28" w:hanging="357"/>
        <w:jc w:val="both"/>
      </w:pPr>
      <w:r w:rsidRPr="004B154B">
        <w:t xml:space="preserve">електрически машини и апарати, електроматериали и техните части; апарати за записване или възпроизвеждане на звук - ръст с 233,8 млн. лв. </w:t>
      </w:r>
      <w:r w:rsidRPr="004B154B">
        <w:rPr>
          <w:lang w:val="en-US"/>
        </w:rPr>
        <w:t>(</w:t>
      </w:r>
      <w:r w:rsidRPr="004B154B">
        <w:t>49,1 %</w:t>
      </w:r>
      <w:r w:rsidRPr="004B154B">
        <w:rPr>
          <w:lang w:val="en-US"/>
        </w:rPr>
        <w:t>)</w:t>
      </w:r>
      <w:r w:rsidRPr="004B154B">
        <w:t>;</w:t>
      </w:r>
    </w:p>
    <w:p w14:paraId="213BB9DB" w14:textId="77777777" w:rsidR="00BD39E0" w:rsidRPr="004B154B" w:rsidRDefault="00BD39E0" w:rsidP="000462C3">
      <w:pPr>
        <w:numPr>
          <w:ilvl w:val="0"/>
          <w:numId w:val="61"/>
        </w:numPr>
        <w:ind w:left="714" w:right="-28" w:hanging="357"/>
        <w:jc w:val="both"/>
      </w:pPr>
      <w:r w:rsidRPr="004B154B">
        <w:t>мазнини и масла от животински или растителен произход; продукти от тяхното разпадане - ръст със 190,7 млн. лв. (321,2 %);</w:t>
      </w:r>
    </w:p>
    <w:p w14:paraId="0B55CF51" w14:textId="52153980" w:rsidR="00BD39E0" w:rsidRPr="004B154B" w:rsidRDefault="00BD39E0" w:rsidP="000462C3">
      <w:pPr>
        <w:numPr>
          <w:ilvl w:val="0"/>
          <w:numId w:val="61"/>
        </w:numPr>
        <w:ind w:left="714" w:right="-28" w:hanging="357"/>
        <w:jc w:val="both"/>
      </w:pPr>
      <w:r w:rsidRPr="004B154B">
        <w:t>ядрени реактори, котли, машини, апарати и механизми - ръст със 127,3 млн. лв. (29,4 %)</w:t>
      </w:r>
      <w:r w:rsidR="00066F77">
        <w:t>.</w:t>
      </w:r>
    </w:p>
    <w:p w14:paraId="75FF1836" w14:textId="209A5D13" w:rsidR="00BD39E0" w:rsidRPr="004B154B" w:rsidRDefault="00BD39E0" w:rsidP="00CD3DB0">
      <w:pPr>
        <w:spacing w:before="120" w:after="120"/>
        <w:ind w:firstLine="709"/>
        <w:jc w:val="both"/>
      </w:pPr>
      <w:r w:rsidRPr="004B154B">
        <w:t>Понижение на начислените суми от ДДС при внос за 2022 г. се наблюдава при стоки за въздухоплаване и космонавтика (5,4 млн. лв., 36,3 %), килими и други подови настилки (5,0 млн. лв., намаление от 22,1 %) и руди, шлаки и пепели (0,7 млн. лв., 36,4 %).</w:t>
      </w:r>
    </w:p>
    <w:p w14:paraId="5650BBE3" w14:textId="3827CAE3" w:rsidR="00BD39E0" w:rsidRPr="004B154B" w:rsidRDefault="00BD39E0" w:rsidP="001238E8">
      <w:pPr>
        <w:ind w:right="-28" w:firstLine="709"/>
        <w:jc w:val="both"/>
      </w:pPr>
      <w:r w:rsidRPr="004B154B">
        <w:t>Разглеждайки декларирания ДДС при внос по групи стоки, съобразно Класификатора на широките икономически категории (BEC), към края на 2022 г. се наблюдава повишение при всички групи като най-високо е увеличението на горива и хранителни напитки. Запазва се тенденцията за ръст на цените на стоките, внесени от трети страни като е отчетено годишно повишение с 31,7 % спрямо 2021 година. Нарастването на индекса на физическите обеми на всички стоки достига 18,7 % на годишна база.</w:t>
      </w:r>
    </w:p>
    <w:p w14:paraId="7244DF6F" w14:textId="77777777" w:rsidR="00BD39E0" w:rsidRPr="004B154B" w:rsidRDefault="00BD39E0" w:rsidP="00BD39E0">
      <w:pPr>
        <w:tabs>
          <w:tab w:val="right" w:pos="9072"/>
        </w:tabs>
        <w:spacing w:after="120"/>
        <w:jc w:val="center"/>
        <w:rPr>
          <w:b/>
          <w:color w:val="000000"/>
        </w:rPr>
      </w:pPr>
      <w:r w:rsidRPr="004B154B">
        <w:rPr>
          <w:b/>
          <w:color w:val="000000"/>
        </w:rPr>
        <w:t>Изменение на декларирания ДДС при внос по групи стоки през 2022 година</w:t>
      </w:r>
    </w:p>
    <w:p w14:paraId="573C9BB6" w14:textId="77777777" w:rsidR="00BD39E0" w:rsidRPr="004B154B" w:rsidRDefault="00BD39E0" w:rsidP="00BD39E0">
      <w:pPr>
        <w:tabs>
          <w:tab w:val="left" w:pos="0"/>
        </w:tabs>
        <w:autoSpaceDE w:val="0"/>
        <w:autoSpaceDN w:val="0"/>
        <w:adjustRightInd w:val="0"/>
        <w:spacing w:after="120"/>
        <w:jc w:val="right"/>
        <w:rPr>
          <w:i/>
        </w:rPr>
      </w:pPr>
      <w:r w:rsidRPr="004B154B">
        <w:t xml:space="preserve">  млн. лв.</w:t>
      </w:r>
      <w:r w:rsidRPr="004B154B">
        <w:rPr>
          <w:i/>
        </w:rPr>
        <w:t xml:space="preserve"> </w:t>
      </w:r>
    </w:p>
    <w:tbl>
      <w:tblPr>
        <w:tblW w:w="9450" w:type="dxa"/>
        <w:tblInd w:w="70" w:type="dxa"/>
        <w:tblLayout w:type="fixed"/>
        <w:tblCellMar>
          <w:left w:w="70" w:type="dxa"/>
          <w:right w:w="70" w:type="dxa"/>
        </w:tblCellMar>
        <w:tblLook w:val="04A0" w:firstRow="1" w:lastRow="0" w:firstColumn="1" w:lastColumn="0" w:noHBand="0" w:noVBand="1"/>
      </w:tblPr>
      <w:tblGrid>
        <w:gridCol w:w="4410"/>
        <w:gridCol w:w="1260"/>
        <w:gridCol w:w="1467"/>
        <w:gridCol w:w="1143"/>
        <w:gridCol w:w="1170"/>
      </w:tblGrid>
      <w:tr w:rsidR="00BD39E0" w:rsidRPr="004B154B" w14:paraId="0EC18E46" w14:textId="77777777" w:rsidTr="00D337DB">
        <w:trPr>
          <w:trHeight w:val="585"/>
        </w:trPr>
        <w:tc>
          <w:tcPr>
            <w:tcW w:w="4410" w:type="dxa"/>
            <w:tcBorders>
              <w:top w:val="double" w:sz="6" w:space="0" w:color="auto"/>
              <w:left w:val="double" w:sz="6" w:space="0" w:color="auto"/>
              <w:bottom w:val="single" w:sz="4" w:space="0" w:color="auto"/>
              <w:right w:val="single" w:sz="4" w:space="0" w:color="auto"/>
            </w:tcBorders>
            <w:shd w:val="clear" w:color="000000" w:fill="C0C0C0"/>
            <w:vAlign w:val="center"/>
            <w:hideMark/>
          </w:tcPr>
          <w:p w14:paraId="4B2E6EA8" w14:textId="77777777" w:rsidR="00BD39E0" w:rsidRPr="004B154B" w:rsidRDefault="00BD39E0" w:rsidP="00D337DB">
            <w:pPr>
              <w:jc w:val="center"/>
              <w:rPr>
                <w:b/>
                <w:bCs/>
              </w:rPr>
            </w:pPr>
            <w:r w:rsidRPr="004B154B">
              <w:rPr>
                <w:b/>
                <w:bCs/>
              </w:rPr>
              <w:t>Групи стоки с начислен ДДС при внос           (млн. лв.)</w:t>
            </w:r>
          </w:p>
        </w:tc>
        <w:tc>
          <w:tcPr>
            <w:tcW w:w="1260" w:type="dxa"/>
            <w:tcBorders>
              <w:top w:val="double" w:sz="6" w:space="0" w:color="auto"/>
              <w:left w:val="nil"/>
              <w:bottom w:val="single" w:sz="4" w:space="0" w:color="auto"/>
              <w:right w:val="single" w:sz="4" w:space="0" w:color="auto"/>
            </w:tcBorders>
            <w:shd w:val="clear" w:color="000000" w:fill="C0C0C0"/>
            <w:vAlign w:val="center"/>
          </w:tcPr>
          <w:p w14:paraId="4F57FF31" w14:textId="77777777" w:rsidR="00BD39E0" w:rsidRPr="004B154B" w:rsidRDefault="00BD39E0" w:rsidP="00D337DB">
            <w:pPr>
              <w:jc w:val="center"/>
            </w:pPr>
            <w:r w:rsidRPr="004B154B">
              <w:t>Отчет 31.12.2021</w:t>
            </w:r>
          </w:p>
        </w:tc>
        <w:tc>
          <w:tcPr>
            <w:tcW w:w="1467" w:type="dxa"/>
            <w:tcBorders>
              <w:top w:val="double" w:sz="6" w:space="0" w:color="auto"/>
              <w:left w:val="single" w:sz="4" w:space="0" w:color="auto"/>
              <w:bottom w:val="single" w:sz="4" w:space="0" w:color="auto"/>
              <w:right w:val="single" w:sz="4" w:space="0" w:color="auto"/>
            </w:tcBorders>
            <w:shd w:val="clear" w:color="000000" w:fill="C0C0C0"/>
            <w:vAlign w:val="center"/>
            <w:hideMark/>
          </w:tcPr>
          <w:p w14:paraId="7DE5E4AC" w14:textId="77777777" w:rsidR="00BD39E0" w:rsidRPr="004B154B" w:rsidRDefault="00BD39E0" w:rsidP="00D337DB">
            <w:pPr>
              <w:jc w:val="center"/>
            </w:pPr>
            <w:r w:rsidRPr="004B154B">
              <w:t>Отчет 31.12.2022</w:t>
            </w:r>
          </w:p>
        </w:tc>
        <w:tc>
          <w:tcPr>
            <w:tcW w:w="1143" w:type="dxa"/>
            <w:tcBorders>
              <w:top w:val="double" w:sz="6" w:space="0" w:color="auto"/>
              <w:left w:val="nil"/>
              <w:bottom w:val="single" w:sz="4" w:space="0" w:color="auto"/>
              <w:right w:val="single" w:sz="4" w:space="0" w:color="auto"/>
            </w:tcBorders>
            <w:shd w:val="clear" w:color="000000" w:fill="C0C0C0"/>
            <w:vAlign w:val="center"/>
            <w:hideMark/>
          </w:tcPr>
          <w:p w14:paraId="77828D92" w14:textId="77777777" w:rsidR="00BD39E0" w:rsidRPr="004B154B" w:rsidRDefault="00BD39E0" w:rsidP="00D337DB">
            <w:pPr>
              <w:jc w:val="center"/>
              <w:rPr>
                <w:lang w:val="en-US"/>
              </w:rPr>
            </w:pPr>
            <w:r w:rsidRPr="004B154B">
              <w:t>Относителен дял</w:t>
            </w:r>
            <w:r w:rsidRPr="004B154B">
              <w:rPr>
                <w:lang w:val="en-US"/>
              </w:rPr>
              <w:t xml:space="preserve"> </w:t>
            </w:r>
          </w:p>
        </w:tc>
        <w:tc>
          <w:tcPr>
            <w:tcW w:w="1170" w:type="dxa"/>
            <w:tcBorders>
              <w:top w:val="double" w:sz="6" w:space="0" w:color="auto"/>
              <w:left w:val="nil"/>
              <w:bottom w:val="single" w:sz="4" w:space="0" w:color="auto"/>
              <w:right w:val="double" w:sz="6" w:space="0" w:color="auto"/>
            </w:tcBorders>
            <w:shd w:val="clear" w:color="000000" w:fill="C0C0C0"/>
            <w:vAlign w:val="center"/>
            <w:hideMark/>
          </w:tcPr>
          <w:p w14:paraId="667E1A3D" w14:textId="77777777" w:rsidR="00BD39E0" w:rsidRPr="004B154B" w:rsidRDefault="00BD39E0" w:rsidP="00D337DB">
            <w:pPr>
              <w:jc w:val="center"/>
            </w:pPr>
            <w:r w:rsidRPr="004B154B">
              <w:t>Ръст 2022/2021</w:t>
            </w:r>
          </w:p>
        </w:tc>
      </w:tr>
      <w:tr w:rsidR="00BD39E0" w:rsidRPr="004B154B" w14:paraId="347636CC" w14:textId="77777777" w:rsidTr="00D337DB">
        <w:trPr>
          <w:trHeight w:val="306"/>
        </w:trPr>
        <w:tc>
          <w:tcPr>
            <w:tcW w:w="4410" w:type="dxa"/>
            <w:tcBorders>
              <w:top w:val="nil"/>
              <w:left w:val="double" w:sz="6" w:space="0" w:color="auto"/>
              <w:bottom w:val="single" w:sz="4" w:space="0" w:color="auto"/>
              <w:right w:val="single" w:sz="4" w:space="0" w:color="auto"/>
            </w:tcBorders>
            <w:shd w:val="clear" w:color="auto" w:fill="auto"/>
            <w:vAlign w:val="center"/>
            <w:hideMark/>
          </w:tcPr>
          <w:p w14:paraId="327BCD6D" w14:textId="77777777" w:rsidR="00BD39E0" w:rsidRPr="004B154B" w:rsidRDefault="00BD39E0" w:rsidP="00D337DB">
            <w:pPr>
              <w:rPr>
                <w:i/>
              </w:rPr>
            </w:pPr>
            <w:r w:rsidRPr="004B154B">
              <w:rPr>
                <w:i/>
              </w:rPr>
              <w:t xml:space="preserve">Промишлени доставки </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28498B3" w14:textId="77777777" w:rsidR="00BD39E0" w:rsidRPr="004B154B" w:rsidRDefault="00BD39E0" w:rsidP="00D337DB">
            <w:pPr>
              <w:spacing w:line="276" w:lineRule="auto"/>
              <w:jc w:val="right"/>
            </w:pPr>
            <w:r w:rsidRPr="004B154B">
              <w:t>1,557.1</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14:paraId="43E2FD85" w14:textId="77777777" w:rsidR="00BD39E0" w:rsidRPr="004B154B" w:rsidRDefault="00BD39E0" w:rsidP="00D337DB">
            <w:pPr>
              <w:spacing w:line="276" w:lineRule="auto"/>
              <w:jc w:val="right"/>
            </w:pPr>
            <w:r w:rsidRPr="004B154B">
              <w:t>2,176.0</w:t>
            </w:r>
          </w:p>
        </w:tc>
        <w:tc>
          <w:tcPr>
            <w:tcW w:w="1143" w:type="dxa"/>
            <w:tcBorders>
              <w:top w:val="single" w:sz="4" w:space="0" w:color="auto"/>
              <w:left w:val="nil"/>
              <w:bottom w:val="single" w:sz="4" w:space="0" w:color="auto"/>
              <w:right w:val="single" w:sz="4" w:space="0" w:color="auto"/>
            </w:tcBorders>
            <w:shd w:val="clear" w:color="auto" w:fill="auto"/>
            <w:vAlign w:val="bottom"/>
            <w:hideMark/>
          </w:tcPr>
          <w:p w14:paraId="76249FC5" w14:textId="77777777" w:rsidR="00BD39E0" w:rsidRPr="004B154B" w:rsidRDefault="00BD39E0" w:rsidP="00D337DB">
            <w:pPr>
              <w:spacing w:line="276" w:lineRule="auto"/>
              <w:jc w:val="right"/>
              <w:rPr>
                <w:szCs w:val="20"/>
              </w:rPr>
            </w:pPr>
            <w:r w:rsidRPr="004B154B">
              <w:rPr>
                <w:szCs w:val="20"/>
              </w:rPr>
              <w:t>29.9</w:t>
            </w:r>
          </w:p>
        </w:tc>
        <w:tc>
          <w:tcPr>
            <w:tcW w:w="1170" w:type="dxa"/>
            <w:tcBorders>
              <w:top w:val="single" w:sz="4" w:space="0" w:color="auto"/>
              <w:left w:val="nil"/>
              <w:bottom w:val="single" w:sz="4" w:space="0" w:color="auto"/>
              <w:right w:val="double" w:sz="4" w:space="0" w:color="auto"/>
            </w:tcBorders>
            <w:shd w:val="clear" w:color="auto" w:fill="auto"/>
            <w:vAlign w:val="bottom"/>
            <w:hideMark/>
          </w:tcPr>
          <w:p w14:paraId="76123B34" w14:textId="77777777" w:rsidR="00BD39E0" w:rsidRPr="004B154B" w:rsidRDefault="00BD39E0" w:rsidP="00D337DB">
            <w:pPr>
              <w:spacing w:line="276" w:lineRule="auto"/>
              <w:jc w:val="right"/>
            </w:pPr>
            <w:r w:rsidRPr="004B154B">
              <w:t>39.7 %</w:t>
            </w:r>
          </w:p>
        </w:tc>
      </w:tr>
      <w:tr w:rsidR="00BD39E0" w:rsidRPr="004B154B" w14:paraId="49DF70C6" w14:textId="77777777" w:rsidTr="00D337DB">
        <w:trPr>
          <w:trHeight w:val="306"/>
        </w:trPr>
        <w:tc>
          <w:tcPr>
            <w:tcW w:w="4410" w:type="dxa"/>
            <w:tcBorders>
              <w:top w:val="nil"/>
              <w:left w:val="double" w:sz="6" w:space="0" w:color="auto"/>
              <w:bottom w:val="single" w:sz="4" w:space="0" w:color="auto"/>
              <w:right w:val="single" w:sz="4" w:space="0" w:color="auto"/>
            </w:tcBorders>
            <w:shd w:val="clear" w:color="auto" w:fill="auto"/>
            <w:vAlign w:val="center"/>
            <w:hideMark/>
          </w:tcPr>
          <w:p w14:paraId="36210228" w14:textId="77777777" w:rsidR="00BD39E0" w:rsidRPr="004B154B" w:rsidRDefault="00BD39E0" w:rsidP="00D337DB">
            <w:pPr>
              <w:rPr>
                <w:i/>
              </w:rPr>
            </w:pPr>
            <w:r w:rsidRPr="004B154B">
              <w:rPr>
                <w:i/>
              </w:rPr>
              <w:t>Горива и смазочни материали</w:t>
            </w:r>
          </w:p>
        </w:tc>
        <w:tc>
          <w:tcPr>
            <w:tcW w:w="1260" w:type="dxa"/>
            <w:tcBorders>
              <w:top w:val="nil"/>
              <w:left w:val="single" w:sz="4" w:space="0" w:color="auto"/>
              <w:bottom w:val="single" w:sz="4" w:space="0" w:color="auto"/>
              <w:right w:val="single" w:sz="4" w:space="0" w:color="auto"/>
            </w:tcBorders>
            <w:shd w:val="clear" w:color="auto" w:fill="auto"/>
            <w:vAlign w:val="center"/>
          </w:tcPr>
          <w:p w14:paraId="2B5C8E67" w14:textId="77777777" w:rsidR="00BD39E0" w:rsidRPr="004B154B" w:rsidRDefault="00BD39E0" w:rsidP="00D337DB">
            <w:pPr>
              <w:spacing w:line="276" w:lineRule="auto"/>
              <w:jc w:val="right"/>
            </w:pPr>
            <w:r w:rsidRPr="004B154B">
              <w:t>913.8</w:t>
            </w:r>
          </w:p>
        </w:tc>
        <w:tc>
          <w:tcPr>
            <w:tcW w:w="1467" w:type="dxa"/>
            <w:tcBorders>
              <w:top w:val="nil"/>
              <w:left w:val="nil"/>
              <w:bottom w:val="single" w:sz="4" w:space="0" w:color="auto"/>
              <w:right w:val="single" w:sz="4" w:space="0" w:color="auto"/>
            </w:tcBorders>
            <w:shd w:val="clear" w:color="auto" w:fill="auto"/>
            <w:vAlign w:val="center"/>
            <w:hideMark/>
          </w:tcPr>
          <w:p w14:paraId="18CFBF0A" w14:textId="77777777" w:rsidR="00BD39E0" w:rsidRPr="004B154B" w:rsidRDefault="00BD39E0" w:rsidP="00D337DB">
            <w:pPr>
              <w:spacing w:line="276" w:lineRule="auto"/>
              <w:jc w:val="right"/>
            </w:pPr>
            <w:r w:rsidRPr="004B154B">
              <w:t>2,018.2</w:t>
            </w:r>
          </w:p>
        </w:tc>
        <w:tc>
          <w:tcPr>
            <w:tcW w:w="1143" w:type="dxa"/>
            <w:tcBorders>
              <w:top w:val="nil"/>
              <w:left w:val="nil"/>
              <w:bottom w:val="single" w:sz="4" w:space="0" w:color="auto"/>
              <w:right w:val="single" w:sz="4" w:space="0" w:color="auto"/>
            </w:tcBorders>
            <w:shd w:val="clear" w:color="auto" w:fill="auto"/>
            <w:vAlign w:val="bottom"/>
            <w:hideMark/>
          </w:tcPr>
          <w:p w14:paraId="74E0B041" w14:textId="77777777" w:rsidR="00BD39E0" w:rsidRPr="004B154B" w:rsidRDefault="00BD39E0" w:rsidP="00D337DB">
            <w:pPr>
              <w:spacing w:line="276" w:lineRule="auto"/>
              <w:jc w:val="right"/>
              <w:rPr>
                <w:szCs w:val="20"/>
              </w:rPr>
            </w:pPr>
            <w:r w:rsidRPr="004B154B">
              <w:rPr>
                <w:szCs w:val="20"/>
              </w:rPr>
              <w:t>27.7</w:t>
            </w:r>
          </w:p>
        </w:tc>
        <w:tc>
          <w:tcPr>
            <w:tcW w:w="1170" w:type="dxa"/>
            <w:tcBorders>
              <w:top w:val="nil"/>
              <w:left w:val="nil"/>
              <w:bottom w:val="single" w:sz="4" w:space="0" w:color="auto"/>
              <w:right w:val="double" w:sz="4" w:space="0" w:color="auto"/>
            </w:tcBorders>
            <w:shd w:val="clear" w:color="auto" w:fill="auto"/>
            <w:vAlign w:val="bottom"/>
            <w:hideMark/>
          </w:tcPr>
          <w:p w14:paraId="6AD6B4B5" w14:textId="77777777" w:rsidR="00BD39E0" w:rsidRPr="004B154B" w:rsidRDefault="00BD39E0" w:rsidP="00D337DB">
            <w:pPr>
              <w:spacing w:line="276" w:lineRule="auto"/>
              <w:jc w:val="right"/>
            </w:pPr>
            <w:r w:rsidRPr="004B154B">
              <w:t>120.9 %</w:t>
            </w:r>
          </w:p>
        </w:tc>
      </w:tr>
      <w:tr w:rsidR="00BD39E0" w:rsidRPr="004B154B" w14:paraId="7BCD1689" w14:textId="77777777" w:rsidTr="00D337DB">
        <w:trPr>
          <w:trHeight w:val="232"/>
        </w:trPr>
        <w:tc>
          <w:tcPr>
            <w:tcW w:w="4410" w:type="dxa"/>
            <w:tcBorders>
              <w:top w:val="nil"/>
              <w:left w:val="double" w:sz="6" w:space="0" w:color="auto"/>
              <w:bottom w:val="single" w:sz="4" w:space="0" w:color="auto"/>
              <w:right w:val="single" w:sz="4" w:space="0" w:color="auto"/>
            </w:tcBorders>
            <w:shd w:val="clear" w:color="auto" w:fill="auto"/>
            <w:vAlign w:val="center"/>
            <w:hideMark/>
          </w:tcPr>
          <w:p w14:paraId="1BF640DC" w14:textId="77777777" w:rsidR="00BD39E0" w:rsidRPr="004B154B" w:rsidRDefault="00BD39E0" w:rsidP="00D337DB">
            <w:pPr>
              <w:rPr>
                <w:i/>
              </w:rPr>
            </w:pPr>
            <w:r w:rsidRPr="004B154B">
              <w:rPr>
                <w:i/>
              </w:rPr>
              <w:t xml:space="preserve">Инвестиционни стоки  </w:t>
            </w:r>
          </w:p>
        </w:tc>
        <w:tc>
          <w:tcPr>
            <w:tcW w:w="1260" w:type="dxa"/>
            <w:tcBorders>
              <w:top w:val="nil"/>
              <w:left w:val="single" w:sz="4" w:space="0" w:color="auto"/>
              <w:bottom w:val="single" w:sz="4" w:space="0" w:color="auto"/>
              <w:right w:val="single" w:sz="4" w:space="0" w:color="auto"/>
            </w:tcBorders>
            <w:shd w:val="clear" w:color="auto" w:fill="auto"/>
            <w:vAlign w:val="center"/>
          </w:tcPr>
          <w:p w14:paraId="51230519" w14:textId="77777777" w:rsidR="00BD39E0" w:rsidRPr="004B154B" w:rsidRDefault="00BD39E0" w:rsidP="00D337DB">
            <w:pPr>
              <w:spacing w:line="276" w:lineRule="auto"/>
              <w:jc w:val="right"/>
            </w:pPr>
            <w:r w:rsidRPr="004B154B">
              <w:t>869.7</w:t>
            </w:r>
          </w:p>
        </w:tc>
        <w:tc>
          <w:tcPr>
            <w:tcW w:w="1467" w:type="dxa"/>
            <w:tcBorders>
              <w:top w:val="nil"/>
              <w:left w:val="nil"/>
              <w:bottom w:val="single" w:sz="4" w:space="0" w:color="auto"/>
              <w:right w:val="single" w:sz="4" w:space="0" w:color="auto"/>
            </w:tcBorders>
            <w:shd w:val="clear" w:color="auto" w:fill="auto"/>
            <w:vAlign w:val="center"/>
            <w:hideMark/>
          </w:tcPr>
          <w:p w14:paraId="47876D5E" w14:textId="77777777" w:rsidR="00BD39E0" w:rsidRPr="004B154B" w:rsidRDefault="00BD39E0" w:rsidP="00D337DB">
            <w:pPr>
              <w:spacing w:line="276" w:lineRule="auto"/>
              <w:jc w:val="right"/>
            </w:pPr>
            <w:r w:rsidRPr="004B154B">
              <w:t>1,215.7</w:t>
            </w:r>
          </w:p>
        </w:tc>
        <w:tc>
          <w:tcPr>
            <w:tcW w:w="1143" w:type="dxa"/>
            <w:tcBorders>
              <w:top w:val="nil"/>
              <w:left w:val="nil"/>
              <w:bottom w:val="single" w:sz="4" w:space="0" w:color="auto"/>
              <w:right w:val="single" w:sz="4" w:space="0" w:color="auto"/>
            </w:tcBorders>
            <w:shd w:val="clear" w:color="auto" w:fill="auto"/>
            <w:vAlign w:val="bottom"/>
            <w:hideMark/>
          </w:tcPr>
          <w:p w14:paraId="317B8E75" w14:textId="77777777" w:rsidR="00BD39E0" w:rsidRPr="004B154B" w:rsidRDefault="00BD39E0" w:rsidP="00D337DB">
            <w:pPr>
              <w:spacing w:line="276" w:lineRule="auto"/>
              <w:jc w:val="right"/>
              <w:rPr>
                <w:szCs w:val="20"/>
              </w:rPr>
            </w:pPr>
            <w:r w:rsidRPr="004B154B">
              <w:rPr>
                <w:szCs w:val="20"/>
              </w:rPr>
              <w:t>16.7</w:t>
            </w:r>
          </w:p>
        </w:tc>
        <w:tc>
          <w:tcPr>
            <w:tcW w:w="1170" w:type="dxa"/>
            <w:tcBorders>
              <w:top w:val="nil"/>
              <w:left w:val="nil"/>
              <w:bottom w:val="single" w:sz="4" w:space="0" w:color="auto"/>
              <w:right w:val="double" w:sz="4" w:space="0" w:color="auto"/>
            </w:tcBorders>
            <w:shd w:val="clear" w:color="auto" w:fill="auto"/>
            <w:vAlign w:val="bottom"/>
            <w:hideMark/>
          </w:tcPr>
          <w:p w14:paraId="6C14FA24" w14:textId="77777777" w:rsidR="00BD39E0" w:rsidRPr="004B154B" w:rsidRDefault="00BD39E0" w:rsidP="00D337DB">
            <w:pPr>
              <w:spacing w:line="276" w:lineRule="auto"/>
              <w:jc w:val="right"/>
            </w:pPr>
            <w:r w:rsidRPr="004B154B">
              <w:t>39.8 %</w:t>
            </w:r>
          </w:p>
        </w:tc>
      </w:tr>
      <w:tr w:rsidR="00BD39E0" w:rsidRPr="004B154B" w14:paraId="71BE1BBD" w14:textId="77777777" w:rsidTr="00D337DB">
        <w:trPr>
          <w:trHeight w:val="306"/>
        </w:trPr>
        <w:tc>
          <w:tcPr>
            <w:tcW w:w="4410" w:type="dxa"/>
            <w:tcBorders>
              <w:top w:val="nil"/>
              <w:left w:val="double" w:sz="6" w:space="0" w:color="auto"/>
              <w:bottom w:val="single" w:sz="4" w:space="0" w:color="auto"/>
              <w:right w:val="single" w:sz="4" w:space="0" w:color="auto"/>
            </w:tcBorders>
            <w:shd w:val="clear" w:color="auto" w:fill="auto"/>
            <w:vAlign w:val="center"/>
            <w:hideMark/>
          </w:tcPr>
          <w:p w14:paraId="05E66F7F" w14:textId="77777777" w:rsidR="00BD39E0" w:rsidRPr="004B154B" w:rsidRDefault="00BD39E0" w:rsidP="00D337DB">
            <w:pPr>
              <w:rPr>
                <w:i/>
              </w:rPr>
            </w:pPr>
            <w:r w:rsidRPr="004B154B">
              <w:rPr>
                <w:i/>
              </w:rPr>
              <w:t>Транспортно оборудване</w:t>
            </w:r>
          </w:p>
        </w:tc>
        <w:tc>
          <w:tcPr>
            <w:tcW w:w="1260" w:type="dxa"/>
            <w:tcBorders>
              <w:top w:val="nil"/>
              <w:left w:val="single" w:sz="4" w:space="0" w:color="auto"/>
              <w:bottom w:val="single" w:sz="4" w:space="0" w:color="auto"/>
              <w:right w:val="single" w:sz="4" w:space="0" w:color="auto"/>
            </w:tcBorders>
            <w:shd w:val="clear" w:color="auto" w:fill="auto"/>
            <w:vAlign w:val="bottom"/>
          </w:tcPr>
          <w:p w14:paraId="74501A00" w14:textId="77777777" w:rsidR="00BD39E0" w:rsidRPr="004B154B" w:rsidRDefault="00BD39E0" w:rsidP="00D337DB">
            <w:pPr>
              <w:spacing w:line="276" w:lineRule="auto"/>
              <w:jc w:val="right"/>
              <w:rPr>
                <w:szCs w:val="20"/>
              </w:rPr>
            </w:pPr>
            <w:r w:rsidRPr="004B154B">
              <w:rPr>
                <w:szCs w:val="20"/>
              </w:rPr>
              <w:t>316.7</w:t>
            </w:r>
          </w:p>
        </w:tc>
        <w:tc>
          <w:tcPr>
            <w:tcW w:w="1467" w:type="dxa"/>
            <w:tcBorders>
              <w:top w:val="nil"/>
              <w:left w:val="nil"/>
              <w:bottom w:val="single" w:sz="4" w:space="0" w:color="auto"/>
              <w:right w:val="single" w:sz="4" w:space="0" w:color="auto"/>
            </w:tcBorders>
            <w:shd w:val="clear" w:color="auto" w:fill="auto"/>
            <w:vAlign w:val="bottom"/>
            <w:hideMark/>
          </w:tcPr>
          <w:p w14:paraId="40025B0D" w14:textId="77777777" w:rsidR="00BD39E0" w:rsidRPr="004B154B" w:rsidRDefault="00BD39E0" w:rsidP="00D337DB">
            <w:pPr>
              <w:spacing w:line="276" w:lineRule="auto"/>
              <w:jc w:val="right"/>
              <w:rPr>
                <w:szCs w:val="20"/>
              </w:rPr>
            </w:pPr>
            <w:r w:rsidRPr="004B154B">
              <w:rPr>
                <w:szCs w:val="20"/>
              </w:rPr>
              <w:t>427.8</w:t>
            </w:r>
          </w:p>
        </w:tc>
        <w:tc>
          <w:tcPr>
            <w:tcW w:w="1143" w:type="dxa"/>
            <w:tcBorders>
              <w:top w:val="nil"/>
              <w:left w:val="nil"/>
              <w:bottom w:val="single" w:sz="4" w:space="0" w:color="auto"/>
              <w:right w:val="single" w:sz="4" w:space="0" w:color="auto"/>
            </w:tcBorders>
            <w:shd w:val="clear" w:color="auto" w:fill="auto"/>
            <w:vAlign w:val="bottom"/>
            <w:hideMark/>
          </w:tcPr>
          <w:p w14:paraId="356BCEAD" w14:textId="77777777" w:rsidR="00BD39E0" w:rsidRPr="004B154B" w:rsidRDefault="00BD39E0" w:rsidP="00D337DB">
            <w:pPr>
              <w:spacing w:line="276" w:lineRule="auto"/>
              <w:jc w:val="right"/>
              <w:rPr>
                <w:szCs w:val="20"/>
              </w:rPr>
            </w:pPr>
            <w:r w:rsidRPr="004B154B">
              <w:rPr>
                <w:szCs w:val="20"/>
              </w:rPr>
              <w:t>5.9</w:t>
            </w:r>
          </w:p>
        </w:tc>
        <w:tc>
          <w:tcPr>
            <w:tcW w:w="1170" w:type="dxa"/>
            <w:tcBorders>
              <w:top w:val="nil"/>
              <w:left w:val="nil"/>
              <w:bottom w:val="single" w:sz="4" w:space="0" w:color="auto"/>
              <w:right w:val="double" w:sz="4" w:space="0" w:color="auto"/>
            </w:tcBorders>
            <w:shd w:val="clear" w:color="auto" w:fill="auto"/>
            <w:vAlign w:val="bottom"/>
            <w:hideMark/>
          </w:tcPr>
          <w:p w14:paraId="03E48B3B" w14:textId="77777777" w:rsidR="00BD39E0" w:rsidRPr="004B154B" w:rsidRDefault="00BD39E0" w:rsidP="00D337DB">
            <w:pPr>
              <w:spacing w:line="276" w:lineRule="auto"/>
              <w:jc w:val="right"/>
            </w:pPr>
            <w:r w:rsidRPr="004B154B">
              <w:t>35.1 %</w:t>
            </w:r>
          </w:p>
        </w:tc>
      </w:tr>
      <w:tr w:rsidR="00BD39E0" w:rsidRPr="004B154B" w14:paraId="6EC6F4C2" w14:textId="77777777" w:rsidTr="00D337DB">
        <w:trPr>
          <w:trHeight w:val="306"/>
        </w:trPr>
        <w:tc>
          <w:tcPr>
            <w:tcW w:w="4410" w:type="dxa"/>
            <w:tcBorders>
              <w:top w:val="nil"/>
              <w:left w:val="double" w:sz="6" w:space="0" w:color="auto"/>
              <w:bottom w:val="single" w:sz="4" w:space="0" w:color="auto"/>
              <w:right w:val="single" w:sz="4" w:space="0" w:color="auto"/>
            </w:tcBorders>
            <w:shd w:val="clear" w:color="auto" w:fill="auto"/>
            <w:vAlign w:val="center"/>
            <w:hideMark/>
          </w:tcPr>
          <w:p w14:paraId="253B228A" w14:textId="77777777" w:rsidR="00BD39E0" w:rsidRPr="004B154B" w:rsidRDefault="00BD39E0" w:rsidP="00D337DB">
            <w:pPr>
              <w:ind w:right="-73"/>
              <w:rPr>
                <w:i/>
              </w:rPr>
            </w:pPr>
            <w:r w:rsidRPr="004B154B">
              <w:rPr>
                <w:i/>
              </w:rPr>
              <w:t>Потребителски стоки, храни и напитки и др.</w:t>
            </w:r>
          </w:p>
        </w:tc>
        <w:tc>
          <w:tcPr>
            <w:tcW w:w="1260" w:type="dxa"/>
            <w:tcBorders>
              <w:top w:val="nil"/>
              <w:left w:val="single" w:sz="4" w:space="0" w:color="auto"/>
              <w:bottom w:val="single" w:sz="4" w:space="0" w:color="auto"/>
              <w:right w:val="single" w:sz="4" w:space="0" w:color="auto"/>
            </w:tcBorders>
            <w:shd w:val="clear" w:color="auto" w:fill="auto"/>
            <w:vAlign w:val="center"/>
          </w:tcPr>
          <w:p w14:paraId="68A8CBCA" w14:textId="77777777" w:rsidR="00BD39E0" w:rsidRPr="004B154B" w:rsidRDefault="00BD39E0" w:rsidP="00D337DB">
            <w:pPr>
              <w:spacing w:line="276" w:lineRule="auto"/>
              <w:jc w:val="right"/>
            </w:pPr>
            <w:r w:rsidRPr="004B154B">
              <w:t>868.7</w:t>
            </w:r>
          </w:p>
        </w:tc>
        <w:tc>
          <w:tcPr>
            <w:tcW w:w="1467" w:type="dxa"/>
            <w:tcBorders>
              <w:top w:val="nil"/>
              <w:left w:val="nil"/>
              <w:bottom w:val="single" w:sz="4" w:space="0" w:color="auto"/>
              <w:right w:val="single" w:sz="4" w:space="0" w:color="auto"/>
            </w:tcBorders>
            <w:shd w:val="clear" w:color="auto" w:fill="auto"/>
            <w:vAlign w:val="center"/>
            <w:hideMark/>
          </w:tcPr>
          <w:p w14:paraId="2E9F0569" w14:textId="77777777" w:rsidR="00BD39E0" w:rsidRPr="004B154B" w:rsidRDefault="00BD39E0" w:rsidP="00D337DB">
            <w:pPr>
              <w:spacing w:line="276" w:lineRule="auto"/>
              <w:jc w:val="right"/>
            </w:pPr>
            <w:r w:rsidRPr="004B154B">
              <w:t>1,444.9</w:t>
            </w:r>
          </w:p>
        </w:tc>
        <w:tc>
          <w:tcPr>
            <w:tcW w:w="1143" w:type="dxa"/>
            <w:tcBorders>
              <w:top w:val="nil"/>
              <w:left w:val="nil"/>
              <w:bottom w:val="single" w:sz="4" w:space="0" w:color="auto"/>
              <w:right w:val="single" w:sz="4" w:space="0" w:color="auto"/>
            </w:tcBorders>
            <w:shd w:val="clear" w:color="auto" w:fill="auto"/>
            <w:vAlign w:val="bottom"/>
            <w:hideMark/>
          </w:tcPr>
          <w:p w14:paraId="259F5EBE" w14:textId="77777777" w:rsidR="00BD39E0" w:rsidRPr="004B154B" w:rsidRDefault="00BD39E0" w:rsidP="00D337DB">
            <w:pPr>
              <w:spacing w:line="276" w:lineRule="auto"/>
              <w:jc w:val="right"/>
              <w:rPr>
                <w:szCs w:val="20"/>
              </w:rPr>
            </w:pPr>
            <w:r w:rsidRPr="004B154B">
              <w:rPr>
                <w:szCs w:val="20"/>
              </w:rPr>
              <w:t>19.8</w:t>
            </w:r>
          </w:p>
        </w:tc>
        <w:tc>
          <w:tcPr>
            <w:tcW w:w="1170" w:type="dxa"/>
            <w:tcBorders>
              <w:top w:val="nil"/>
              <w:left w:val="nil"/>
              <w:bottom w:val="single" w:sz="4" w:space="0" w:color="auto"/>
              <w:right w:val="double" w:sz="4" w:space="0" w:color="auto"/>
            </w:tcBorders>
            <w:shd w:val="clear" w:color="auto" w:fill="auto"/>
            <w:vAlign w:val="bottom"/>
            <w:hideMark/>
          </w:tcPr>
          <w:p w14:paraId="6E027171" w14:textId="77777777" w:rsidR="00BD39E0" w:rsidRPr="004B154B" w:rsidRDefault="00BD39E0" w:rsidP="00D337DB">
            <w:pPr>
              <w:spacing w:line="276" w:lineRule="auto"/>
              <w:jc w:val="right"/>
            </w:pPr>
            <w:r w:rsidRPr="004B154B">
              <w:t>66.3 %</w:t>
            </w:r>
          </w:p>
        </w:tc>
      </w:tr>
      <w:tr w:rsidR="00BD39E0" w:rsidRPr="004B154B" w14:paraId="3EE7856C" w14:textId="77777777" w:rsidTr="00D337DB">
        <w:trPr>
          <w:trHeight w:val="306"/>
        </w:trPr>
        <w:tc>
          <w:tcPr>
            <w:tcW w:w="4410" w:type="dxa"/>
            <w:tcBorders>
              <w:top w:val="nil"/>
              <w:left w:val="double" w:sz="6" w:space="0" w:color="auto"/>
              <w:bottom w:val="single" w:sz="4" w:space="0" w:color="auto"/>
              <w:right w:val="single" w:sz="4" w:space="0" w:color="auto"/>
            </w:tcBorders>
            <w:shd w:val="clear" w:color="auto" w:fill="auto"/>
            <w:vAlign w:val="center"/>
            <w:hideMark/>
          </w:tcPr>
          <w:p w14:paraId="61A8A84A" w14:textId="77777777" w:rsidR="00BD39E0" w:rsidRPr="004B154B" w:rsidRDefault="00BD39E0" w:rsidP="00D337DB">
            <w:pPr>
              <w:rPr>
                <w:i/>
              </w:rPr>
            </w:pPr>
            <w:r w:rsidRPr="004B154B">
              <w:rPr>
                <w:i/>
              </w:rPr>
              <w:t xml:space="preserve">   </w:t>
            </w:r>
            <w:r w:rsidRPr="004B154B">
              <w:rPr>
                <w:b/>
                <w:bCs/>
                <w:i/>
              </w:rPr>
              <w:t>Начислен ДДС от внос</w:t>
            </w:r>
          </w:p>
        </w:tc>
        <w:tc>
          <w:tcPr>
            <w:tcW w:w="1260" w:type="dxa"/>
            <w:tcBorders>
              <w:top w:val="nil"/>
              <w:left w:val="single" w:sz="4" w:space="0" w:color="auto"/>
              <w:bottom w:val="single" w:sz="4" w:space="0" w:color="auto"/>
              <w:right w:val="single" w:sz="4" w:space="0" w:color="auto"/>
            </w:tcBorders>
            <w:shd w:val="clear" w:color="000000" w:fill="DCE6F1"/>
            <w:vAlign w:val="bottom"/>
          </w:tcPr>
          <w:p w14:paraId="1E4D1BCA" w14:textId="77777777" w:rsidR="00BD39E0" w:rsidRPr="004B154B" w:rsidRDefault="00BD39E0" w:rsidP="00D337DB">
            <w:pPr>
              <w:spacing w:line="276" w:lineRule="auto"/>
              <w:jc w:val="right"/>
              <w:rPr>
                <w:b/>
                <w:bCs/>
              </w:rPr>
            </w:pPr>
            <w:r w:rsidRPr="004B154B">
              <w:rPr>
                <w:b/>
                <w:bCs/>
              </w:rPr>
              <w:t>4,526.0</w:t>
            </w:r>
          </w:p>
        </w:tc>
        <w:tc>
          <w:tcPr>
            <w:tcW w:w="1467" w:type="dxa"/>
            <w:tcBorders>
              <w:top w:val="nil"/>
              <w:left w:val="nil"/>
              <w:bottom w:val="single" w:sz="4" w:space="0" w:color="auto"/>
              <w:right w:val="single" w:sz="4" w:space="0" w:color="auto"/>
            </w:tcBorders>
            <w:shd w:val="clear" w:color="000000" w:fill="DCE6F1"/>
            <w:vAlign w:val="bottom"/>
            <w:hideMark/>
          </w:tcPr>
          <w:p w14:paraId="0F2FE65C" w14:textId="77777777" w:rsidR="00BD39E0" w:rsidRPr="004B154B" w:rsidRDefault="00BD39E0" w:rsidP="00D337DB">
            <w:pPr>
              <w:spacing w:line="276" w:lineRule="auto"/>
              <w:jc w:val="right"/>
              <w:rPr>
                <w:b/>
                <w:bCs/>
              </w:rPr>
            </w:pPr>
            <w:r w:rsidRPr="004B154B">
              <w:rPr>
                <w:b/>
                <w:bCs/>
              </w:rPr>
              <w:t>7,282.6</w:t>
            </w:r>
          </w:p>
        </w:tc>
        <w:tc>
          <w:tcPr>
            <w:tcW w:w="1143" w:type="dxa"/>
            <w:tcBorders>
              <w:top w:val="nil"/>
              <w:left w:val="nil"/>
              <w:bottom w:val="single" w:sz="4" w:space="0" w:color="auto"/>
              <w:right w:val="nil"/>
            </w:tcBorders>
            <w:shd w:val="clear" w:color="auto" w:fill="auto"/>
            <w:vAlign w:val="bottom"/>
            <w:hideMark/>
          </w:tcPr>
          <w:p w14:paraId="3BA4FFF5" w14:textId="77777777" w:rsidR="00BD39E0" w:rsidRPr="004B154B" w:rsidRDefault="00BD39E0" w:rsidP="00D337DB">
            <w:pPr>
              <w:spacing w:line="276" w:lineRule="auto"/>
              <w:jc w:val="right"/>
              <w:rPr>
                <w:b/>
              </w:rPr>
            </w:pPr>
            <w:r w:rsidRPr="004B154B">
              <w:rPr>
                <w:b/>
              </w:rPr>
              <w:t>100.0</w:t>
            </w:r>
          </w:p>
        </w:tc>
        <w:tc>
          <w:tcPr>
            <w:tcW w:w="1170" w:type="dxa"/>
            <w:tcBorders>
              <w:top w:val="nil"/>
              <w:left w:val="single" w:sz="4" w:space="0" w:color="auto"/>
              <w:bottom w:val="single" w:sz="4" w:space="0" w:color="auto"/>
              <w:right w:val="double" w:sz="4" w:space="0" w:color="auto"/>
            </w:tcBorders>
            <w:shd w:val="clear" w:color="auto" w:fill="auto"/>
            <w:vAlign w:val="bottom"/>
            <w:hideMark/>
          </w:tcPr>
          <w:p w14:paraId="43FC3E1C" w14:textId="77777777" w:rsidR="00BD39E0" w:rsidRPr="004B154B" w:rsidRDefault="00BD39E0" w:rsidP="00D337DB">
            <w:pPr>
              <w:spacing w:line="276" w:lineRule="auto"/>
              <w:jc w:val="right"/>
              <w:rPr>
                <w:b/>
              </w:rPr>
            </w:pPr>
            <w:r w:rsidRPr="004B154B">
              <w:rPr>
                <w:b/>
              </w:rPr>
              <w:t>60.9 %</w:t>
            </w:r>
          </w:p>
        </w:tc>
      </w:tr>
      <w:tr w:rsidR="00BD39E0" w:rsidRPr="004B154B" w14:paraId="7103A096" w14:textId="77777777" w:rsidTr="00D337DB">
        <w:trPr>
          <w:trHeight w:val="321"/>
        </w:trPr>
        <w:tc>
          <w:tcPr>
            <w:tcW w:w="4410" w:type="dxa"/>
            <w:tcBorders>
              <w:top w:val="nil"/>
              <w:left w:val="double" w:sz="6" w:space="0" w:color="auto"/>
              <w:bottom w:val="double" w:sz="6" w:space="0" w:color="auto"/>
              <w:right w:val="single" w:sz="4" w:space="0" w:color="auto"/>
            </w:tcBorders>
            <w:shd w:val="clear" w:color="auto" w:fill="auto"/>
            <w:vAlign w:val="center"/>
            <w:hideMark/>
          </w:tcPr>
          <w:p w14:paraId="52F6647D" w14:textId="77777777" w:rsidR="00BD39E0" w:rsidRPr="004B154B" w:rsidRDefault="00BD39E0" w:rsidP="00D337DB">
            <w:pPr>
              <w:rPr>
                <w:i/>
              </w:rPr>
            </w:pPr>
            <w:r w:rsidRPr="004B154B">
              <w:rPr>
                <w:i/>
              </w:rPr>
              <w:t>Касови постъпления на ДДС от внос</w:t>
            </w:r>
          </w:p>
        </w:tc>
        <w:tc>
          <w:tcPr>
            <w:tcW w:w="1260" w:type="dxa"/>
            <w:tcBorders>
              <w:top w:val="nil"/>
              <w:left w:val="nil"/>
              <w:bottom w:val="double" w:sz="6" w:space="0" w:color="auto"/>
              <w:right w:val="single" w:sz="4" w:space="0" w:color="auto"/>
            </w:tcBorders>
            <w:vAlign w:val="center"/>
          </w:tcPr>
          <w:p w14:paraId="5179EA99" w14:textId="77777777" w:rsidR="00BD39E0" w:rsidRPr="004B154B" w:rsidRDefault="00BD39E0" w:rsidP="00D337DB">
            <w:pPr>
              <w:jc w:val="right"/>
              <w:rPr>
                <w:b/>
                <w:bCs/>
              </w:rPr>
            </w:pPr>
            <w:r w:rsidRPr="004B154B">
              <w:rPr>
                <w:b/>
                <w:bCs/>
              </w:rPr>
              <w:t>4,549.5</w:t>
            </w:r>
          </w:p>
        </w:tc>
        <w:tc>
          <w:tcPr>
            <w:tcW w:w="1467" w:type="dxa"/>
            <w:tcBorders>
              <w:top w:val="nil"/>
              <w:left w:val="single" w:sz="4" w:space="0" w:color="auto"/>
              <w:bottom w:val="double" w:sz="6" w:space="0" w:color="auto"/>
              <w:right w:val="single" w:sz="4" w:space="0" w:color="auto"/>
            </w:tcBorders>
            <w:shd w:val="clear" w:color="auto" w:fill="auto"/>
            <w:vAlign w:val="center"/>
            <w:hideMark/>
          </w:tcPr>
          <w:p w14:paraId="4D29CB98" w14:textId="77777777" w:rsidR="00BD39E0" w:rsidRPr="004B154B" w:rsidRDefault="00BD39E0" w:rsidP="00D337DB">
            <w:pPr>
              <w:jc w:val="right"/>
              <w:rPr>
                <w:b/>
                <w:bCs/>
              </w:rPr>
            </w:pPr>
            <w:r w:rsidRPr="004B154B">
              <w:rPr>
                <w:b/>
                <w:bCs/>
              </w:rPr>
              <w:t>7,233.8</w:t>
            </w:r>
          </w:p>
        </w:tc>
        <w:tc>
          <w:tcPr>
            <w:tcW w:w="1143" w:type="dxa"/>
            <w:tcBorders>
              <w:top w:val="single" w:sz="4" w:space="0" w:color="auto"/>
              <w:left w:val="nil"/>
              <w:bottom w:val="double" w:sz="6" w:space="0" w:color="auto"/>
              <w:right w:val="single" w:sz="4" w:space="0" w:color="auto"/>
            </w:tcBorders>
            <w:shd w:val="clear" w:color="auto" w:fill="auto"/>
            <w:vAlign w:val="center"/>
            <w:hideMark/>
          </w:tcPr>
          <w:p w14:paraId="57746228" w14:textId="77777777" w:rsidR="00BD39E0" w:rsidRPr="004B154B" w:rsidRDefault="00BD39E0" w:rsidP="00D337DB">
            <w:pPr>
              <w:jc w:val="right"/>
            </w:pPr>
            <w:r w:rsidRPr="004B154B">
              <w:t> </w:t>
            </w:r>
          </w:p>
        </w:tc>
        <w:tc>
          <w:tcPr>
            <w:tcW w:w="1170" w:type="dxa"/>
            <w:tcBorders>
              <w:top w:val="nil"/>
              <w:left w:val="nil"/>
              <w:bottom w:val="double" w:sz="6" w:space="0" w:color="auto"/>
              <w:right w:val="double" w:sz="6" w:space="0" w:color="auto"/>
            </w:tcBorders>
            <w:shd w:val="clear" w:color="auto" w:fill="auto"/>
            <w:vAlign w:val="center"/>
            <w:hideMark/>
          </w:tcPr>
          <w:p w14:paraId="26E66D80" w14:textId="77777777" w:rsidR="00BD39E0" w:rsidRPr="004B154B" w:rsidRDefault="00BD39E0" w:rsidP="00D337DB">
            <w:pPr>
              <w:jc w:val="center"/>
              <w:rPr>
                <w:b/>
                <w:bCs/>
              </w:rPr>
            </w:pPr>
            <w:r w:rsidRPr="004B154B">
              <w:rPr>
                <w:b/>
                <w:bCs/>
              </w:rPr>
              <w:t>59.0 %</w:t>
            </w:r>
          </w:p>
        </w:tc>
      </w:tr>
    </w:tbl>
    <w:p w14:paraId="33349992" w14:textId="77777777" w:rsidR="00BD39E0" w:rsidRPr="004B154B" w:rsidRDefault="00BD39E0" w:rsidP="00BD39E0">
      <w:pPr>
        <w:tabs>
          <w:tab w:val="left" w:pos="0"/>
        </w:tabs>
        <w:autoSpaceDE w:val="0"/>
        <w:autoSpaceDN w:val="0"/>
        <w:adjustRightInd w:val="0"/>
        <w:spacing w:after="120"/>
        <w:jc w:val="right"/>
        <w:rPr>
          <w:i/>
        </w:rPr>
      </w:pPr>
      <w:r w:rsidRPr="004B154B">
        <w:rPr>
          <w:i/>
          <w:lang w:eastAsia="en-US"/>
        </w:rPr>
        <w:t>Източник: Министерство на финансите</w:t>
      </w:r>
    </w:p>
    <w:p w14:paraId="03F45248" w14:textId="77777777" w:rsidR="00BD39E0" w:rsidRPr="004B154B" w:rsidRDefault="00BD39E0" w:rsidP="001238E8">
      <w:pPr>
        <w:tabs>
          <w:tab w:val="left" w:pos="0"/>
        </w:tabs>
        <w:ind w:firstLine="709"/>
        <w:jc w:val="both"/>
      </w:pPr>
      <w:r w:rsidRPr="004B154B">
        <w:rPr>
          <w:i/>
        </w:rPr>
        <w:t>Промишлени доставки</w:t>
      </w:r>
    </w:p>
    <w:p w14:paraId="4F053845" w14:textId="77777777" w:rsidR="00BD39E0" w:rsidRPr="004B154B" w:rsidRDefault="00BD39E0" w:rsidP="00BD39E0">
      <w:pPr>
        <w:spacing w:after="120"/>
        <w:ind w:right="-29" w:firstLine="706"/>
        <w:jc w:val="both"/>
      </w:pPr>
      <w:r w:rsidRPr="004B154B">
        <w:t xml:space="preserve">Начисленият ДДС при внос на </w:t>
      </w:r>
      <w:r w:rsidRPr="004B154B">
        <w:rPr>
          <w:i/>
          <w:u w:val="single"/>
        </w:rPr>
        <w:t>промишлени доставки</w:t>
      </w:r>
      <w:r w:rsidRPr="004B154B">
        <w:t xml:space="preserve"> е в размер на 2 176,0 млн. лв. и се увеличава с 618,9 млн. лв. (39,7 %). Индексът на цените на промишлените доставки, допуснати за свободно обращение и крайна употреба се увеличава с 19,4 %, а индексът на количествата с 13,4 %. Най-значимо е увеличението в начисления ДДС при внос на торове - ръст от 93,4 млн. лева (94,5 %). Следва вноса на чугун, желязо и стомана, за които е деклариран ДДС при внос в размер на 319,9 млн. лв. – с 62,0 млн. лв. (24,0 %) повече спрямо 2021 година. При пластмаси и пластмасови изделия се наблюдава повишение с 50,8 млн. лв. (20,7 %), а при мазнини и масла от животински или растителен произход се наблюдава ръст от 53,7 млн. лв. (226,3 %). Най-голям спад се отчита при декларираните суми за ДДС при внос на естествени или култивирани перли, скъпоценни или полускъпоценни камъни в размер на 1,5 млн. лева (спад 26,9 %) и при руди, шлаки и пепели в размер на 0,7 млн. лв. (спад 36,4 %).</w:t>
      </w:r>
    </w:p>
    <w:p w14:paraId="164C9E0A" w14:textId="77777777" w:rsidR="00BD39E0" w:rsidRPr="004B154B" w:rsidRDefault="00BD39E0" w:rsidP="001238E8">
      <w:pPr>
        <w:tabs>
          <w:tab w:val="left" w:pos="0"/>
        </w:tabs>
        <w:ind w:firstLine="709"/>
        <w:jc w:val="both"/>
        <w:rPr>
          <w:i/>
        </w:rPr>
      </w:pPr>
      <w:r w:rsidRPr="004B154B">
        <w:rPr>
          <w:i/>
        </w:rPr>
        <w:t xml:space="preserve">Горива и смазочни материали </w:t>
      </w:r>
    </w:p>
    <w:p w14:paraId="1457997C" w14:textId="5CF17452" w:rsidR="00BD39E0" w:rsidRPr="004B154B" w:rsidRDefault="00BD39E0" w:rsidP="00BD39E0">
      <w:pPr>
        <w:spacing w:after="120"/>
        <w:ind w:right="-29" w:firstLine="706"/>
        <w:jc w:val="both"/>
      </w:pPr>
      <w:r w:rsidRPr="004B154B">
        <w:t xml:space="preserve">През 2022 г. начисленият ДДС при внос на </w:t>
      </w:r>
      <w:r w:rsidRPr="004B154B">
        <w:rPr>
          <w:i/>
          <w:u w:val="single"/>
        </w:rPr>
        <w:t>горива и смазочни материали</w:t>
      </w:r>
      <w:r w:rsidRPr="004B154B">
        <w:t xml:space="preserve"> е в размер на 2 018,2 млн. лв. или с 1 104,4 млн. лв. (120,9 %) повече спрямо предходната година. Цените на стоките, допуснати за свободно обращение и крайна употреба нарастват със 73,4 %, а количествата с 21,9 %. Начислените суми за ДДС при внос на суров петрол са в размер на 1 525,8 млн. лв., при 670,3 млн. лв. през 2021 г. (</w:t>
      </w:r>
      <w:r w:rsidR="00115E2D" w:rsidRPr="002E7D13">
        <w:t>ръст</w:t>
      </w:r>
      <w:r w:rsidR="00115E2D">
        <w:t xml:space="preserve"> от</w:t>
      </w:r>
      <w:r w:rsidR="00115E2D" w:rsidRPr="002E7D13">
        <w:t xml:space="preserve"> 855,5 млн. лв., 127,6 %</w:t>
      </w:r>
      <w:r w:rsidRPr="004B154B">
        <w:t xml:space="preserve">). Касовите постъпления от внос на суров петрол са 1 507,0 млн. лв., с 832,0 млн. лева (123,3 %) повече спрямо 2021 година. </w:t>
      </w:r>
    </w:p>
    <w:p w14:paraId="7FA7F832" w14:textId="77777777" w:rsidR="00BD39E0" w:rsidRPr="004B154B" w:rsidRDefault="00BD39E0" w:rsidP="001238E8">
      <w:pPr>
        <w:tabs>
          <w:tab w:val="left" w:pos="0"/>
        </w:tabs>
        <w:ind w:firstLine="709"/>
        <w:jc w:val="both"/>
        <w:rPr>
          <w:i/>
        </w:rPr>
      </w:pPr>
      <w:r w:rsidRPr="004B154B">
        <w:rPr>
          <w:i/>
        </w:rPr>
        <w:t>Инвестиционни стоки и транспортно оборудване</w:t>
      </w:r>
    </w:p>
    <w:p w14:paraId="69E9814F" w14:textId="77777777" w:rsidR="00BD39E0" w:rsidRPr="004B154B" w:rsidRDefault="00BD39E0" w:rsidP="00BD39E0">
      <w:pPr>
        <w:spacing w:after="120"/>
        <w:ind w:right="-29" w:firstLine="706"/>
        <w:jc w:val="both"/>
      </w:pPr>
      <w:r w:rsidRPr="004B154B">
        <w:t xml:space="preserve">Декларираните суми от ДДС при внос на </w:t>
      </w:r>
      <w:r w:rsidRPr="004B154B">
        <w:rPr>
          <w:i/>
          <w:u w:val="single"/>
        </w:rPr>
        <w:t>инвестиционни стоки</w:t>
      </w:r>
      <w:r w:rsidRPr="004B154B">
        <w:t xml:space="preserve"> достигат</w:t>
      </w:r>
      <w:r w:rsidRPr="004B154B">
        <w:rPr>
          <w:b/>
        </w:rPr>
        <w:t xml:space="preserve"> </w:t>
      </w:r>
      <w:r w:rsidRPr="004B154B">
        <w:t xml:space="preserve">1 215,7 млн. лв. през 2022 г., като сумата се повишава с 346,0 млн. лв. (39,8 %) на годишна база. Наблюдава се ръст на цените на внесените стоки с 18,4 % и увеличение на физическите обеми с 16,7 % спрямо 2021 година. Значително повишение в начисления ДДС при внос се наблюдава при електрически машини и апарати, 192,9 млн. лв. (58,2 %) и при ядрени реактори, котли, машини, апарати и механизми - със 124,1 млн. лева (30,9 %). </w:t>
      </w:r>
    </w:p>
    <w:p w14:paraId="3E12AA50" w14:textId="77777777" w:rsidR="00BD39E0" w:rsidRPr="004B154B" w:rsidRDefault="00BD39E0" w:rsidP="00BD39E0">
      <w:pPr>
        <w:spacing w:after="120"/>
        <w:ind w:right="-29" w:firstLine="706"/>
        <w:jc w:val="both"/>
      </w:pPr>
      <w:r w:rsidRPr="004B154B">
        <w:t xml:space="preserve">При внос на </w:t>
      </w:r>
      <w:r w:rsidRPr="004B154B">
        <w:rPr>
          <w:i/>
          <w:u w:val="single"/>
        </w:rPr>
        <w:t>транспортно оборудване</w:t>
      </w:r>
      <w:r w:rsidRPr="004B154B">
        <w:t xml:space="preserve"> са начислени 427,8 млн. лв. приходи от ДДС или със 111,1 млн. лв. (35,1 %) повече спрямо 2021 година. Индексът на цените на внесеното транспортно оборудване нараства с 23,1 %, а индексът на физическите обеми с 16,6 % спрямо 2021 година.</w:t>
      </w:r>
    </w:p>
    <w:p w14:paraId="6D1C8724" w14:textId="77777777" w:rsidR="00BD39E0" w:rsidRPr="004B154B" w:rsidRDefault="00BD39E0" w:rsidP="00BD39E0">
      <w:pPr>
        <w:tabs>
          <w:tab w:val="left" w:pos="0"/>
        </w:tabs>
        <w:spacing w:after="120"/>
        <w:ind w:firstLine="709"/>
        <w:jc w:val="both"/>
        <w:rPr>
          <w:i/>
        </w:rPr>
      </w:pPr>
      <w:r w:rsidRPr="004B154B">
        <w:rPr>
          <w:i/>
        </w:rPr>
        <w:t>Потребителски стоки</w:t>
      </w:r>
    </w:p>
    <w:p w14:paraId="7A79663D" w14:textId="77777777" w:rsidR="00BD39E0" w:rsidRPr="004B154B" w:rsidRDefault="00BD39E0" w:rsidP="00BD39E0">
      <w:pPr>
        <w:tabs>
          <w:tab w:val="left" w:pos="567"/>
        </w:tabs>
        <w:spacing w:after="120"/>
        <w:ind w:firstLine="706"/>
        <w:jc w:val="both"/>
      </w:pPr>
      <w:r w:rsidRPr="004B154B">
        <w:t xml:space="preserve">През 2022 г., декларираните приходи от ДДС от </w:t>
      </w:r>
      <w:r w:rsidRPr="004B154B">
        <w:rPr>
          <w:i/>
          <w:u w:val="single"/>
        </w:rPr>
        <w:t>потребителски стоки, храни и напитки и др.</w:t>
      </w:r>
      <w:r w:rsidRPr="004B154B">
        <w:t xml:space="preserve"> са в размер на 1 444,9 млн.</w:t>
      </w:r>
      <w:r w:rsidRPr="004B154B">
        <w:rPr>
          <w:b/>
        </w:rPr>
        <w:t xml:space="preserve"> </w:t>
      </w:r>
      <w:r w:rsidRPr="004B154B">
        <w:t xml:space="preserve">лв. като нарастват с 576,2 млн. лв. (66,3 %), в сравнение с предходната година. Количествата на внесените потребителски стоки нарастват с 5,2 %, а цените растат с 12,6 %. При храните и напитките има значително увеличение на количествата с 88,6 % и ръст на цените от 25,5 %. </w:t>
      </w:r>
    </w:p>
    <w:p w14:paraId="1E541D3C" w14:textId="77777777" w:rsidR="00BD39E0" w:rsidRPr="004B154B" w:rsidRDefault="00BD39E0" w:rsidP="00BD39E0">
      <w:pPr>
        <w:pStyle w:val="Heading3"/>
        <w:numPr>
          <w:ilvl w:val="2"/>
          <w:numId w:val="8"/>
        </w:numPr>
        <w:rPr>
          <w:rFonts w:ascii="Times New Roman" w:hAnsi="Times New Roman" w:cs="Times New Roman"/>
          <w:sz w:val="24"/>
          <w:szCs w:val="24"/>
          <w:lang w:val="bg-BG"/>
        </w:rPr>
      </w:pPr>
      <w:bookmarkStart w:id="171" w:name="_Toc146037895"/>
      <w:r w:rsidRPr="004B154B">
        <w:rPr>
          <w:rFonts w:ascii="Times New Roman" w:hAnsi="Times New Roman" w:cs="Times New Roman"/>
          <w:sz w:val="24"/>
          <w:szCs w:val="24"/>
          <w:lang w:val="bg-BG"/>
        </w:rPr>
        <w:t>Акцизи</w:t>
      </w:r>
      <w:bookmarkEnd w:id="165"/>
      <w:bookmarkEnd w:id="166"/>
      <w:bookmarkEnd w:id="167"/>
      <w:bookmarkEnd w:id="168"/>
      <w:bookmarkEnd w:id="169"/>
      <w:bookmarkEnd w:id="170"/>
      <w:bookmarkEnd w:id="171"/>
    </w:p>
    <w:p w14:paraId="1BF25001" w14:textId="77777777" w:rsidR="00BD39E0" w:rsidRPr="00094DF6" w:rsidRDefault="00BD39E0" w:rsidP="006F7A0B">
      <w:pPr>
        <w:ind w:firstLine="709"/>
        <w:jc w:val="both"/>
        <w:rPr>
          <w:bCs/>
        </w:rPr>
      </w:pPr>
      <w:bookmarkStart w:id="172" w:name="_Toc261276574"/>
      <w:bookmarkStart w:id="173" w:name="_Toc393728061"/>
      <w:bookmarkStart w:id="174" w:name="_Toc357527087"/>
      <w:bookmarkStart w:id="175" w:name="_Toc326315902"/>
      <w:bookmarkStart w:id="176" w:name="_Toc324863410"/>
      <w:bookmarkStart w:id="177" w:name="_Toc462146110"/>
      <w:bookmarkStart w:id="178" w:name="_Toc494102628"/>
      <w:bookmarkStart w:id="179" w:name="_Toc11323408"/>
      <w:bookmarkStart w:id="180" w:name="_Toc18316941"/>
      <w:bookmarkStart w:id="181" w:name="_Toc83045484"/>
      <w:bookmarkStart w:id="182" w:name="_Toc136273499"/>
      <w:r w:rsidRPr="00FE1886">
        <w:t>Касовото изпълнение на приходите от</w:t>
      </w:r>
      <w:r w:rsidRPr="00FE1886">
        <w:rPr>
          <w:bCs/>
        </w:rPr>
        <w:t xml:space="preserve"> акцизи за 202</w:t>
      </w:r>
      <w:r>
        <w:rPr>
          <w:bCs/>
        </w:rPr>
        <w:t>2</w:t>
      </w:r>
      <w:r w:rsidRPr="00FE1886">
        <w:rPr>
          <w:bCs/>
        </w:rPr>
        <w:t xml:space="preserve"> г. (нето) </w:t>
      </w:r>
      <w:r w:rsidRPr="00FE1886">
        <w:rPr>
          <w:bCs/>
          <w:lang w:val="en-US"/>
        </w:rPr>
        <w:t>e</w:t>
      </w:r>
      <w:r w:rsidRPr="00003485">
        <w:rPr>
          <w:bCs/>
        </w:rPr>
        <w:t xml:space="preserve"> </w:t>
      </w:r>
      <w:r w:rsidRPr="00FE1886">
        <w:rPr>
          <w:bCs/>
        </w:rPr>
        <w:t>в размер на 5 </w:t>
      </w:r>
      <w:r>
        <w:rPr>
          <w:bCs/>
        </w:rPr>
        <w:t>706</w:t>
      </w:r>
      <w:r w:rsidRPr="00FE1886">
        <w:rPr>
          <w:bCs/>
        </w:rPr>
        <w:t>,</w:t>
      </w:r>
      <w:r>
        <w:rPr>
          <w:bCs/>
        </w:rPr>
        <w:t>9</w:t>
      </w:r>
      <w:r w:rsidRPr="00FE1886">
        <w:rPr>
          <w:bCs/>
        </w:rPr>
        <w:t xml:space="preserve">  млн. лв., което е </w:t>
      </w:r>
      <w:r>
        <w:rPr>
          <w:bCs/>
        </w:rPr>
        <w:t xml:space="preserve">98,1 </w:t>
      </w:r>
      <w:r w:rsidRPr="00FE1886">
        <w:rPr>
          <w:bCs/>
        </w:rPr>
        <w:t xml:space="preserve">% изпълнение на годишния актуализиран план. </w:t>
      </w:r>
      <w:r w:rsidRPr="00FE1886">
        <w:t>Приходите от акцизи представляват</w:t>
      </w:r>
      <w:r>
        <w:t xml:space="preserve"> </w:t>
      </w:r>
      <w:r w:rsidRPr="00FE1886">
        <w:t>1</w:t>
      </w:r>
      <w:r>
        <w:t>2</w:t>
      </w:r>
      <w:r w:rsidRPr="00FE1886">
        <w:t>,</w:t>
      </w:r>
      <w:r>
        <w:t>2</w:t>
      </w:r>
      <w:r w:rsidRPr="00FE1886">
        <w:t xml:space="preserve"> % от данъчните постъпления по КФП. Относителният дял на постъпленията от акцизи към БВП е </w:t>
      </w:r>
      <w:r>
        <w:t>3</w:t>
      </w:r>
      <w:r w:rsidRPr="00FE1886">
        <w:t>,</w:t>
      </w:r>
      <w:r>
        <w:t>5</w:t>
      </w:r>
      <w:r w:rsidRPr="00FE1886">
        <w:t> </w:t>
      </w:r>
      <w:r>
        <w:t>%, а към потреблението – 4,4 %, при съответно 4,1 % и 5,3</w:t>
      </w:r>
      <w:r w:rsidRPr="00FE1886">
        <w:t xml:space="preserve"> % за 202</w:t>
      </w:r>
      <w:r>
        <w:t>1</w:t>
      </w:r>
      <w:r w:rsidRPr="00FE1886">
        <w:t xml:space="preserve"> година. </w:t>
      </w:r>
      <w:r>
        <w:rPr>
          <w:bCs/>
        </w:rPr>
        <w:t>Съпоставено с 2021</w:t>
      </w:r>
      <w:r w:rsidRPr="00FE1886">
        <w:rPr>
          <w:bCs/>
        </w:rPr>
        <w:t xml:space="preserve"> г. постъпленията нарастват с </w:t>
      </w:r>
      <w:r>
        <w:rPr>
          <w:bCs/>
        </w:rPr>
        <w:t>47</w:t>
      </w:r>
      <w:r>
        <w:t>,1 млн. лв. (0</w:t>
      </w:r>
      <w:r w:rsidRPr="00FE1886">
        <w:t>,</w:t>
      </w:r>
      <w:r>
        <w:t>8</w:t>
      </w:r>
      <w:r w:rsidRPr="00FE1886">
        <w:t xml:space="preserve"> %) на годишна база и са с</w:t>
      </w:r>
      <w:r>
        <w:t>ъс 1</w:t>
      </w:r>
      <w:r w:rsidRPr="00FE1886">
        <w:t>1</w:t>
      </w:r>
      <w:r>
        <w:t>3,1</w:t>
      </w:r>
      <w:r w:rsidRPr="00FE1886">
        <w:t xml:space="preserve"> млн. лв. (</w:t>
      </w:r>
      <w:r>
        <w:t>1,9</w:t>
      </w:r>
      <w:r w:rsidRPr="00FE1886">
        <w:t xml:space="preserve"> %) </w:t>
      </w:r>
      <w:r>
        <w:t>по-ниски от</w:t>
      </w:r>
      <w:r w:rsidRPr="00FE1886">
        <w:t xml:space="preserve"> планираните за годината</w:t>
      </w:r>
      <w:r w:rsidRPr="00FE1886">
        <w:rPr>
          <w:bCs/>
        </w:rPr>
        <w:t>.</w:t>
      </w:r>
      <w:r w:rsidRPr="00094DF6">
        <w:t xml:space="preserve"> </w:t>
      </w:r>
      <w:r w:rsidRPr="00094DF6">
        <w:rPr>
          <w:bCs/>
        </w:rPr>
        <w:t>Основна причина за неизпълнението е отлагането на предвиденото за 2022</w:t>
      </w:r>
      <w:r>
        <w:rPr>
          <w:bCs/>
        </w:rPr>
        <w:t xml:space="preserve"> г.</w:t>
      </w:r>
      <w:r w:rsidRPr="00094DF6">
        <w:rPr>
          <w:bCs/>
        </w:rPr>
        <w:t xml:space="preserve"> увеличение на акцизните ставки на тютюневите изделия, което влезе в сила от 01.03.2023 година.</w:t>
      </w:r>
    </w:p>
    <w:p w14:paraId="39F3FB99" w14:textId="77777777" w:rsidR="00BD39E0" w:rsidRDefault="00BD39E0" w:rsidP="006F7A0B">
      <w:pPr>
        <w:spacing w:after="120"/>
        <w:ind w:firstLine="709"/>
        <w:jc w:val="both"/>
        <w:rPr>
          <w:iCs/>
        </w:rPr>
      </w:pPr>
      <w:r w:rsidRPr="00FE1886">
        <w:rPr>
          <w:iCs/>
        </w:rPr>
        <w:t>Във връзка с прилагането на схема за държавна помощ „Помощ под формата на отстъпка от стойността на акциза върху газьола, използван в първичното селскостопанско производство“, на Министерство на земеделието, храните и горите е преведена сума в размер на 100</w:t>
      </w:r>
      <w:r>
        <w:rPr>
          <w:iCs/>
        </w:rPr>
        <w:t>,0</w:t>
      </w:r>
      <w:r w:rsidRPr="00FE1886">
        <w:rPr>
          <w:iCs/>
        </w:rPr>
        <w:t xml:space="preserve"> млн. лв.,</w:t>
      </w:r>
      <w:r w:rsidRPr="00094DF6">
        <w:rPr>
          <w:iCs/>
        </w:rPr>
        <w:t xml:space="preserve"> равна на сумата от 2021 година</w:t>
      </w:r>
      <w:r w:rsidRPr="00FE1886">
        <w:rPr>
          <w:iCs/>
        </w:rPr>
        <w:t>.</w:t>
      </w:r>
    </w:p>
    <w:p w14:paraId="6007F020" w14:textId="7A76577D" w:rsidR="00BD39E0" w:rsidRDefault="00EA6D68" w:rsidP="00BD39E0">
      <w:pPr>
        <w:spacing w:after="120"/>
        <w:ind w:firstLine="709"/>
        <w:jc w:val="both"/>
        <w:rPr>
          <w:iCs/>
        </w:rPr>
      </w:pPr>
      <w:r>
        <w:rPr>
          <w:iCs/>
          <w:noProof/>
        </w:rPr>
        <w:drawing>
          <wp:inline distT="0" distB="0" distL="0" distR="0" wp14:anchorId="7AA789BD" wp14:editId="1E7ABF32">
            <wp:extent cx="5501640" cy="246888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01640" cy="2468880"/>
                    </a:xfrm>
                    <a:prstGeom prst="rect">
                      <a:avLst/>
                    </a:prstGeom>
                    <a:noFill/>
                  </pic:spPr>
                </pic:pic>
              </a:graphicData>
            </a:graphic>
          </wp:inline>
        </w:drawing>
      </w:r>
    </w:p>
    <w:p w14:paraId="2B93E9C5" w14:textId="77777777" w:rsidR="00BD39E0" w:rsidRPr="00E66F80" w:rsidRDefault="00BD39E0" w:rsidP="00BD39E0">
      <w:pPr>
        <w:spacing w:after="120"/>
        <w:jc w:val="right"/>
        <w:rPr>
          <w:sz w:val="22"/>
        </w:rPr>
      </w:pPr>
      <w:r w:rsidRPr="00FE1886">
        <w:tab/>
      </w:r>
      <w:r w:rsidRPr="00FE1886">
        <w:tab/>
      </w:r>
      <w:r w:rsidRPr="00FE1886">
        <w:tab/>
      </w:r>
      <w:r w:rsidRPr="00FE1886">
        <w:tab/>
      </w:r>
      <w:r w:rsidRPr="00FE1886">
        <w:tab/>
        <w:t xml:space="preserve">        </w:t>
      </w:r>
      <w:r w:rsidRPr="00E66F80">
        <w:rPr>
          <w:i/>
          <w:sz w:val="22"/>
        </w:rPr>
        <w:t>Източник: Министерство на финансите</w:t>
      </w:r>
    </w:p>
    <w:p w14:paraId="647C04DA" w14:textId="77777777" w:rsidR="00BD39E0" w:rsidRDefault="00BD39E0" w:rsidP="00BD39E0">
      <w:pPr>
        <w:tabs>
          <w:tab w:val="right" w:pos="9072"/>
        </w:tabs>
        <w:spacing w:after="120"/>
        <w:ind w:right="-2" w:firstLine="600"/>
        <w:jc w:val="both"/>
      </w:pPr>
      <w:r w:rsidRPr="00C6270E">
        <w:t>Запазва се структурата от 2021 г. 99</w:t>
      </w:r>
      <w:r>
        <w:t>,</w:t>
      </w:r>
      <w:r w:rsidRPr="00C6270E">
        <w:t>9</w:t>
      </w:r>
      <w:r>
        <w:t xml:space="preserve"> </w:t>
      </w:r>
      <w:r w:rsidRPr="00C6270E">
        <w:t>% от касовите акцизни постъпления да са формирани от сделки в страната и 0</w:t>
      </w:r>
      <w:r>
        <w:t>,</w:t>
      </w:r>
      <w:r w:rsidRPr="00C6270E">
        <w:t>1</w:t>
      </w:r>
      <w:r>
        <w:t xml:space="preserve"> </w:t>
      </w:r>
      <w:r w:rsidRPr="00C6270E">
        <w:t>% от внос. През 2022 г. в структурата на приходите от акциз по групи стоки се отчита следната динамика:</w:t>
      </w:r>
    </w:p>
    <w:p w14:paraId="04D31AAE" w14:textId="04CA1C5C" w:rsidR="00BD39E0" w:rsidRDefault="004A7A80" w:rsidP="00BD39E0">
      <w:pPr>
        <w:tabs>
          <w:tab w:val="right" w:pos="9072"/>
        </w:tabs>
        <w:spacing w:after="120"/>
        <w:ind w:firstLine="90"/>
      </w:pPr>
      <w:r>
        <w:rPr>
          <w:noProof/>
        </w:rPr>
        <w:drawing>
          <wp:inline distT="0" distB="0" distL="0" distR="0" wp14:anchorId="07A530F3" wp14:editId="04E8D5A8">
            <wp:extent cx="5578475" cy="2964180"/>
            <wp:effectExtent l="0" t="0" r="317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78475" cy="2964180"/>
                    </a:xfrm>
                    <a:prstGeom prst="rect">
                      <a:avLst/>
                    </a:prstGeom>
                    <a:noFill/>
                  </pic:spPr>
                </pic:pic>
              </a:graphicData>
            </a:graphic>
          </wp:inline>
        </w:drawing>
      </w:r>
    </w:p>
    <w:p w14:paraId="31B345E0" w14:textId="77777777" w:rsidR="00BD39E0" w:rsidRPr="00E66F80" w:rsidRDefault="00BD39E0" w:rsidP="00BD39E0">
      <w:pPr>
        <w:tabs>
          <w:tab w:val="right" w:pos="9072"/>
        </w:tabs>
        <w:ind w:firstLine="605"/>
        <w:jc w:val="right"/>
      </w:pPr>
      <w:r w:rsidRPr="00E66F80">
        <w:rPr>
          <w:i/>
          <w:sz w:val="22"/>
        </w:rPr>
        <w:t xml:space="preserve">      Източник: Министерство на финансите</w:t>
      </w:r>
    </w:p>
    <w:p w14:paraId="458C72D9" w14:textId="77777777" w:rsidR="00BD39E0" w:rsidRPr="00C6270E" w:rsidRDefault="00BD39E0" w:rsidP="00BD39E0">
      <w:pPr>
        <w:tabs>
          <w:tab w:val="right" w:pos="9072"/>
        </w:tabs>
        <w:ind w:firstLine="605"/>
      </w:pPr>
      <w:r w:rsidRPr="00C6270E">
        <w:t xml:space="preserve">- нараства делът на касовите приходи от акциз за тютюн и тютюневи изделия - от </w:t>
      </w:r>
      <w:r w:rsidRPr="004F15D1">
        <w:t xml:space="preserve">50,7 </w:t>
      </w:r>
      <w:r w:rsidRPr="00C6270E">
        <w:t>% през 202</w:t>
      </w:r>
      <w:r w:rsidRPr="004F15D1">
        <w:t>1</w:t>
      </w:r>
      <w:r w:rsidRPr="00C6270E">
        <w:t xml:space="preserve"> г. </w:t>
      </w:r>
      <w:r w:rsidRPr="008F680B">
        <w:t>на 51</w:t>
      </w:r>
      <w:r w:rsidRPr="004F15D1">
        <w:t>,</w:t>
      </w:r>
      <w:r w:rsidRPr="008F680B">
        <w:t>4</w:t>
      </w:r>
      <w:r>
        <w:t xml:space="preserve"> </w:t>
      </w:r>
      <w:r w:rsidRPr="008F680B">
        <w:t>% през 202</w:t>
      </w:r>
      <w:r w:rsidRPr="004F15D1">
        <w:t>2</w:t>
      </w:r>
      <w:r w:rsidRPr="00C6270E">
        <w:t xml:space="preserve"> г.;</w:t>
      </w:r>
    </w:p>
    <w:p w14:paraId="381ECBD2" w14:textId="77777777" w:rsidR="00BD39E0" w:rsidRDefault="00BD39E0" w:rsidP="00BD39E0">
      <w:pPr>
        <w:tabs>
          <w:tab w:val="right" w:pos="9072"/>
        </w:tabs>
        <w:ind w:firstLine="605"/>
      </w:pPr>
      <w:r w:rsidRPr="00C6270E">
        <w:t xml:space="preserve">- намалява делът на приходите от акциз за горива - от </w:t>
      </w:r>
      <w:r w:rsidRPr="004F15D1">
        <w:t>43,1</w:t>
      </w:r>
      <w:r>
        <w:t xml:space="preserve"> </w:t>
      </w:r>
      <w:r w:rsidRPr="00C6270E">
        <w:t>% през 202</w:t>
      </w:r>
      <w:r w:rsidRPr="004F15D1">
        <w:t>1</w:t>
      </w:r>
      <w:r w:rsidRPr="00C6270E">
        <w:t xml:space="preserve"> г. на </w:t>
      </w:r>
      <w:r w:rsidRPr="004F15D1">
        <w:t>42,3</w:t>
      </w:r>
      <w:r>
        <w:t xml:space="preserve"> </w:t>
      </w:r>
      <w:r w:rsidRPr="00C6270E">
        <w:t>% в общите касови приходи от акциз през 202</w:t>
      </w:r>
      <w:r w:rsidRPr="004F15D1">
        <w:t>2</w:t>
      </w:r>
      <w:r w:rsidRPr="00C6270E">
        <w:t xml:space="preserve"> г.;</w:t>
      </w:r>
    </w:p>
    <w:p w14:paraId="107DFABA" w14:textId="77777777" w:rsidR="00BD39E0" w:rsidRDefault="00BD39E0" w:rsidP="00BD39E0">
      <w:pPr>
        <w:tabs>
          <w:tab w:val="right" w:pos="9072"/>
        </w:tabs>
        <w:ind w:firstLine="605"/>
      </w:pPr>
      <w:r w:rsidRPr="00C6270E">
        <w:t>- нараства делът на приходите от акциз при алкохолни напитки и бира - от 5</w:t>
      </w:r>
      <w:r w:rsidRPr="004F15D1">
        <w:t>,4</w:t>
      </w:r>
      <w:r>
        <w:t xml:space="preserve"> </w:t>
      </w:r>
      <w:r w:rsidRPr="00C6270E">
        <w:t>% през 202</w:t>
      </w:r>
      <w:r w:rsidRPr="004F15D1">
        <w:t>1</w:t>
      </w:r>
      <w:r w:rsidRPr="00C6270E">
        <w:t xml:space="preserve"> г. до 5</w:t>
      </w:r>
      <w:r w:rsidRPr="004F15D1">
        <w:t>,6</w:t>
      </w:r>
      <w:r>
        <w:t xml:space="preserve"> </w:t>
      </w:r>
      <w:r w:rsidRPr="00C6270E">
        <w:t>% в общите касови приходи от акциз през 202</w:t>
      </w:r>
      <w:r w:rsidRPr="004F15D1">
        <w:t>2</w:t>
      </w:r>
      <w:r w:rsidRPr="00C6270E">
        <w:t xml:space="preserve"> година;</w:t>
      </w:r>
    </w:p>
    <w:p w14:paraId="4C087754" w14:textId="77071CC2" w:rsidR="00BD39E0" w:rsidRDefault="00BD39E0" w:rsidP="00BD39E0">
      <w:pPr>
        <w:tabs>
          <w:tab w:val="right" w:pos="9072"/>
        </w:tabs>
        <w:ind w:firstLine="605"/>
      </w:pPr>
      <w:r w:rsidRPr="00C6270E">
        <w:t>- намалява делът на приходите от акциз за групата други акцизни стоки – от 0</w:t>
      </w:r>
      <w:r w:rsidRPr="004F15D1">
        <w:t>,</w:t>
      </w:r>
      <w:r w:rsidRPr="00C6270E">
        <w:t>8</w:t>
      </w:r>
      <w:r>
        <w:t xml:space="preserve"> </w:t>
      </w:r>
      <w:r w:rsidRPr="00C6270E">
        <w:t>% през 2021 г. на 0</w:t>
      </w:r>
      <w:r w:rsidRPr="004F15D1">
        <w:t>,</w:t>
      </w:r>
      <w:r w:rsidRPr="00C6270E">
        <w:t>7 % през 2022 година.</w:t>
      </w:r>
    </w:p>
    <w:p w14:paraId="66E72D38" w14:textId="2A8D9EB8" w:rsidR="00E930D9" w:rsidRDefault="00E930D9" w:rsidP="00BD39E0">
      <w:pPr>
        <w:tabs>
          <w:tab w:val="right" w:pos="9072"/>
        </w:tabs>
        <w:ind w:firstLine="605"/>
      </w:pPr>
    </w:p>
    <w:p w14:paraId="160EBC48" w14:textId="69CC9A41" w:rsidR="00326A7E" w:rsidRDefault="00326A7E" w:rsidP="00BD39E0">
      <w:pPr>
        <w:tabs>
          <w:tab w:val="right" w:pos="9072"/>
        </w:tabs>
        <w:ind w:firstLine="605"/>
      </w:pPr>
    </w:p>
    <w:p w14:paraId="69469404" w14:textId="77777777" w:rsidR="00326A7E" w:rsidRDefault="00326A7E" w:rsidP="00BD39E0">
      <w:pPr>
        <w:tabs>
          <w:tab w:val="right" w:pos="9072"/>
        </w:tabs>
        <w:ind w:firstLine="605"/>
      </w:pPr>
    </w:p>
    <w:p w14:paraId="24893225" w14:textId="59B2EA7D" w:rsidR="00E930D9" w:rsidRDefault="00E930D9" w:rsidP="00BD39E0">
      <w:pPr>
        <w:tabs>
          <w:tab w:val="right" w:pos="9072"/>
        </w:tabs>
        <w:ind w:firstLine="605"/>
      </w:pPr>
    </w:p>
    <w:p w14:paraId="3FDAA496" w14:textId="0777FBF7" w:rsidR="00E930D9" w:rsidRDefault="00E930D9" w:rsidP="00BD39E0">
      <w:pPr>
        <w:tabs>
          <w:tab w:val="right" w:pos="9072"/>
        </w:tabs>
        <w:ind w:firstLine="605"/>
      </w:pPr>
    </w:p>
    <w:p w14:paraId="2109EFB9" w14:textId="77777777" w:rsidR="00E930D9" w:rsidRPr="00C6270E" w:rsidRDefault="00E930D9" w:rsidP="00BD39E0">
      <w:pPr>
        <w:tabs>
          <w:tab w:val="right" w:pos="9072"/>
        </w:tabs>
        <w:ind w:firstLine="605"/>
      </w:pPr>
    </w:p>
    <w:p w14:paraId="7BD6AF79" w14:textId="77777777" w:rsidR="00BD39E0" w:rsidRPr="00FE1886" w:rsidRDefault="00BD39E0" w:rsidP="00BD39E0">
      <w:pPr>
        <w:spacing w:after="120"/>
        <w:jc w:val="center"/>
        <w:rPr>
          <w:b/>
          <w:bCs/>
        </w:rPr>
      </w:pPr>
      <w:r w:rsidRPr="00FE1886">
        <w:rPr>
          <w:b/>
          <w:bCs/>
        </w:rPr>
        <w:t>Приходи от акцизи по групи стоки за периода 202</w:t>
      </w:r>
      <w:r>
        <w:rPr>
          <w:b/>
          <w:bCs/>
        </w:rPr>
        <w:t>1</w:t>
      </w:r>
      <w:r w:rsidRPr="00FE1886">
        <w:rPr>
          <w:b/>
          <w:bCs/>
        </w:rPr>
        <w:t>-20</w:t>
      </w:r>
      <w:r w:rsidRPr="00003485">
        <w:rPr>
          <w:b/>
          <w:bCs/>
        </w:rPr>
        <w:t>2</w:t>
      </w:r>
      <w:r>
        <w:rPr>
          <w:b/>
          <w:bCs/>
        </w:rPr>
        <w:t>2</w:t>
      </w:r>
      <w:r w:rsidRPr="00FE1886">
        <w:rPr>
          <w:b/>
          <w:bCs/>
        </w:rPr>
        <w:t xml:space="preserve"> г.</w:t>
      </w:r>
    </w:p>
    <w:p w14:paraId="7616AC9D" w14:textId="77777777" w:rsidR="00BD39E0" w:rsidRDefault="00BD39E0" w:rsidP="00BD39E0">
      <w:pPr>
        <w:jc w:val="center"/>
        <w:rPr>
          <w:bCs/>
        </w:rPr>
      </w:pPr>
      <w:r>
        <w:rPr>
          <w:bCs/>
        </w:rPr>
        <w:t xml:space="preserve">                                                                                                                                    </w:t>
      </w:r>
      <w:r w:rsidRPr="00FE1886">
        <w:rPr>
          <w:bCs/>
        </w:rPr>
        <w:t>млн. лв.</w:t>
      </w:r>
    </w:p>
    <w:tbl>
      <w:tblPr>
        <w:tblW w:w="9086" w:type="dxa"/>
        <w:tblInd w:w="-15" w:type="dxa"/>
        <w:tblCellMar>
          <w:left w:w="70" w:type="dxa"/>
          <w:right w:w="70" w:type="dxa"/>
        </w:tblCellMar>
        <w:tblLook w:val="04A0" w:firstRow="1" w:lastRow="0" w:firstColumn="1" w:lastColumn="0" w:noHBand="0" w:noVBand="1"/>
      </w:tblPr>
      <w:tblGrid>
        <w:gridCol w:w="4778"/>
        <w:gridCol w:w="956"/>
        <w:gridCol w:w="1052"/>
        <w:gridCol w:w="1150"/>
        <w:gridCol w:w="1150"/>
      </w:tblGrid>
      <w:tr w:rsidR="00BD39E0" w:rsidRPr="00D75131" w14:paraId="715291EA" w14:textId="77777777" w:rsidTr="00D337DB">
        <w:trPr>
          <w:trHeight w:val="471"/>
        </w:trPr>
        <w:tc>
          <w:tcPr>
            <w:tcW w:w="4778" w:type="dxa"/>
            <w:tcBorders>
              <w:top w:val="double" w:sz="4" w:space="0" w:color="auto"/>
              <w:left w:val="double" w:sz="4" w:space="0" w:color="auto"/>
              <w:bottom w:val="single" w:sz="8" w:space="0" w:color="auto"/>
              <w:right w:val="single" w:sz="8" w:space="0" w:color="auto"/>
            </w:tcBorders>
            <w:shd w:val="clear" w:color="auto" w:fill="auto"/>
            <w:noWrap/>
            <w:vAlign w:val="center"/>
            <w:hideMark/>
          </w:tcPr>
          <w:p w14:paraId="5EE90662" w14:textId="77777777" w:rsidR="00BD39E0" w:rsidRPr="00D75131" w:rsidRDefault="00BD39E0" w:rsidP="00D337DB">
            <w:pPr>
              <w:jc w:val="center"/>
              <w:rPr>
                <w:color w:val="000000"/>
                <w:sz w:val="22"/>
                <w:szCs w:val="22"/>
              </w:rPr>
            </w:pPr>
            <w:r w:rsidRPr="00D75131">
              <w:rPr>
                <w:color w:val="000000"/>
                <w:sz w:val="22"/>
                <w:szCs w:val="22"/>
              </w:rPr>
              <w:t> </w:t>
            </w:r>
          </w:p>
        </w:tc>
        <w:tc>
          <w:tcPr>
            <w:tcW w:w="956" w:type="dxa"/>
            <w:tcBorders>
              <w:top w:val="double" w:sz="4" w:space="0" w:color="auto"/>
              <w:left w:val="nil"/>
              <w:bottom w:val="single" w:sz="8" w:space="0" w:color="auto"/>
              <w:right w:val="single" w:sz="8" w:space="0" w:color="auto"/>
            </w:tcBorders>
            <w:shd w:val="clear" w:color="auto" w:fill="auto"/>
            <w:vAlign w:val="center"/>
            <w:hideMark/>
          </w:tcPr>
          <w:p w14:paraId="2CA6C77A" w14:textId="77777777" w:rsidR="00BD39E0" w:rsidRPr="00D75131" w:rsidRDefault="00BD39E0" w:rsidP="00D337DB">
            <w:pPr>
              <w:jc w:val="center"/>
              <w:rPr>
                <w:b/>
                <w:bCs/>
                <w:color w:val="000000"/>
                <w:sz w:val="22"/>
                <w:szCs w:val="22"/>
              </w:rPr>
            </w:pPr>
            <w:r w:rsidRPr="00D75131">
              <w:rPr>
                <w:b/>
                <w:bCs/>
                <w:color w:val="000000"/>
                <w:sz w:val="22"/>
                <w:szCs w:val="22"/>
              </w:rPr>
              <w:t>202</w:t>
            </w:r>
            <w:r>
              <w:rPr>
                <w:b/>
                <w:bCs/>
                <w:color w:val="000000"/>
                <w:sz w:val="22"/>
                <w:szCs w:val="22"/>
                <w:lang w:val="en-US"/>
              </w:rPr>
              <w:t>1</w:t>
            </w:r>
            <w:r w:rsidRPr="00D75131">
              <w:rPr>
                <w:b/>
                <w:bCs/>
                <w:color w:val="000000"/>
                <w:sz w:val="22"/>
                <w:szCs w:val="22"/>
              </w:rPr>
              <w:t xml:space="preserve"> г. отчет</w:t>
            </w:r>
          </w:p>
        </w:tc>
        <w:tc>
          <w:tcPr>
            <w:tcW w:w="1052" w:type="dxa"/>
            <w:tcBorders>
              <w:top w:val="double" w:sz="4" w:space="0" w:color="auto"/>
              <w:left w:val="nil"/>
              <w:bottom w:val="single" w:sz="8" w:space="0" w:color="auto"/>
              <w:right w:val="single" w:sz="8" w:space="0" w:color="auto"/>
            </w:tcBorders>
            <w:shd w:val="clear" w:color="auto" w:fill="auto"/>
            <w:vAlign w:val="center"/>
            <w:hideMark/>
          </w:tcPr>
          <w:p w14:paraId="153F600D" w14:textId="77777777" w:rsidR="00BD39E0" w:rsidRPr="00D75131" w:rsidRDefault="00BD39E0" w:rsidP="00D337DB">
            <w:pPr>
              <w:jc w:val="center"/>
              <w:rPr>
                <w:b/>
                <w:bCs/>
                <w:color w:val="000000"/>
                <w:sz w:val="22"/>
                <w:szCs w:val="22"/>
              </w:rPr>
            </w:pPr>
            <w:r w:rsidRPr="00D75131">
              <w:rPr>
                <w:b/>
                <w:bCs/>
                <w:color w:val="000000"/>
                <w:sz w:val="22"/>
                <w:szCs w:val="22"/>
              </w:rPr>
              <w:t>202</w:t>
            </w:r>
            <w:r>
              <w:rPr>
                <w:b/>
                <w:bCs/>
                <w:color w:val="000000"/>
                <w:sz w:val="22"/>
                <w:szCs w:val="22"/>
                <w:lang w:val="en-US"/>
              </w:rPr>
              <w:t>2</w:t>
            </w:r>
            <w:r w:rsidRPr="00D75131">
              <w:rPr>
                <w:b/>
                <w:bCs/>
                <w:color w:val="000000"/>
                <w:sz w:val="22"/>
                <w:szCs w:val="22"/>
              </w:rPr>
              <w:t xml:space="preserve"> г. отчет</w:t>
            </w:r>
          </w:p>
        </w:tc>
        <w:tc>
          <w:tcPr>
            <w:tcW w:w="1150" w:type="dxa"/>
            <w:tcBorders>
              <w:top w:val="double" w:sz="4" w:space="0" w:color="auto"/>
              <w:left w:val="nil"/>
              <w:bottom w:val="single" w:sz="8" w:space="0" w:color="auto"/>
              <w:right w:val="single" w:sz="8" w:space="0" w:color="auto"/>
            </w:tcBorders>
            <w:shd w:val="clear" w:color="auto" w:fill="auto"/>
            <w:vAlign w:val="center"/>
            <w:hideMark/>
          </w:tcPr>
          <w:p w14:paraId="3B548633" w14:textId="77777777" w:rsidR="00BD39E0" w:rsidRPr="00E66F80" w:rsidRDefault="00BD39E0" w:rsidP="00D337DB">
            <w:pPr>
              <w:jc w:val="center"/>
              <w:rPr>
                <w:b/>
                <w:color w:val="000000"/>
                <w:sz w:val="22"/>
                <w:lang w:val="en-US"/>
              </w:rPr>
            </w:pPr>
            <w:r w:rsidRPr="00D75131">
              <w:rPr>
                <w:b/>
                <w:bCs/>
                <w:color w:val="000000"/>
                <w:sz w:val="22"/>
                <w:szCs w:val="22"/>
              </w:rPr>
              <w:t>Разлика 202</w:t>
            </w:r>
            <w:r>
              <w:rPr>
                <w:b/>
                <w:bCs/>
                <w:color w:val="000000"/>
                <w:sz w:val="22"/>
                <w:szCs w:val="22"/>
                <w:lang w:val="en-US"/>
              </w:rPr>
              <w:t>2</w:t>
            </w:r>
            <w:r w:rsidRPr="00D75131">
              <w:rPr>
                <w:b/>
                <w:bCs/>
                <w:color w:val="000000"/>
                <w:sz w:val="22"/>
                <w:szCs w:val="22"/>
              </w:rPr>
              <w:t>/202</w:t>
            </w:r>
            <w:r w:rsidRPr="00E66F80">
              <w:rPr>
                <w:b/>
                <w:color w:val="000000"/>
                <w:sz w:val="22"/>
                <w:lang w:val="en-US"/>
              </w:rPr>
              <w:t>1</w:t>
            </w:r>
          </w:p>
        </w:tc>
        <w:tc>
          <w:tcPr>
            <w:tcW w:w="1150" w:type="dxa"/>
            <w:tcBorders>
              <w:top w:val="double" w:sz="4" w:space="0" w:color="auto"/>
              <w:left w:val="nil"/>
              <w:bottom w:val="single" w:sz="8" w:space="0" w:color="auto"/>
              <w:right w:val="double" w:sz="4" w:space="0" w:color="auto"/>
            </w:tcBorders>
            <w:shd w:val="clear" w:color="auto" w:fill="auto"/>
            <w:vAlign w:val="center"/>
            <w:hideMark/>
          </w:tcPr>
          <w:p w14:paraId="34AD2433" w14:textId="77777777" w:rsidR="00BD39E0" w:rsidRPr="00E66F80" w:rsidRDefault="00BD39E0" w:rsidP="00D337DB">
            <w:pPr>
              <w:jc w:val="center"/>
              <w:rPr>
                <w:b/>
                <w:color w:val="000000"/>
                <w:sz w:val="22"/>
                <w:lang w:val="en-US"/>
              </w:rPr>
            </w:pPr>
            <w:r w:rsidRPr="00D75131">
              <w:rPr>
                <w:b/>
                <w:bCs/>
                <w:color w:val="000000"/>
                <w:sz w:val="22"/>
                <w:szCs w:val="22"/>
              </w:rPr>
              <w:t>Ръст 202</w:t>
            </w:r>
            <w:r>
              <w:rPr>
                <w:b/>
                <w:bCs/>
                <w:color w:val="000000"/>
                <w:sz w:val="22"/>
                <w:szCs w:val="22"/>
                <w:lang w:val="en-US"/>
              </w:rPr>
              <w:t>2</w:t>
            </w:r>
            <w:r w:rsidRPr="00D75131">
              <w:rPr>
                <w:b/>
                <w:bCs/>
                <w:color w:val="000000"/>
                <w:sz w:val="22"/>
                <w:szCs w:val="22"/>
              </w:rPr>
              <w:t>/202</w:t>
            </w:r>
            <w:r w:rsidRPr="00E66F80">
              <w:rPr>
                <w:b/>
                <w:color w:val="000000"/>
                <w:sz w:val="22"/>
                <w:lang w:val="en-US"/>
              </w:rPr>
              <w:t>1</w:t>
            </w:r>
          </w:p>
        </w:tc>
      </w:tr>
      <w:tr w:rsidR="00BD39E0" w:rsidRPr="00D75131" w14:paraId="6429327F" w14:textId="77777777" w:rsidTr="00D337DB">
        <w:trPr>
          <w:trHeight w:val="278"/>
        </w:trPr>
        <w:tc>
          <w:tcPr>
            <w:tcW w:w="4778" w:type="dxa"/>
            <w:tcBorders>
              <w:top w:val="nil"/>
              <w:left w:val="double" w:sz="4" w:space="0" w:color="auto"/>
              <w:bottom w:val="single" w:sz="4" w:space="0" w:color="auto"/>
              <w:right w:val="single" w:sz="8" w:space="0" w:color="auto"/>
            </w:tcBorders>
            <w:shd w:val="clear" w:color="auto" w:fill="auto"/>
            <w:noWrap/>
            <w:vAlign w:val="center"/>
            <w:hideMark/>
          </w:tcPr>
          <w:p w14:paraId="07B4B29A" w14:textId="77777777" w:rsidR="00BD39E0" w:rsidRPr="00D75131" w:rsidRDefault="00BD39E0" w:rsidP="00D337DB">
            <w:pPr>
              <w:rPr>
                <w:b/>
                <w:bCs/>
                <w:color w:val="000000"/>
                <w:sz w:val="22"/>
                <w:szCs w:val="22"/>
              </w:rPr>
            </w:pPr>
            <w:r w:rsidRPr="00D75131">
              <w:rPr>
                <w:b/>
                <w:bCs/>
                <w:color w:val="000000"/>
                <w:sz w:val="22"/>
                <w:szCs w:val="22"/>
              </w:rPr>
              <w:t xml:space="preserve">Приходи от акцизи, в т.ч.: </w:t>
            </w:r>
          </w:p>
        </w:tc>
        <w:tc>
          <w:tcPr>
            <w:tcW w:w="956" w:type="dxa"/>
            <w:tcBorders>
              <w:top w:val="nil"/>
              <w:left w:val="nil"/>
              <w:bottom w:val="single" w:sz="4" w:space="0" w:color="auto"/>
              <w:right w:val="single" w:sz="8" w:space="0" w:color="auto"/>
            </w:tcBorders>
            <w:shd w:val="clear" w:color="auto" w:fill="auto"/>
            <w:noWrap/>
            <w:vAlign w:val="center"/>
            <w:hideMark/>
          </w:tcPr>
          <w:p w14:paraId="3A346356" w14:textId="77777777" w:rsidR="00BD39E0" w:rsidRPr="00D75131" w:rsidRDefault="00BD39E0" w:rsidP="00D337DB">
            <w:pPr>
              <w:jc w:val="right"/>
              <w:rPr>
                <w:b/>
                <w:bCs/>
                <w:color w:val="000000"/>
                <w:sz w:val="22"/>
                <w:szCs w:val="22"/>
              </w:rPr>
            </w:pPr>
            <w:r>
              <w:rPr>
                <w:b/>
                <w:bCs/>
                <w:color w:val="000000"/>
                <w:sz w:val="22"/>
                <w:szCs w:val="22"/>
              </w:rPr>
              <w:t>5</w:t>
            </w:r>
            <w:r w:rsidRPr="00E66F80">
              <w:rPr>
                <w:b/>
                <w:color w:val="000000"/>
                <w:sz w:val="22"/>
              </w:rPr>
              <w:t>,</w:t>
            </w:r>
            <w:r>
              <w:rPr>
                <w:b/>
                <w:bCs/>
                <w:color w:val="000000"/>
                <w:sz w:val="22"/>
                <w:szCs w:val="22"/>
              </w:rPr>
              <w:t>659.8</w:t>
            </w:r>
          </w:p>
        </w:tc>
        <w:tc>
          <w:tcPr>
            <w:tcW w:w="1052" w:type="dxa"/>
            <w:tcBorders>
              <w:top w:val="single" w:sz="8" w:space="0" w:color="auto"/>
              <w:left w:val="nil"/>
              <w:bottom w:val="single" w:sz="4" w:space="0" w:color="auto"/>
              <w:right w:val="single" w:sz="8" w:space="0" w:color="auto"/>
            </w:tcBorders>
            <w:shd w:val="clear" w:color="auto" w:fill="auto"/>
            <w:noWrap/>
            <w:vAlign w:val="center"/>
            <w:hideMark/>
          </w:tcPr>
          <w:p w14:paraId="06D3A639" w14:textId="77777777" w:rsidR="00BD39E0" w:rsidRPr="00D75131" w:rsidRDefault="00BD39E0" w:rsidP="00D337DB">
            <w:pPr>
              <w:jc w:val="right"/>
              <w:rPr>
                <w:b/>
                <w:bCs/>
                <w:color w:val="000000"/>
                <w:sz w:val="22"/>
                <w:szCs w:val="22"/>
              </w:rPr>
            </w:pPr>
            <w:r>
              <w:rPr>
                <w:b/>
                <w:bCs/>
                <w:color w:val="000000"/>
                <w:sz w:val="22"/>
                <w:szCs w:val="22"/>
              </w:rPr>
              <w:t>5</w:t>
            </w:r>
            <w:r w:rsidRPr="00E66F80">
              <w:rPr>
                <w:b/>
                <w:color w:val="000000"/>
                <w:sz w:val="22"/>
              </w:rPr>
              <w:t>,</w:t>
            </w:r>
            <w:r>
              <w:rPr>
                <w:b/>
                <w:bCs/>
                <w:color w:val="000000"/>
                <w:sz w:val="22"/>
                <w:szCs w:val="22"/>
              </w:rPr>
              <w:t>706.9</w:t>
            </w:r>
          </w:p>
        </w:tc>
        <w:tc>
          <w:tcPr>
            <w:tcW w:w="1150" w:type="dxa"/>
            <w:tcBorders>
              <w:top w:val="single" w:sz="8" w:space="0" w:color="auto"/>
              <w:left w:val="nil"/>
              <w:bottom w:val="single" w:sz="4" w:space="0" w:color="auto"/>
              <w:right w:val="single" w:sz="8" w:space="0" w:color="auto"/>
            </w:tcBorders>
            <w:shd w:val="clear" w:color="auto" w:fill="auto"/>
            <w:noWrap/>
            <w:vAlign w:val="center"/>
            <w:hideMark/>
          </w:tcPr>
          <w:p w14:paraId="009C933B" w14:textId="77777777" w:rsidR="00BD39E0" w:rsidRPr="00D75131" w:rsidRDefault="00BD39E0" w:rsidP="00D337DB">
            <w:pPr>
              <w:jc w:val="right"/>
              <w:rPr>
                <w:b/>
                <w:bCs/>
                <w:color w:val="000000"/>
                <w:sz w:val="22"/>
                <w:szCs w:val="22"/>
              </w:rPr>
            </w:pPr>
            <w:r>
              <w:rPr>
                <w:b/>
                <w:bCs/>
                <w:color w:val="000000"/>
                <w:sz w:val="22"/>
                <w:szCs w:val="22"/>
              </w:rPr>
              <w:t>47.1</w:t>
            </w:r>
          </w:p>
        </w:tc>
        <w:tc>
          <w:tcPr>
            <w:tcW w:w="1150" w:type="dxa"/>
            <w:tcBorders>
              <w:top w:val="nil"/>
              <w:left w:val="nil"/>
              <w:bottom w:val="single" w:sz="4" w:space="0" w:color="auto"/>
              <w:right w:val="double" w:sz="4" w:space="0" w:color="auto"/>
            </w:tcBorders>
            <w:shd w:val="clear" w:color="auto" w:fill="auto"/>
            <w:noWrap/>
            <w:vAlign w:val="center"/>
            <w:hideMark/>
          </w:tcPr>
          <w:p w14:paraId="11C8EC98" w14:textId="77777777" w:rsidR="00BD39E0" w:rsidRPr="00D75131" w:rsidRDefault="00BD39E0" w:rsidP="00D337DB">
            <w:pPr>
              <w:jc w:val="right"/>
              <w:rPr>
                <w:b/>
                <w:bCs/>
                <w:color w:val="000000"/>
                <w:sz w:val="22"/>
                <w:szCs w:val="22"/>
              </w:rPr>
            </w:pPr>
            <w:r>
              <w:rPr>
                <w:b/>
                <w:bCs/>
                <w:color w:val="000000"/>
                <w:sz w:val="22"/>
                <w:szCs w:val="22"/>
              </w:rPr>
              <w:t>0.83%</w:t>
            </w:r>
          </w:p>
        </w:tc>
      </w:tr>
      <w:tr w:rsidR="00BD39E0" w:rsidRPr="00D75131" w14:paraId="2C3AA96F" w14:textId="77777777" w:rsidTr="00D337DB">
        <w:trPr>
          <w:trHeight w:val="298"/>
        </w:trPr>
        <w:tc>
          <w:tcPr>
            <w:tcW w:w="4778" w:type="dxa"/>
            <w:tcBorders>
              <w:top w:val="single" w:sz="4" w:space="0" w:color="auto"/>
              <w:left w:val="double" w:sz="4" w:space="0" w:color="auto"/>
              <w:bottom w:val="single" w:sz="4" w:space="0" w:color="auto"/>
              <w:right w:val="single" w:sz="8" w:space="0" w:color="auto"/>
            </w:tcBorders>
            <w:shd w:val="clear" w:color="auto" w:fill="auto"/>
            <w:noWrap/>
            <w:vAlign w:val="center"/>
            <w:hideMark/>
          </w:tcPr>
          <w:p w14:paraId="1B832F15" w14:textId="77777777" w:rsidR="00BD39E0" w:rsidRPr="00D75131" w:rsidRDefault="00BD39E0" w:rsidP="00D337DB">
            <w:pPr>
              <w:rPr>
                <w:color w:val="000000"/>
                <w:sz w:val="22"/>
                <w:szCs w:val="22"/>
              </w:rPr>
            </w:pPr>
            <w:r w:rsidRPr="00D75131">
              <w:rPr>
                <w:color w:val="000000"/>
                <w:sz w:val="22"/>
                <w:szCs w:val="22"/>
              </w:rPr>
              <w:t>- от тютюневи изделия</w:t>
            </w:r>
            <w:r>
              <w:rPr>
                <w:color w:val="000000"/>
                <w:sz w:val="22"/>
                <w:szCs w:val="22"/>
              </w:rPr>
              <w:t>, вкл.авансови вноски</w:t>
            </w:r>
          </w:p>
        </w:tc>
        <w:tc>
          <w:tcPr>
            <w:tcW w:w="956" w:type="dxa"/>
            <w:tcBorders>
              <w:top w:val="single" w:sz="4" w:space="0" w:color="auto"/>
              <w:left w:val="nil"/>
              <w:bottom w:val="single" w:sz="4" w:space="0" w:color="auto"/>
              <w:right w:val="single" w:sz="8" w:space="0" w:color="auto"/>
            </w:tcBorders>
            <w:shd w:val="clear" w:color="auto" w:fill="auto"/>
            <w:noWrap/>
            <w:vAlign w:val="center"/>
            <w:hideMark/>
          </w:tcPr>
          <w:p w14:paraId="12B1FADE" w14:textId="77777777" w:rsidR="00BD39E0" w:rsidRPr="00D75131" w:rsidRDefault="00BD39E0" w:rsidP="00D337DB">
            <w:pPr>
              <w:jc w:val="right"/>
              <w:rPr>
                <w:color w:val="000000"/>
                <w:sz w:val="22"/>
                <w:szCs w:val="22"/>
              </w:rPr>
            </w:pPr>
            <w:r>
              <w:rPr>
                <w:color w:val="000000"/>
                <w:sz w:val="22"/>
                <w:szCs w:val="22"/>
              </w:rPr>
              <w:t>2</w:t>
            </w:r>
            <w:r w:rsidRPr="00E66F80">
              <w:rPr>
                <w:color w:val="000000"/>
                <w:sz w:val="22"/>
              </w:rPr>
              <w:t>,</w:t>
            </w:r>
            <w:r>
              <w:rPr>
                <w:color w:val="000000"/>
                <w:sz w:val="22"/>
                <w:szCs w:val="22"/>
              </w:rPr>
              <w:t>868.5</w:t>
            </w:r>
          </w:p>
        </w:tc>
        <w:tc>
          <w:tcPr>
            <w:tcW w:w="1052" w:type="dxa"/>
            <w:tcBorders>
              <w:top w:val="single" w:sz="4" w:space="0" w:color="auto"/>
              <w:left w:val="nil"/>
              <w:bottom w:val="single" w:sz="4" w:space="0" w:color="auto"/>
              <w:right w:val="single" w:sz="8" w:space="0" w:color="auto"/>
            </w:tcBorders>
            <w:shd w:val="clear" w:color="auto" w:fill="auto"/>
            <w:noWrap/>
            <w:vAlign w:val="center"/>
            <w:hideMark/>
          </w:tcPr>
          <w:p w14:paraId="50F1E001" w14:textId="77777777" w:rsidR="00BD39E0" w:rsidRPr="00D75131" w:rsidRDefault="00BD39E0" w:rsidP="00D337DB">
            <w:pPr>
              <w:jc w:val="right"/>
              <w:rPr>
                <w:color w:val="000000"/>
                <w:sz w:val="22"/>
                <w:szCs w:val="22"/>
              </w:rPr>
            </w:pPr>
            <w:r>
              <w:rPr>
                <w:color w:val="000000"/>
                <w:sz w:val="22"/>
                <w:szCs w:val="22"/>
              </w:rPr>
              <w:t>2</w:t>
            </w:r>
            <w:r w:rsidRPr="00E66F80">
              <w:rPr>
                <w:color w:val="000000"/>
                <w:sz w:val="22"/>
              </w:rPr>
              <w:t>,</w:t>
            </w:r>
            <w:r>
              <w:rPr>
                <w:color w:val="000000"/>
                <w:sz w:val="22"/>
                <w:szCs w:val="22"/>
              </w:rPr>
              <w:t>931.0</w:t>
            </w:r>
          </w:p>
        </w:tc>
        <w:tc>
          <w:tcPr>
            <w:tcW w:w="1150" w:type="dxa"/>
            <w:tcBorders>
              <w:top w:val="single" w:sz="4" w:space="0" w:color="auto"/>
              <w:left w:val="nil"/>
              <w:bottom w:val="single" w:sz="4" w:space="0" w:color="auto"/>
              <w:right w:val="single" w:sz="8" w:space="0" w:color="auto"/>
            </w:tcBorders>
            <w:shd w:val="clear" w:color="auto" w:fill="auto"/>
            <w:noWrap/>
            <w:vAlign w:val="center"/>
            <w:hideMark/>
          </w:tcPr>
          <w:p w14:paraId="6A2B5988" w14:textId="77777777" w:rsidR="00BD39E0" w:rsidRPr="00D75131" w:rsidRDefault="00BD39E0" w:rsidP="00D337DB">
            <w:pPr>
              <w:jc w:val="right"/>
              <w:rPr>
                <w:color w:val="000000"/>
                <w:sz w:val="22"/>
                <w:szCs w:val="22"/>
              </w:rPr>
            </w:pPr>
            <w:r>
              <w:rPr>
                <w:color w:val="000000"/>
                <w:sz w:val="22"/>
                <w:szCs w:val="22"/>
              </w:rPr>
              <w:t>62.5</w:t>
            </w:r>
          </w:p>
        </w:tc>
        <w:tc>
          <w:tcPr>
            <w:tcW w:w="1150" w:type="dxa"/>
            <w:tcBorders>
              <w:top w:val="single" w:sz="4" w:space="0" w:color="auto"/>
              <w:left w:val="nil"/>
              <w:bottom w:val="single" w:sz="4" w:space="0" w:color="auto"/>
              <w:right w:val="double" w:sz="4" w:space="0" w:color="auto"/>
            </w:tcBorders>
            <w:shd w:val="clear" w:color="auto" w:fill="auto"/>
            <w:noWrap/>
            <w:vAlign w:val="center"/>
            <w:hideMark/>
          </w:tcPr>
          <w:p w14:paraId="1C16A813" w14:textId="77777777" w:rsidR="00BD39E0" w:rsidRPr="00D75131" w:rsidRDefault="00BD39E0" w:rsidP="00D337DB">
            <w:pPr>
              <w:jc w:val="right"/>
              <w:rPr>
                <w:color w:val="000000"/>
                <w:sz w:val="22"/>
                <w:szCs w:val="22"/>
              </w:rPr>
            </w:pPr>
            <w:r>
              <w:rPr>
                <w:color w:val="000000"/>
                <w:sz w:val="22"/>
                <w:szCs w:val="22"/>
              </w:rPr>
              <w:t>2.18%</w:t>
            </w:r>
          </w:p>
        </w:tc>
      </w:tr>
      <w:tr w:rsidR="00BD39E0" w:rsidRPr="00D75131" w14:paraId="008F8AE3" w14:textId="77777777" w:rsidTr="00D337DB">
        <w:trPr>
          <w:trHeight w:val="251"/>
        </w:trPr>
        <w:tc>
          <w:tcPr>
            <w:tcW w:w="4778" w:type="dxa"/>
            <w:tcBorders>
              <w:top w:val="single" w:sz="4" w:space="0" w:color="auto"/>
              <w:left w:val="double" w:sz="4" w:space="0" w:color="auto"/>
              <w:bottom w:val="single" w:sz="4" w:space="0" w:color="auto"/>
              <w:right w:val="single" w:sz="8" w:space="0" w:color="auto"/>
            </w:tcBorders>
            <w:shd w:val="clear" w:color="auto" w:fill="auto"/>
            <w:noWrap/>
            <w:vAlign w:val="center"/>
            <w:hideMark/>
          </w:tcPr>
          <w:p w14:paraId="6182DA91" w14:textId="77777777" w:rsidR="00BD39E0" w:rsidRPr="00D75131" w:rsidRDefault="00BD39E0" w:rsidP="00D337DB">
            <w:pPr>
              <w:rPr>
                <w:color w:val="000000"/>
                <w:sz w:val="22"/>
                <w:szCs w:val="22"/>
              </w:rPr>
            </w:pPr>
            <w:r w:rsidRPr="00D75131">
              <w:rPr>
                <w:color w:val="000000"/>
                <w:sz w:val="22"/>
                <w:szCs w:val="22"/>
              </w:rPr>
              <w:t>- от горива (вкл. природен газ)</w:t>
            </w:r>
          </w:p>
        </w:tc>
        <w:tc>
          <w:tcPr>
            <w:tcW w:w="956" w:type="dxa"/>
            <w:tcBorders>
              <w:top w:val="single" w:sz="4" w:space="0" w:color="auto"/>
              <w:left w:val="nil"/>
              <w:bottom w:val="single" w:sz="4" w:space="0" w:color="auto"/>
              <w:right w:val="single" w:sz="8" w:space="0" w:color="auto"/>
            </w:tcBorders>
            <w:shd w:val="clear" w:color="auto" w:fill="auto"/>
            <w:noWrap/>
            <w:vAlign w:val="center"/>
            <w:hideMark/>
          </w:tcPr>
          <w:p w14:paraId="7407E54F" w14:textId="77777777" w:rsidR="00BD39E0" w:rsidRPr="00D75131" w:rsidRDefault="00BD39E0" w:rsidP="00D337DB">
            <w:pPr>
              <w:jc w:val="right"/>
              <w:rPr>
                <w:color w:val="000000"/>
                <w:sz w:val="22"/>
                <w:szCs w:val="22"/>
              </w:rPr>
            </w:pPr>
            <w:r>
              <w:rPr>
                <w:color w:val="000000"/>
                <w:sz w:val="22"/>
                <w:szCs w:val="22"/>
              </w:rPr>
              <w:t>2</w:t>
            </w:r>
            <w:r w:rsidRPr="00E66F80">
              <w:rPr>
                <w:color w:val="000000"/>
                <w:sz w:val="22"/>
              </w:rPr>
              <w:t>,</w:t>
            </w:r>
            <w:r>
              <w:rPr>
                <w:color w:val="000000"/>
                <w:sz w:val="22"/>
                <w:szCs w:val="22"/>
              </w:rPr>
              <w:t>441.1</w:t>
            </w:r>
          </w:p>
        </w:tc>
        <w:tc>
          <w:tcPr>
            <w:tcW w:w="1052" w:type="dxa"/>
            <w:tcBorders>
              <w:top w:val="single" w:sz="4" w:space="0" w:color="auto"/>
              <w:left w:val="nil"/>
              <w:bottom w:val="single" w:sz="4" w:space="0" w:color="auto"/>
              <w:right w:val="single" w:sz="8" w:space="0" w:color="auto"/>
            </w:tcBorders>
            <w:shd w:val="clear" w:color="auto" w:fill="auto"/>
            <w:noWrap/>
            <w:vAlign w:val="center"/>
            <w:hideMark/>
          </w:tcPr>
          <w:p w14:paraId="6DF4F278" w14:textId="77777777" w:rsidR="00BD39E0" w:rsidRPr="00D75131" w:rsidRDefault="00BD39E0" w:rsidP="00D337DB">
            <w:pPr>
              <w:jc w:val="right"/>
              <w:rPr>
                <w:color w:val="000000"/>
                <w:sz w:val="22"/>
                <w:szCs w:val="22"/>
              </w:rPr>
            </w:pPr>
            <w:r>
              <w:rPr>
                <w:color w:val="000000"/>
                <w:sz w:val="22"/>
                <w:szCs w:val="22"/>
              </w:rPr>
              <w:t>2</w:t>
            </w:r>
            <w:r w:rsidRPr="00E66F80">
              <w:rPr>
                <w:color w:val="000000"/>
                <w:sz w:val="22"/>
              </w:rPr>
              <w:t>,</w:t>
            </w:r>
            <w:r>
              <w:rPr>
                <w:color w:val="000000"/>
                <w:sz w:val="22"/>
                <w:szCs w:val="22"/>
              </w:rPr>
              <w:t>414.2</w:t>
            </w:r>
          </w:p>
        </w:tc>
        <w:tc>
          <w:tcPr>
            <w:tcW w:w="1150" w:type="dxa"/>
            <w:tcBorders>
              <w:top w:val="single" w:sz="4" w:space="0" w:color="auto"/>
              <w:left w:val="nil"/>
              <w:bottom w:val="single" w:sz="4" w:space="0" w:color="auto"/>
              <w:right w:val="single" w:sz="8" w:space="0" w:color="auto"/>
            </w:tcBorders>
            <w:shd w:val="clear" w:color="auto" w:fill="auto"/>
            <w:noWrap/>
            <w:vAlign w:val="center"/>
            <w:hideMark/>
          </w:tcPr>
          <w:p w14:paraId="6906DFA6" w14:textId="77777777" w:rsidR="00BD39E0" w:rsidRPr="00D75131" w:rsidRDefault="00BD39E0" w:rsidP="00D337DB">
            <w:pPr>
              <w:jc w:val="right"/>
              <w:rPr>
                <w:color w:val="000000"/>
                <w:sz w:val="22"/>
                <w:szCs w:val="22"/>
              </w:rPr>
            </w:pPr>
            <w:r>
              <w:rPr>
                <w:color w:val="000000"/>
                <w:sz w:val="22"/>
                <w:szCs w:val="22"/>
              </w:rPr>
              <w:t>-26.9</w:t>
            </w:r>
          </w:p>
        </w:tc>
        <w:tc>
          <w:tcPr>
            <w:tcW w:w="1150" w:type="dxa"/>
            <w:tcBorders>
              <w:top w:val="single" w:sz="4" w:space="0" w:color="auto"/>
              <w:left w:val="nil"/>
              <w:bottom w:val="single" w:sz="4" w:space="0" w:color="auto"/>
              <w:right w:val="double" w:sz="4" w:space="0" w:color="auto"/>
            </w:tcBorders>
            <w:shd w:val="clear" w:color="auto" w:fill="auto"/>
            <w:noWrap/>
            <w:vAlign w:val="center"/>
            <w:hideMark/>
          </w:tcPr>
          <w:p w14:paraId="47BEDF76" w14:textId="77777777" w:rsidR="00BD39E0" w:rsidRPr="00D75131" w:rsidRDefault="00BD39E0" w:rsidP="00D337DB">
            <w:pPr>
              <w:jc w:val="right"/>
              <w:rPr>
                <w:color w:val="000000"/>
                <w:sz w:val="22"/>
                <w:szCs w:val="22"/>
              </w:rPr>
            </w:pPr>
            <w:r>
              <w:rPr>
                <w:color w:val="000000"/>
                <w:sz w:val="22"/>
                <w:szCs w:val="22"/>
              </w:rPr>
              <w:t>-1.10%</w:t>
            </w:r>
          </w:p>
        </w:tc>
      </w:tr>
      <w:tr w:rsidR="00BD39E0" w:rsidRPr="00D75131" w14:paraId="53E4C74B" w14:textId="77777777" w:rsidTr="00D337DB">
        <w:trPr>
          <w:trHeight w:val="251"/>
        </w:trPr>
        <w:tc>
          <w:tcPr>
            <w:tcW w:w="4778" w:type="dxa"/>
            <w:tcBorders>
              <w:top w:val="single" w:sz="4" w:space="0" w:color="auto"/>
              <w:left w:val="double" w:sz="4" w:space="0" w:color="auto"/>
              <w:bottom w:val="single" w:sz="4" w:space="0" w:color="auto"/>
              <w:right w:val="single" w:sz="8" w:space="0" w:color="auto"/>
            </w:tcBorders>
            <w:shd w:val="clear" w:color="auto" w:fill="auto"/>
            <w:noWrap/>
            <w:vAlign w:val="center"/>
            <w:hideMark/>
          </w:tcPr>
          <w:p w14:paraId="1DCFD1DA" w14:textId="77777777" w:rsidR="00BD39E0" w:rsidRPr="00D75131" w:rsidRDefault="00BD39E0" w:rsidP="00D337DB">
            <w:pPr>
              <w:rPr>
                <w:color w:val="000000"/>
                <w:sz w:val="22"/>
                <w:szCs w:val="22"/>
              </w:rPr>
            </w:pPr>
            <w:r w:rsidRPr="00D75131">
              <w:rPr>
                <w:color w:val="000000"/>
                <w:sz w:val="22"/>
                <w:szCs w:val="22"/>
              </w:rPr>
              <w:t>- от високоалкохолни напитки и бира</w:t>
            </w:r>
          </w:p>
        </w:tc>
        <w:tc>
          <w:tcPr>
            <w:tcW w:w="956" w:type="dxa"/>
            <w:tcBorders>
              <w:top w:val="single" w:sz="4" w:space="0" w:color="auto"/>
              <w:left w:val="nil"/>
              <w:bottom w:val="single" w:sz="4" w:space="0" w:color="auto"/>
              <w:right w:val="single" w:sz="8" w:space="0" w:color="auto"/>
            </w:tcBorders>
            <w:shd w:val="clear" w:color="auto" w:fill="auto"/>
            <w:noWrap/>
            <w:vAlign w:val="center"/>
            <w:hideMark/>
          </w:tcPr>
          <w:p w14:paraId="48B25231" w14:textId="77777777" w:rsidR="00BD39E0" w:rsidRPr="00D75131" w:rsidRDefault="00BD39E0" w:rsidP="00D337DB">
            <w:pPr>
              <w:jc w:val="right"/>
              <w:rPr>
                <w:color w:val="000000"/>
                <w:sz w:val="22"/>
                <w:szCs w:val="22"/>
              </w:rPr>
            </w:pPr>
            <w:r>
              <w:rPr>
                <w:color w:val="000000"/>
                <w:sz w:val="22"/>
                <w:szCs w:val="22"/>
              </w:rPr>
              <w:t>307.7</w:t>
            </w:r>
          </w:p>
        </w:tc>
        <w:tc>
          <w:tcPr>
            <w:tcW w:w="1052" w:type="dxa"/>
            <w:tcBorders>
              <w:top w:val="single" w:sz="4" w:space="0" w:color="auto"/>
              <w:left w:val="nil"/>
              <w:bottom w:val="single" w:sz="4" w:space="0" w:color="auto"/>
              <w:right w:val="single" w:sz="8" w:space="0" w:color="auto"/>
            </w:tcBorders>
            <w:shd w:val="clear" w:color="auto" w:fill="auto"/>
            <w:noWrap/>
            <w:vAlign w:val="center"/>
            <w:hideMark/>
          </w:tcPr>
          <w:p w14:paraId="7C07F767" w14:textId="77777777" w:rsidR="00BD39E0" w:rsidRPr="00D75131" w:rsidRDefault="00BD39E0" w:rsidP="00D337DB">
            <w:pPr>
              <w:jc w:val="right"/>
              <w:rPr>
                <w:color w:val="000000"/>
                <w:sz w:val="22"/>
                <w:szCs w:val="22"/>
              </w:rPr>
            </w:pPr>
            <w:r>
              <w:rPr>
                <w:color w:val="000000"/>
                <w:sz w:val="22"/>
                <w:szCs w:val="22"/>
              </w:rPr>
              <w:t>320.1</w:t>
            </w:r>
          </w:p>
        </w:tc>
        <w:tc>
          <w:tcPr>
            <w:tcW w:w="1150" w:type="dxa"/>
            <w:tcBorders>
              <w:top w:val="single" w:sz="4" w:space="0" w:color="auto"/>
              <w:left w:val="nil"/>
              <w:bottom w:val="single" w:sz="4" w:space="0" w:color="auto"/>
              <w:right w:val="single" w:sz="8" w:space="0" w:color="auto"/>
            </w:tcBorders>
            <w:shd w:val="clear" w:color="auto" w:fill="auto"/>
            <w:noWrap/>
            <w:vAlign w:val="center"/>
            <w:hideMark/>
          </w:tcPr>
          <w:p w14:paraId="58AB2B98" w14:textId="77777777" w:rsidR="00BD39E0" w:rsidRPr="00D75131" w:rsidRDefault="00BD39E0" w:rsidP="00D337DB">
            <w:pPr>
              <w:jc w:val="right"/>
              <w:rPr>
                <w:color w:val="000000"/>
                <w:sz w:val="22"/>
                <w:szCs w:val="22"/>
              </w:rPr>
            </w:pPr>
            <w:r>
              <w:rPr>
                <w:color w:val="000000"/>
                <w:sz w:val="22"/>
                <w:szCs w:val="22"/>
              </w:rPr>
              <w:t>12.4</w:t>
            </w:r>
          </w:p>
        </w:tc>
        <w:tc>
          <w:tcPr>
            <w:tcW w:w="1150" w:type="dxa"/>
            <w:tcBorders>
              <w:top w:val="single" w:sz="4" w:space="0" w:color="auto"/>
              <w:left w:val="nil"/>
              <w:bottom w:val="single" w:sz="4" w:space="0" w:color="auto"/>
              <w:right w:val="double" w:sz="4" w:space="0" w:color="auto"/>
            </w:tcBorders>
            <w:shd w:val="clear" w:color="auto" w:fill="auto"/>
            <w:noWrap/>
            <w:vAlign w:val="center"/>
            <w:hideMark/>
          </w:tcPr>
          <w:p w14:paraId="39B445C1" w14:textId="77777777" w:rsidR="00BD39E0" w:rsidRPr="00D75131" w:rsidRDefault="00BD39E0" w:rsidP="00D337DB">
            <w:pPr>
              <w:jc w:val="right"/>
              <w:rPr>
                <w:color w:val="000000"/>
                <w:sz w:val="22"/>
                <w:szCs w:val="22"/>
              </w:rPr>
            </w:pPr>
            <w:r>
              <w:rPr>
                <w:color w:val="000000"/>
                <w:sz w:val="22"/>
                <w:szCs w:val="22"/>
              </w:rPr>
              <w:t>4.03%</w:t>
            </w:r>
          </w:p>
        </w:tc>
      </w:tr>
      <w:tr w:rsidR="00BD39E0" w:rsidRPr="00D75131" w14:paraId="6CA565DD" w14:textId="77777777" w:rsidTr="00D337DB">
        <w:trPr>
          <w:trHeight w:val="270"/>
        </w:trPr>
        <w:tc>
          <w:tcPr>
            <w:tcW w:w="4778" w:type="dxa"/>
            <w:tcBorders>
              <w:top w:val="single" w:sz="4" w:space="0" w:color="auto"/>
              <w:left w:val="double" w:sz="4" w:space="0" w:color="auto"/>
              <w:bottom w:val="double" w:sz="4" w:space="0" w:color="auto"/>
              <w:right w:val="single" w:sz="8" w:space="0" w:color="auto"/>
            </w:tcBorders>
            <w:shd w:val="clear" w:color="auto" w:fill="auto"/>
            <w:noWrap/>
            <w:vAlign w:val="center"/>
            <w:hideMark/>
          </w:tcPr>
          <w:p w14:paraId="0ABE5B58" w14:textId="77777777" w:rsidR="00BD39E0" w:rsidRPr="00D75131" w:rsidRDefault="00BD39E0" w:rsidP="00D337DB">
            <w:pPr>
              <w:rPr>
                <w:color w:val="000000"/>
                <w:sz w:val="22"/>
                <w:szCs w:val="22"/>
              </w:rPr>
            </w:pPr>
            <w:r w:rsidRPr="00D75131">
              <w:rPr>
                <w:color w:val="000000"/>
                <w:sz w:val="22"/>
                <w:szCs w:val="22"/>
              </w:rPr>
              <w:t>- от други стоки (вкл. ел. енергия)</w:t>
            </w:r>
          </w:p>
        </w:tc>
        <w:tc>
          <w:tcPr>
            <w:tcW w:w="956" w:type="dxa"/>
            <w:tcBorders>
              <w:top w:val="single" w:sz="4" w:space="0" w:color="auto"/>
              <w:left w:val="nil"/>
              <w:bottom w:val="double" w:sz="4" w:space="0" w:color="auto"/>
              <w:right w:val="single" w:sz="8" w:space="0" w:color="auto"/>
            </w:tcBorders>
            <w:shd w:val="clear" w:color="auto" w:fill="auto"/>
            <w:noWrap/>
            <w:vAlign w:val="center"/>
            <w:hideMark/>
          </w:tcPr>
          <w:p w14:paraId="43C3034E" w14:textId="77777777" w:rsidR="00BD39E0" w:rsidRPr="00D75131" w:rsidRDefault="00BD39E0" w:rsidP="00D337DB">
            <w:pPr>
              <w:jc w:val="right"/>
              <w:rPr>
                <w:color w:val="000000"/>
                <w:sz w:val="22"/>
                <w:szCs w:val="22"/>
              </w:rPr>
            </w:pPr>
            <w:r>
              <w:rPr>
                <w:color w:val="000000"/>
                <w:sz w:val="22"/>
                <w:szCs w:val="22"/>
              </w:rPr>
              <w:t>42.5</w:t>
            </w:r>
          </w:p>
        </w:tc>
        <w:tc>
          <w:tcPr>
            <w:tcW w:w="1052" w:type="dxa"/>
            <w:tcBorders>
              <w:top w:val="single" w:sz="4" w:space="0" w:color="auto"/>
              <w:left w:val="nil"/>
              <w:bottom w:val="double" w:sz="4" w:space="0" w:color="auto"/>
              <w:right w:val="single" w:sz="8" w:space="0" w:color="auto"/>
            </w:tcBorders>
            <w:shd w:val="clear" w:color="auto" w:fill="auto"/>
            <w:noWrap/>
            <w:vAlign w:val="center"/>
            <w:hideMark/>
          </w:tcPr>
          <w:p w14:paraId="2B6293FD" w14:textId="77777777" w:rsidR="00BD39E0" w:rsidRPr="00D75131" w:rsidRDefault="00BD39E0" w:rsidP="00D337DB">
            <w:pPr>
              <w:jc w:val="right"/>
              <w:rPr>
                <w:color w:val="000000"/>
                <w:sz w:val="22"/>
                <w:szCs w:val="22"/>
              </w:rPr>
            </w:pPr>
            <w:r>
              <w:rPr>
                <w:color w:val="000000"/>
                <w:sz w:val="22"/>
                <w:szCs w:val="22"/>
              </w:rPr>
              <w:t>41.6</w:t>
            </w:r>
          </w:p>
        </w:tc>
        <w:tc>
          <w:tcPr>
            <w:tcW w:w="1150" w:type="dxa"/>
            <w:tcBorders>
              <w:top w:val="single" w:sz="4" w:space="0" w:color="auto"/>
              <w:left w:val="nil"/>
              <w:bottom w:val="double" w:sz="4" w:space="0" w:color="auto"/>
              <w:right w:val="single" w:sz="8" w:space="0" w:color="auto"/>
            </w:tcBorders>
            <w:shd w:val="clear" w:color="auto" w:fill="auto"/>
            <w:noWrap/>
            <w:vAlign w:val="center"/>
            <w:hideMark/>
          </w:tcPr>
          <w:p w14:paraId="7FD423C7" w14:textId="77777777" w:rsidR="00BD39E0" w:rsidRPr="00D75131" w:rsidRDefault="00BD39E0" w:rsidP="00D337DB">
            <w:pPr>
              <w:jc w:val="right"/>
              <w:rPr>
                <w:color w:val="000000"/>
                <w:sz w:val="22"/>
                <w:szCs w:val="22"/>
              </w:rPr>
            </w:pPr>
            <w:r>
              <w:rPr>
                <w:color w:val="000000"/>
                <w:sz w:val="22"/>
                <w:szCs w:val="22"/>
              </w:rPr>
              <w:t>-0.9</w:t>
            </w:r>
          </w:p>
        </w:tc>
        <w:tc>
          <w:tcPr>
            <w:tcW w:w="1150" w:type="dxa"/>
            <w:tcBorders>
              <w:top w:val="single" w:sz="4" w:space="0" w:color="auto"/>
              <w:left w:val="nil"/>
              <w:bottom w:val="double" w:sz="4" w:space="0" w:color="auto"/>
              <w:right w:val="double" w:sz="4" w:space="0" w:color="auto"/>
            </w:tcBorders>
            <w:shd w:val="clear" w:color="auto" w:fill="auto"/>
            <w:noWrap/>
            <w:vAlign w:val="center"/>
            <w:hideMark/>
          </w:tcPr>
          <w:p w14:paraId="086D8574" w14:textId="77777777" w:rsidR="00BD39E0" w:rsidRPr="00D75131" w:rsidRDefault="00BD39E0" w:rsidP="00D337DB">
            <w:pPr>
              <w:jc w:val="right"/>
              <w:rPr>
                <w:color w:val="000000"/>
                <w:sz w:val="22"/>
                <w:szCs w:val="22"/>
              </w:rPr>
            </w:pPr>
            <w:r>
              <w:rPr>
                <w:color w:val="000000"/>
                <w:sz w:val="22"/>
                <w:szCs w:val="22"/>
              </w:rPr>
              <w:t>-2.22%</w:t>
            </w:r>
          </w:p>
        </w:tc>
      </w:tr>
    </w:tbl>
    <w:p w14:paraId="2041CE5E" w14:textId="77777777" w:rsidR="00BD39E0" w:rsidRPr="00E66F80" w:rsidRDefault="00BD39E0" w:rsidP="00BD39E0">
      <w:pPr>
        <w:spacing w:after="120"/>
        <w:rPr>
          <w:sz w:val="22"/>
        </w:rPr>
      </w:pPr>
      <w:r w:rsidRPr="00FE1886">
        <w:rPr>
          <w:bCs/>
        </w:rPr>
        <w:tab/>
      </w:r>
      <w:r w:rsidRPr="00FE1886">
        <w:rPr>
          <w:i/>
        </w:rPr>
        <w:t xml:space="preserve">      </w:t>
      </w:r>
      <w:r w:rsidRPr="00FE1886">
        <w:rPr>
          <w:i/>
        </w:rPr>
        <w:tab/>
      </w:r>
      <w:r w:rsidRPr="00FE1886">
        <w:rPr>
          <w:i/>
        </w:rPr>
        <w:tab/>
      </w:r>
      <w:r w:rsidRPr="00FE1886">
        <w:rPr>
          <w:i/>
        </w:rPr>
        <w:tab/>
      </w:r>
      <w:r w:rsidRPr="00FE1886">
        <w:rPr>
          <w:i/>
        </w:rPr>
        <w:tab/>
      </w:r>
      <w:r w:rsidRPr="00FE1886">
        <w:rPr>
          <w:i/>
        </w:rPr>
        <w:tab/>
      </w:r>
      <w:r w:rsidRPr="00FE1886">
        <w:rPr>
          <w:i/>
        </w:rPr>
        <w:tab/>
      </w:r>
      <w:r w:rsidRPr="00E66F80">
        <w:rPr>
          <w:i/>
          <w:sz w:val="22"/>
        </w:rPr>
        <w:t>Източник: Министерство на финансите</w:t>
      </w:r>
    </w:p>
    <w:p w14:paraId="1796A206" w14:textId="77777777" w:rsidR="00BD39E0" w:rsidRPr="00003485" w:rsidRDefault="00BD39E0" w:rsidP="00BD39E0">
      <w:pPr>
        <w:tabs>
          <w:tab w:val="left" w:pos="0"/>
          <w:tab w:val="left" w:pos="9360"/>
        </w:tabs>
        <w:spacing w:after="120"/>
        <w:ind w:firstLine="630"/>
        <w:jc w:val="both"/>
      </w:pPr>
      <w:r w:rsidRPr="00FE1886" w:rsidDel="005A23D3">
        <w:t xml:space="preserve"> </w:t>
      </w:r>
      <w:r w:rsidRPr="00FE1886">
        <w:rPr>
          <w:i/>
        </w:rPr>
        <w:t>Акцизи от тютюневи изделия</w:t>
      </w:r>
      <w:r w:rsidRPr="00FE1886">
        <w:t xml:space="preserve"> </w:t>
      </w:r>
    </w:p>
    <w:p w14:paraId="08D28AA9" w14:textId="77777777" w:rsidR="00BD39E0" w:rsidRDefault="00BD39E0" w:rsidP="00BF1BD4">
      <w:pPr>
        <w:tabs>
          <w:tab w:val="left" w:pos="0"/>
        </w:tabs>
        <w:autoSpaceDE w:val="0"/>
        <w:autoSpaceDN w:val="0"/>
        <w:adjustRightInd w:val="0"/>
        <w:ind w:firstLine="709"/>
        <w:jc w:val="both"/>
        <w:rPr>
          <w:iCs/>
        </w:rPr>
      </w:pPr>
      <w:r w:rsidRPr="00FE1886">
        <w:rPr>
          <w:iCs/>
        </w:rPr>
        <w:t xml:space="preserve">Приходите от </w:t>
      </w:r>
      <w:r w:rsidRPr="00FE1886">
        <w:rPr>
          <w:i/>
          <w:iCs/>
          <w:u w:val="single"/>
        </w:rPr>
        <w:t>тютюневи изделия</w:t>
      </w:r>
      <w:r w:rsidRPr="00FE1886">
        <w:rPr>
          <w:iCs/>
        </w:rPr>
        <w:t xml:space="preserve"> </w:t>
      </w:r>
      <w:r>
        <w:rPr>
          <w:iCs/>
        </w:rPr>
        <w:t xml:space="preserve">(нето) </w:t>
      </w:r>
      <w:r w:rsidRPr="00FE1886">
        <w:rPr>
          <w:iCs/>
        </w:rPr>
        <w:t xml:space="preserve">са в размер на </w:t>
      </w:r>
      <w:r w:rsidRPr="00E66F80">
        <w:rPr>
          <w:b/>
        </w:rPr>
        <w:t>2</w:t>
      </w:r>
      <w:r>
        <w:rPr>
          <w:b/>
        </w:rPr>
        <w:t> </w:t>
      </w:r>
      <w:r w:rsidRPr="00AE5794">
        <w:rPr>
          <w:b/>
          <w:iCs/>
        </w:rPr>
        <w:t>931</w:t>
      </w:r>
      <w:r>
        <w:rPr>
          <w:b/>
          <w:iCs/>
        </w:rPr>
        <w:t>,0</w:t>
      </w:r>
      <w:r w:rsidRPr="00E66F80">
        <w:rPr>
          <w:b/>
        </w:rPr>
        <w:t xml:space="preserve"> млн. лв. </w:t>
      </w:r>
      <w:r w:rsidRPr="00FE1886">
        <w:rPr>
          <w:iCs/>
        </w:rPr>
        <w:t xml:space="preserve">и се увеличават с </w:t>
      </w:r>
      <w:r>
        <w:rPr>
          <w:iCs/>
        </w:rPr>
        <w:t>62</w:t>
      </w:r>
      <w:r w:rsidRPr="00FE1886">
        <w:rPr>
          <w:iCs/>
        </w:rPr>
        <w:t>,</w:t>
      </w:r>
      <w:r>
        <w:rPr>
          <w:iCs/>
        </w:rPr>
        <w:t>5</w:t>
      </w:r>
      <w:r w:rsidRPr="00FE1886">
        <w:rPr>
          <w:iCs/>
        </w:rPr>
        <w:t xml:space="preserve"> млн. лв. </w:t>
      </w:r>
      <w:r w:rsidRPr="00F339F8">
        <w:rPr>
          <w:iCs/>
        </w:rPr>
        <w:t>(</w:t>
      </w:r>
      <w:r>
        <w:rPr>
          <w:iCs/>
        </w:rPr>
        <w:t>2</w:t>
      </w:r>
      <w:r w:rsidRPr="00FE1886">
        <w:rPr>
          <w:iCs/>
        </w:rPr>
        <w:t>,</w:t>
      </w:r>
      <w:r>
        <w:rPr>
          <w:iCs/>
        </w:rPr>
        <w:t>2</w:t>
      </w:r>
      <w:r w:rsidRPr="00FE1886">
        <w:rPr>
          <w:iCs/>
        </w:rPr>
        <w:t xml:space="preserve"> %</w:t>
      </w:r>
      <w:r w:rsidRPr="00F339F8">
        <w:rPr>
          <w:iCs/>
        </w:rPr>
        <w:t>)</w:t>
      </w:r>
      <w:r w:rsidRPr="00FE1886">
        <w:rPr>
          <w:iCs/>
        </w:rPr>
        <w:t xml:space="preserve"> спрямо 202</w:t>
      </w:r>
      <w:r>
        <w:rPr>
          <w:iCs/>
        </w:rPr>
        <w:t>1</w:t>
      </w:r>
      <w:r w:rsidRPr="00FE1886">
        <w:rPr>
          <w:iCs/>
        </w:rPr>
        <w:t xml:space="preserve"> година. </w:t>
      </w:r>
      <w:r>
        <w:rPr>
          <w:iCs/>
        </w:rPr>
        <w:t>В</w:t>
      </w:r>
      <w:r w:rsidRPr="00527A0D">
        <w:rPr>
          <w:iCs/>
        </w:rPr>
        <w:t>ъведена</w:t>
      </w:r>
      <w:r>
        <w:rPr>
          <w:iCs/>
        </w:rPr>
        <w:t>та практика от началото на 2020 г.</w:t>
      </w:r>
      <w:r w:rsidRPr="00527A0D">
        <w:rPr>
          <w:iCs/>
        </w:rPr>
        <w:t xml:space="preserve"> за авансово внасяне на суми за акциз</w:t>
      </w:r>
      <w:r>
        <w:rPr>
          <w:iCs/>
        </w:rPr>
        <w:t xml:space="preserve"> за цигари е прекратена през август </w:t>
      </w:r>
      <w:r w:rsidRPr="00637C23">
        <w:rPr>
          <w:iCs/>
        </w:rPr>
        <w:t>2022 г., което доведе до авансово увеличаване на касовите приходи през предходните две години (за 2021 г. авансово са платени 25,5 млн.лв. и са включени в отчета) за сметка на следващата 2022 година. Пълното усвояване на тези предварително внесени суми в размер на 77,8 млн. лв. са довели до намаление на годишните брутни постъпления от цигарите (3 008,8 млн.лв.).</w:t>
      </w:r>
      <w:r w:rsidRPr="00527A0D">
        <w:rPr>
          <w:iCs/>
        </w:rPr>
        <w:t xml:space="preserve"> </w:t>
      </w:r>
    </w:p>
    <w:p w14:paraId="101E3E01" w14:textId="77777777" w:rsidR="00BD39E0" w:rsidRDefault="00BD39E0" w:rsidP="00BF1BD4">
      <w:pPr>
        <w:tabs>
          <w:tab w:val="left" w:pos="0"/>
        </w:tabs>
        <w:autoSpaceDE w:val="0"/>
        <w:autoSpaceDN w:val="0"/>
        <w:adjustRightInd w:val="0"/>
        <w:ind w:firstLine="709"/>
        <w:jc w:val="both"/>
      </w:pPr>
      <w:r w:rsidRPr="00AF4D21">
        <w:rPr>
          <w:iCs/>
        </w:rPr>
        <w:t xml:space="preserve">Количествата на обложените с </w:t>
      </w:r>
      <w:r w:rsidRPr="00E66F80">
        <w:rPr>
          <w:i/>
          <w:u w:val="single"/>
        </w:rPr>
        <w:t xml:space="preserve">акциз </w:t>
      </w:r>
      <w:r w:rsidRPr="00AF4D21">
        <w:rPr>
          <w:i/>
          <w:iCs/>
          <w:u w:val="single"/>
        </w:rPr>
        <w:t>цигари</w:t>
      </w:r>
      <w:r w:rsidRPr="00AF4D21">
        <w:rPr>
          <w:iCs/>
        </w:rPr>
        <w:t xml:space="preserve"> нарастват с 4,9 % (от 15 205.3 млн. къса за 2021 г. на 15 947.8 млн. къса за 2022 г.). Средните ставки на акциза при цигарите са съответно 178,87 лв./1000 къса за 202</w:t>
      </w:r>
      <w:r>
        <w:rPr>
          <w:iCs/>
        </w:rPr>
        <w:t>1</w:t>
      </w:r>
      <w:r w:rsidRPr="00AF4D21">
        <w:rPr>
          <w:iCs/>
        </w:rPr>
        <w:t xml:space="preserve"> г. и 179,09 лв./1000 къса за 202</w:t>
      </w:r>
      <w:r>
        <w:rPr>
          <w:iCs/>
        </w:rPr>
        <w:t>2</w:t>
      </w:r>
      <w:r w:rsidRPr="00AF4D21">
        <w:rPr>
          <w:iCs/>
        </w:rPr>
        <w:t xml:space="preserve"> година. </w:t>
      </w:r>
      <w:r w:rsidRPr="00AF4D21">
        <w:t>Най-търсените ценови категории цигари през 2022 г. са тези с продажна цена 5,20 лв., 5,00 лв. и 5,40 лв., а след тях са 6,20 лв. и 6,00 лева. Делът на петте най-продавани ценови категории е 74,6 % от общото количество цигари, при 75,2 % за 2021 г</w:t>
      </w:r>
      <w:r>
        <w:t>.</w:t>
      </w:r>
      <w:r w:rsidRPr="00AF4D21">
        <w:t xml:space="preserve">. Среднопретеглената продажна цена на дребно е 5,43 лв./кутия, при 5,41 лв за предходната година. Акцизът от </w:t>
      </w:r>
      <w:r w:rsidRPr="00AF4D21">
        <w:rPr>
          <w:i/>
          <w:u w:val="single"/>
        </w:rPr>
        <w:t>тютюн за пушене</w:t>
      </w:r>
      <w:r w:rsidRPr="00AF4D21">
        <w:t xml:space="preserve"> възлиза на 78,8 млн. лв. или с 4,6 млн. лв. (6,2 %) повече от 2021 година. К</w:t>
      </w:r>
      <w:r w:rsidRPr="00AF4D21">
        <w:rPr>
          <w:iCs/>
        </w:rPr>
        <w:t>оличествата тютюн за пушене, обложени с акциз нарастват с 6,2 % на годишна база (от 488,4 тона през 2021 г. на 518,5 т през 2022 г.). Акцизната ставка на тютюна за пушене се запазва - 152 лв</w:t>
      </w:r>
      <w:r>
        <w:rPr>
          <w:iCs/>
        </w:rPr>
        <w:t>.</w:t>
      </w:r>
      <w:r w:rsidRPr="00AF4D21">
        <w:rPr>
          <w:iCs/>
        </w:rPr>
        <w:t>/к</w:t>
      </w:r>
      <w:r>
        <w:rPr>
          <w:iCs/>
        </w:rPr>
        <w:t>г</w:t>
      </w:r>
      <w:r w:rsidRPr="00AF4D21">
        <w:rPr>
          <w:iCs/>
        </w:rPr>
        <w:t>.</w:t>
      </w:r>
      <w:r w:rsidRPr="00AF4D21">
        <w:t xml:space="preserve"> Постъпленията от акциз за </w:t>
      </w:r>
      <w:r w:rsidRPr="00AF4D21">
        <w:rPr>
          <w:i/>
          <w:u w:val="single"/>
        </w:rPr>
        <w:t>нагреваеми тютюневи изделия</w:t>
      </w:r>
      <w:r w:rsidRPr="00AF4D21">
        <w:t xml:space="preserve"> са в размер на 70,1 млн. лв. или с 55,6 % (25,0 млн. лв.) повече изцяло за сметка на ръста в освободените за потребление количества. При обложените с акциз количества </w:t>
      </w:r>
      <w:r w:rsidRPr="00AF4D21">
        <w:rPr>
          <w:i/>
          <w:u w:val="single"/>
        </w:rPr>
        <w:t>пури и пурети</w:t>
      </w:r>
      <w:r w:rsidRPr="00AF4D21">
        <w:t xml:space="preserve"> се отчита незначителен ръст от 1,7 % (от 14,7 млн. къса през 2021 г. до 15,0 млн. къса за 2022 г</w:t>
      </w:r>
      <w:r>
        <w:t>.</w:t>
      </w:r>
      <w:r w:rsidRPr="00AF4D21">
        <w:t>). Приходите от това изделие са в размер на 4,0 млн. лв. и нарастват също с 1,7 % спрямо миналата година</w:t>
      </w:r>
      <w:r>
        <w:t>.</w:t>
      </w:r>
    </w:p>
    <w:p w14:paraId="733D6036" w14:textId="77777777" w:rsidR="00BD39E0" w:rsidRPr="00FE1886" w:rsidRDefault="00BD39E0" w:rsidP="00E55CF7">
      <w:pPr>
        <w:tabs>
          <w:tab w:val="right" w:pos="9072"/>
        </w:tabs>
        <w:spacing w:before="120"/>
        <w:ind w:firstLine="709"/>
        <w:jc w:val="both"/>
      </w:pPr>
      <w:r w:rsidRPr="00FE1886">
        <w:rPr>
          <w:i/>
        </w:rPr>
        <w:t>Акцизи от горива</w:t>
      </w:r>
      <w:r w:rsidRPr="00FE1886">
        <w:t xml:space="preserve"> </w:t>
      </w:r>
      <w:r w:rsidRPr="00FE1886">
        <w:rPr>
          <w:i/>
        </w:rPr>
        <w:t>(вкл. природен газ)</w:t>
      </w:r>
      <w:r w:rsidRPr="00FE1886">
        <w:t xml:space="preserve"> </w:t>
      </w:r>
    </w:p>
    <w:p w14:paraId="14A0EC22" w14:textId="77777777" w:rsidR="00BD39E0" w:rsidRPr="00AF4D21" w:rsidRDefault="00BD39E0" w:rsidP="00BF1BD4">
      <w:pPr>
        <w:tabs>
          <w:tab w:val="left" w:pos="810"/>
          <w:tab w:val="left" w:pos="990"/>
        </w:tabs>
        <w:ind w:firstLine="630"/>
        <w:jc w:val="both"/>
      </w:pPr>
      <w:r>
        <w:rPr>
          <w:iCs/>
        </w:rPr>
        <w:t>П</w:t>
      </w:r>
      <w:r w:rsidRPr="00AF4D21">
        <w:rPr>
          <w:iCs/>
        </w:rPr>
        <w:t xml:space="preserve">остъпленията </w:t>
      </w:r>
      <w:r>
        <w:rPr>
          <w:iCs/>
        </w:rPr>
        <w:t xml:space="preserve">от акциз от горива </w:t>
      </w:r>
      <w:r w:rsidRPr="00AF4D21">
        <w:rPr>
          <w:iCs/>
        </w:rPr>
        <w:t xml:space="preserve">възлизат на </w:t>
      </w:r>
      <w:r w:rsidRPr="00E66F80">
        <w:rPr>
          <w:b/>
        </w:rPr>
        <w:t>2 </w:t>
      </w:r>
      <w:r w:rsidRPr="00AF4D21">
        <w:rPr>
          <w:b/>
          <w:iCs/>
        </w:rPr>
        <w:t>414,2</w:t>
      </w:r>
      <w:r w:rsidRPr="00E66F80">
        <w:rPr>
          <w:b/>
        </w:rPr>
        <w:t xml:space="preserve"> млн. лв.</w:t>
      </w:r>
      <w:r w:rsidRPr="00AF4D21">
        <w:rPr>
          <w:iCs/>
        </w:rPr>
        <w:t xml:space="preserve"> и намаляват с 26,9 млн. лв. (спад от 1,1 %), в сравнение с 2021 година. </w:t>
      </w:r>
      <w:r w:rsidRPr="00AF4D21">
        <w:t xml:space="preserve">Съществено влияние върху този резултат оказват приетите </w:t>
      </w:r>
      <w:r w:rsidRPr="00AF4D21">
        <w:rPr>
          <w:iCs/>
        </w:rPr>
        <w:t>с ДВ, бр. 52/2022 г. разпоредби</w:t>
      </w:r>
      <w:r w:rsidRPr="00AF4D21">
        <w:t xml:space="preserve"> в §6б от ПЗР на ЗАДС, които предвиждат прилагането на акцизна </w:t>
      </w:r>
      <w:r w:rsidRPr="00AF4D21">
        <w:rPr>
          <w:color w:val="000000"/>
        </w:rPr>
        <w:t>ставка „0“ лева, считано от 09.07.2022</w:t>
      </w:r>
      <w:r w:rsidRPr="00E66F80">
        <w:rPr>
          <w:color w:val="000000"/>
        </w:rPr>
        <w:t xml:space="preserve"> г. </w:t>
      </w:r>
      <w:r w:rsidRPr="00AF4D21">
        <w:rPr>
          <w:color w:val="000000"/>
        </w:rPr>
        <w:t xml:space="preserve">при облагането </w:t>
      </w:r>
      <w:r w:rsidRPr="00BB63B7">
        <w:rPr>
          <w:color w:val="000000"/>
        </w:rPr>
        <w:t>на природен газ и втечнен нефтен газ (ВНГ), предназначени</w:t>
      </w:r>
      <w:r w:rsidRPr="00AF4D21">
        <w:rPr>
          <w:color w:val="000000"/>
        </w:rPr>
        <w:t xml:space="preserve"> за потребление като моторно гориво, както и за енергийни продукти, използвани за производство </w:t>
      </w:r>
      <w:r w:rsidRPr="00AF4D21">
        <w:t xml:space="preserve">на топлинна и електрическа енергия. </w:t>
      </w:r>
    </w:p>
    <w:p w14:paraId="7C8F9935" w14:textId="77777777" w:rsidR="00BD39E0" w:rsidRPr="00AF4D21" w:rsidRDefault="00BD39E0" w:rsidP="00BF1BD4">
      <w:pPr>
        <w:tabs>
          <w:tab w:val="left" w:pos="810"/>
          <w:tab w:val="left" w:pos="990"/>
        </w:tabs>
        <w:ind w:left="180"/>
        <w:jc w:val="both"/>
        <w:rPr>
          <w:iCs/>
        </w:rPr>
      </w:pPr>
      <w:r w:rsidRPr="00AF4D21">
        <w:rPr>
          <w:b/>
          <w:iCs/>
        </w:rPr>
        <w:tab/>
      </w:r>
      <w:r w:rsidRPr="00AF4D21">
        <w:t>Приходите от акциз за горива са формирани основно от газьол, бензин и керосин. И при трите продукта се регистрира нарастване на приходите от акциз спрямо 2021 г. съответно за газьол - с 1,0 млн. лв., за бензин – 16,1 млн. лв. и за керосин - ръст от 19</w:t>
      </w:r>
      <w:r>
        <w:t>,</w:t>
      </w:r>
      <w:r w:rsidRPr="00AF4D21">
        <w:t>5 млн. лева.</w:t>
      </w:r>
      <w:r w:rsidRPr="00AF4D21">
        <w:rPr>
          <w:iCs/>
        </w:rPr>
        <w:t xml:space="preserve"> </w:t>
      </w:r>
    </w:p>
    <w:p w14:paraId="2BF583AF" w14:textId="77777777" w:rsidR="00BD39E0" w:rsidRDefault="00BD39E0" w:rsidP="00BF1BD4">
      <w:pPr>
        <w:tabs>
          <w:tab w:val="left" w:pos="810"/>
          <w:tab w:val="left" w:pos="990"/>
        </w:tabs>
        <w:ind w:left="180"/>
        <w:jc w:val="both"/>
      </w:pPr>
      <w:r w:rsidRPr="00AF4D21">
        <w:rPr>
          <w:iCs/>
        </w:rPr>
        <w:tab/>
        <w:t xml:space="preserve">Приходите от акцизи за </w:t>
      </w:r>
      <w:r w:rsidRPr="00AF4D21">
        <w:rPr>
          <w:i/>
          <w:iCs/>
          <w:u w:val="single"/>
        </w:rPr>
        <w:t>газьол</w:t>
      </w:r>
      <w:r w:rsidRPr="00AF4D21">
        <w:rPr>
          <w:iCs/>
        </w:rPr>
        <w:t xml:space="preserve"> формират основната част от приходите от горива (75,0 %). За отчетния период постъпленията от акциз за газьол (нето) са в размер на 1 809,6 млн. лв., като сумата се увеличава с 0,1 % спрямо 2021 година. Произведените и внесени количества газьол са 2 992,9 млн. литра и са с </w:t>
      </w:r>
      <w:r w:rsidRPr="00AF4D21">
        <w:t>3,6 млн. литри повече в сравнение с 2021 година</w:t>
      </w:r>
      <w:r w:rsidRPr="00AF4D21">
        <w:rPr>
          <w:iCs/>
        </w:rPr>
        <w:t xml:space="preserve">. Брутните приходи от акциз за </w:t>
      </w:r>
      <w:r w:rsidRPr="00AF4D21">
        <w:rPr>
          <w:i/>
          <w:iCs/>
          <w:u w:val="single"/>
        </w:rPr>
        <w:t>керосин</w:t>
      </w:r>
      <w:r w:rsidRPr="00AF4D21">
        <w:rPr>
          <w:iCs/>
        </w:rPr>
        <w:t xml:space="preserve"> са в размер на 173,5 млн. лв. и нарастват с 31,4 % (41,4 млн. лв.), в сравнение с 2021 г., а </w:t>
      </w:r>
      <w:r w:rsidRPr="00AF4D21">
        <w:t>възстановеният акциз за керосин се повишава с 16,8 %, което представлява 21,9</w:t>
      </w:r>
      <w:r>
        <w:t xml:space="preserve"> млн. л</w:t>
      </w:r>
      <w:r w:rsidRPr="00AF4D21">
        <w:t>в</w:t>
      </w:r>
      <w:r>
        <w:t>.</w:t>
      </w:r>
      <w:r w:rsidRPr="00AF4D21">
        <w:t xml:space="preserve"> повече от възстановените суми през 2021 г. Сумата на акциза за керосин, ефективно постъпила в държавния бюджет през 2022 г. (касово изпълнение), е 21,1 млн. лв., което е с 19,5 млн. лв</w:t>
      </w:r>
      <w:r>
        <w:t>.</w:t>
      </w:r>
      <w:r w:rsidRPr="00AF4D21">
        <w:t xml:space="preserve"> повече в сравнение с 2021 година.</w:t>
      </w:r>
      <w:r w:rsidRPr="00AF4D21">
        <w:rPr>
          <w:iCs/>
        </w:rPr>
        <w:t xml:space="preserve"> Постъпленията от акциз за </w:t>
      </w:r>
      <w:r w:rsidRPr="00AF4D21">
        <w:rPr>
          <w:i/>
          <w:iCs/>
          <w:u w:val="single"/>
        </w:rPr>
        <w:t>бензин</w:t>
      </w:r>
      <w:r w:rsidRPr="00AF4D21">
        <w:rPr>
          <w:iCs/>
        </w:rPr>
        <w:t xml:space="preserve"> </w:t>
      </w:r>
      <w:r w:rsidRPr="00AF4D21">
        <w:t>представляват 19,8 % от приходите от акцизи за горива</w:t>
      </w:r>
      <w:r>
        <w:t xml:space="preserve"> и</w:t>
      </w:r>
      <w:r w:rsidRPr="00AF4D21">
        <w:t xml:space="preserve"> </w:t>
      </w:r>
      <w:r w:rsidRPr="00AF4D21">
        <w:rPr>
          <w:iCs/>
        </w:rPr>
        <w:t xml:space="preserve">са в размер на </w:t>
      </w:r>
      <w:r w:rsidRPr="00AF4D21">
        <w:t xml:space="preserve">479,1 </w:t>
      </w:r>
      <w:r w:rsidRPr="00AF4D21">
        <w:rPr>
          <w:iCs/>
        </w:rPr>
        <w:t xml:space="preserve">млн. лв. или с 16,1 млн. лв. (3,5 %) повече от постъпленията за 2021 година. Произведените и внесени количества бензин, за които е заплатен акциз през разглеждания период са 691,2 млн. литра, което представлява ръст от 3,0 %. Приходите от акциз за </w:t>
      </w:r>
      <w:r w:rsidRPr="00AF4D21">
        <w:rPr>
          <w:i/>
          <w:iCs/>
          <w:u w:val="single"/>
        </w:rPr>
        <w:t>втечнен нефтен газ</w:t>
      </w:r>
      <w:r w:rsidRPr="00AF4D21">
        <w:rPr>
          <w:iCs/>
        </w:rPr>
        <w:t xml:space="preserve"> формират 2,9 % от приходите от акцизи за горива</w:t>
      </w:r>
      <w:r>
        <w:rPr>
          <w:iCs/>
        </w:rPr>
        <w:t xml:space="preserve"> и са</w:t>
      </w:r>
      <w:r w:rsidRPr="00AF4D21">
        <w:rPr>
          <w:iCs/>
        </w:rPr>
        <w:t xml:space="preserve"> в размер на 69,0 млн. лв., като се отчита спад от 57,8 млн. лв</w:t>
      </w:r>
      <w:r>
        <w:rPr>
          <w:iCs/>
        </w:rPr>
        <w:t>.</w:t>
      </w:r>
      <w:r w:rsidRPr="00AF4D21">
        <w:rPr>
          <w:iCs/>
        </w:rPr>
        <w:t xml:space="preserve"> (45,6</w:t>
      </w:r>
      <w:r>
        <w:rPr>
          <w:iCs/>
        </w:rPr>
        <w:t xml:space="preserve"> </w:t>
      </w:r>
      <w:r w:rsidRPr="00AF4D21">
        <w:rPr>
          <w:iCs/>
        </w:rPr>
        <w:t>%) спрямо 2021 година. Освободени</w:t>
      </w:r>
      <w:r>
        <w:rPr>
          <w:iCs/>
        </w:rPr>
        <w:t>ят</w:t>
      </w:r>
      <w:r w:rsidRPr="00AF4D21">
        <w:rPr>
          <w:iCs/>
        </w:rPr>
        <w:t xml:space="preserve"> за потребление втечнен нефтен газ нараства с 4,5 %</w:t>
      </w:r>
      <w:r>
        <w:rPr>
          <w:iCs/>
        </w:rPr>
        <w:t xml:space="preserve"> като </w:t>
      </w:r>
      <w:r w:rsidRPr="00AF4D21">
        <w:rPr>
          <w:iCs/>
        </w:rPr>
        <w:t>количества</w:t>
      </w:r>
      <w:r>
        <w:rPr>
          <w:iCs/>
        </w:rPr>
        <w:t xml:space="preserve">та, </w:t>
      </w:r>
      <w:r w:rsidRPr="00AF4D21">
        <w:rPr>
          <w:iCs/>
        </w:rPr>
        <w:t>за които е приложена акцизната ставка по §6б, ал. 1, т. 1, буква а) от ПЗР на ЗАДС са 173</w:t>
      </w:r>
      <w:r>
        <w:rPr>
          <w:iCs/>
        </w:rPr>
        <w:t>,0</w:t>
      </w:r>
      <w:r w:rsidRPr="00AF4D21">
        <w:rPr>
          <w:iCs/>
        </w:rPr>
        <w:t xml:space="preserve"> млн. килограма.</w:t>
      </w:r>
      <w:r w:rsidRPr="00E66F80">
        <w:rPr>
          <w:color w:val="000000"/>
        </w:rPr>
        <w:t xml:space="preserve"> </w:t>
      </w:r>
      <w:r w:rsidRPr="00AF4D21">
        <w:t xml:space="preserve">Приходите от акциз за </w:t>
      </w:r>
      <w:r w:rsidRPr="00AF4D21">
        <w:rPr>
          <w:i/>
          <w:iCs/>
          <w:u w:val="single"/>
        </w:rPr>
        <w:t>природен газ</w:t>
      </w:r>
      <w:r w:rsidRPr="00AF4D21">
        <w:t xml:space="preserve"> към края на 2022 г. са в размер на 24,4 млн. лв., със 7,6 млн. лв</w:t>
      </w:r>
      <w:r>
        <w:t>.</w:t>
      </w:r>
      <w:r w:rsidRPr="00AF4D21">
        <w:t xml:space="preserve"> (23,7 %) по-малко от събраните през 2021 година. Количествата природен газ, освободени за потребление на територията на страната възлизат на 117</w:t>
      </w:r>
      <w:r>
        <w:t>,0</w:t>
      </w:r>
      <w:r w:rsidRPr="00AF4D21">
        <w:t xml:space="preserve"> млн. гигаджаула, което е с 15,9 % п</w:t>
      </w:r>
      <w:r>
        <w:t xml:space="preserve">о-малко спрямо 2021 г., а </w:t>
      </w:r>
      <w:r w:rsidRPr="00AF4D21">
        <w:t>освободените за потребление количества, за които е приложена акцизната ставка по §6б, ал. 1, т. 1, буква б) и т. 2  от ПЗР на ЗАДС, са в размер на 4</w:t>
      </w:r>
      <w:r>
        <w:t>,8 млн.</w:t>
      </w:r>
      <w:r w:rsidRPr="00AF4D21">
        <w:t xml:space="preserve">GJO. </w:t>
      </w:r>
    </w:p>
    <w:p w14:paraId="04C9AD1D" w14:textId="77777777" w:rsidR="00BD39E0" w:rsidRPr="00FE1886" w:rsidRDefault="00BD39E0" w:rsidP="00E55CF7">
      <w:pPr>
        <w:tabs>
          <w:tab w:val="left" w:pos="0"/>
          <w:tab w:val="left" w:pos="567"/>
          <w:tab w:val="left" w:pos="709"/>
        </w:tabs>
        <w:spacing w:before="240"/>
        <w:ind w:firstLine="709"/>
        <w:rPr>
          <w:i/>
        </w:rPr>
      </w:pPr>
      <w:r w:rsidRPr="00FE1886">
        <w:rPr>
          <w:i/>
        </w:rPr>
        <w:t>Акцизи за алкохол и алкохолни напитки и бира</w:t>
      </w:r>
    </w:p>
    <w:p w14:paraId="4802F186" w14:textId="7BF1DCD4" w:rsidR="00BD39E0" w:rsidRDefault="00BD39E0" w:rsidP="00E55CF7">
      <w:pPr>
        <w:tabs>
          <w:tab w:val="left" w:pos="810"/>
          <w:tab w:val="left" w:pos="990"/>
        </w:tabs>
        <w:ind w:firstLine="720"/>
        <w:jc w:val="both"/>
      </w:pPr>
      <w:r>
        <w:rPr>
          <w:iCs/>
        </w:rPr>
        <w:t>Н</w:t>
      </w:r>
      <w:r w:rsidRPr="00AF4D21">
        <w:rPr>
          <w:iCs/>
        </w:rPr>
        <w:t xml:space="preserve">етните приходи от акцизи за </w:t>
      </w:r>
      <w:r w:rsidRPr="00F6715C">
        <w:rPr>
          <w:iCs/>
        </w:rPr>
        <w:t>високоалкохолни напитки и бира</w:t>
      </w:r>
      <w:r w:rsidRPr="00AF4D21">
        <w:rPr>
          <w:iCs/>
        </w:rPr>
        <w:t xml:space="preserve"> възлизат на </w:t>
      </w:r>
      <w:r w:rsidRPr="00AF4D21">
        <w:rPr>
          <w:b/>
          <w:iCs/>
        </w:rPr>
        <w:t>320,1</w:t>
      </w:r>
      <w:r w:rsidR="00FD6D65">
        <w:rPr>
          <w:b/>
          <w:lang w:val="en-US"/>
        </w:rPr>
        <w:t> </w:t>
      </w:r>
      <w:r w:rsidRPr="00E66F80">
        <w:rPr>
          <w:b/>
        </w:rPr>
        <w:t>млн. лв</w:t>
      </w:r>
      <w:r w:rsidRPr="00AF4D21">
        <w:rPr>
          <w:iCs/>
        </w:rPr>
        <w:t>. и отчитат увеличение с 12,4 млн. лв. (4,0 %), в сравнение с 2021 година. Ръстът на приходите от акциз при тази група акцизни стоки се определя на първо място от нарастването на касовите постъпления от акциз за алкохолни напитки (</w:t>
      </w:r>
      <w:r>
        <w:rPr>
          <w:iCs/>
        </w:rPr>
        <w:t xml:space="preserve">ръст </w:t>
      </w:r>
      <w:r w:rsidRPr="00AF4D21">
        <w:rPr>
          <w:iCs/>
        </w:rPr>
        <w:t xml:space="preserve">3,7 </w:t>
      </w:r>
      <w:r>
        <w:rPr>
          <w:iCs/>
        </w:rPr>
        <w:t xml:space="preserve">% или </w:t>
      </w:r>
      <w:r w:rsidRPr="00AF4D21">
        <w:rPr>
          <w:iCs/>
        </w:rPr>
        <w:t>8,6 млн. лв.), които достигат 241,8 млн. лева. Количествата алкохолни напитки, за които е заплатен акциз  през 202</w:t>
      </w:r>
      <w:r>
        <w:rPr>
          <w:iCs/>
        </w:rPr>
        <w:t>2</w:t>
      </w:r>
      <w:r w:rsidRPr="00AF4D21">
        <w:rPr>
          <w:iCs/>
        </w:rPr>
        <w:t xml:space="preserve"> г. нарастват с 3,6 %. Постъпленията от акциз за </w:t>
      </w:r>
      <w:r w:rsidRPr="00E66F80">
        <w:t>бира</w:t>
      </w:r>
      <w:r w:rsidRPr="00F6715C">
        <w:rPr>
          <w:iCs/>
        </w:rPr>
        <w:t xml:space="preserve"> </w:t>
      </w:r>
      <w:r w:rsidRPr="00AF4D21">
        <w:rPr>
          <w:iCs/>
        </w:rPr>
        <w:t xml:space="preserve">възлизат на 76,7 млн. лв. и са с 3,4 % (2,5 млн. лв.) повече </w:t>
      </w:r>
      <w:r w:rsidRPr="00AF4D21">
        <w:t>в сравнение с предходната година. Освободените за потребление количества бира нарастват с 2,7 % на годишна база и са в размер на 52,9 млн. хектолитра за градус Плато.</w:t>
      </w:r>
    </w:p>
    <w:p w14:paraId="33F8802A" w14:textId="77777777" w:rsidR="00BD39E0" w:rsidRDefault="00BD39E0" w:rsidP="00E55CF7">
      <w:pPr>
        <w:tabs>
          <w:tab w:val="left" w:pos="0"/>
          <w:tab w:val="left" w:pos="567"/>
          <w:tab w:val="left" w:pos="709"/>
        </w:tabs>
        <w:spacing w:before="120"/>
        <w:ind w:firstLine="709"/>
        <w:rPr>
          <w:iCs/>
        </w:rPr>
      </w:pPr>
      <w:r w:rsidRPr="00FE1886">
        <w:rPr>
          <w:i/>
          <w:iCs/>
        </w:rPr>
        <w:t>Електрическа енергия и други акцизни стоки</w:t>
      </w:r>
      <w:r w:rsidRPr="00FE1886">
        <w:rPr>
          <w:iCs/>
        </w:rPr>
        <w:t xml:space="preserve"> </w:t>
      </w:r>
    </w:p>
    <w:p w14:paraId="5F59A6F8" w14:textId="41E9DA4F" w:rsidR="00BD39E0" w:rsidRPr="00F6715C" w:rsidRDefault="00BD39E0" w:rsidP="00E55CF7">
      <w:pPr>
        <w:tabs>
          <w:tab w:val="num" w:pos="1352"/>
        </w:tabs>
        <w:autoSpaceDE w:val="0"/>
        <w:autoSpaceDN w:val="0"/>
        <w:adjustRightInd w:val="0"/>
        <w:ind w:firstLine="630"/>
        <w:jc w:val="both"/>
        <w:rPr>
          <w:iCs/>
        </w:rPr>
      </w:pPr>
      <w:r>
        <w:rPr>
          <w:iCs/>
        </w:rPr>
        <w:t>П</w:t>
      </w:r>
      <w:r w:rsidRPr="00F6715C">
        <w:rPr>
          <w:iCs/>
        </w:rPr>
        <w:t xml:space="preserve">остъпленията от акциз за </w:t>
      </w:r>
      <w:r w:rsidRPr="00E66F80">
        <w:t>електрическа енергия и други стоки</w:t>
      </w:r>
      <w:r w:rsidRPr="00F6715C">
        <w:rPr>
          <w:iCs/>
        </w:rPr>
        <w:t xml:space="preserve"> са в размер на </w:t>
      </w:r>
      <w:r w:rsidRPr="00F6715C">
        <w:rPr>
          <w:b/>
          <w:iCs/>
        </w:rPr>
        <w:t>41,6</w:t>
      </w:r>
      <w:r w:rsidR="006D1E68">
        <w:rPr>
          <w:b/>
          <w:lang w:val="en-US"/>
        </w:rPr>
        <w:t> </w:t>
      </w:r>
      <w:r w:rsidRPr="00E66F80">
        <w:rPr>
          <w:b/>
        </w:rPr>
        <w:t>млн. лв.</w:t>
      </w:r>
      <w:r w:rsidRPr="00265170">
        <w:rPr>
          <w:iCs/>
        </w:rPr>
        <w:t xml:space="preserve">, като намаляват с </w:t>
      </w:r>
      <w:r w:rsidRPr="00E66F80">
        <w:rPr>
          <w:iCs/>
        </w:rPr>
        <w:t>0,9 млн. лв. (2,2 % спад</w:t>
      </w:r>
      <w:r w:rsidRPr="00265170">
        <w:rPr>
          <w:iCs/>
        </w:rPr>
        <w:t>)</w:t>
      </w:r>
      <w:r w:rsidRPr="00F6715C">
        <w:rPr>
          <w:iCs/>
        </w:rPr>
        <w:t xml:space="preserve"> спрямо 2021 година. Постъпленията от електрическа енергия са с най-голям относителен дял в приходите от тази група акцизни стоки (84,0 %) и са в размер на 35,0 млн. лева. </w:t>
      </w:r>
    </w:p>
    <w:p w14:paraId="0D675E86" w14:textId="77777777" w:rsidR="00BD39E0" w:rsidRPr="004B154B" w:rsidRDefault="00BD39E0" w:rsidP="00BD39E0">
      <w:pPr>
        <w:pStyle w:val="Heading3"/>
        <w:numPr>
          <w:ilvl w:val="2"/>
          <w:numId w:val="8"/>
        </w:numPr>
        <w:rPr>
          <w:rFonts w:ascii="Times New Roman" w:hAnsi="Times New Roman" w:cs="Times New Roman"/>
          <w:sz w:val="24"/>
          <w:szCs w:val="24"/>
          <w:lang w:val="bg-BG"/>
        </w:rPr>
      </w:pPr>
      <w:bookmarkStart w:id="183" w:name="_Toc146037896"/>
      <w:r w:rsidRPr="004B154B">
        <w:rPr>
          <w:rFonts w:ascii="Times New Roman" w:hAnsi="Times New Roman" w:cs="Times New Roman"/>
          <w:sz w:val="24"/>
          <w:szCs w:val="24"/>
          <w:lang w:val="bg-BG"/>
        </w:rPr>
        <w:t>Мита</w:t>
      </w:r>
      <w:bookmarkEnd w:id="172"/>
      <w:bookmarkEnd w:id="173"/>
      <w:bookmarkEnd w:id="174"/>
      <w:bookmarkEnd w:id="175"/>
      <w:bookmarkEnd w:id="176"/>
      <w:bookmarkEnd w:id="177"/>
      <w:bookmarkEnd w:id="178"/>
      <w:bookmarkEnd w:id="179"/>
      <w:bookmarkEnd w:id="180"/>
      <w:bookmarkEnd w:id="181"/>
      <w:bookmarkEnd w:id="182"/>
      <w:bookmarkEnd w:id="183"/>
    </w:p>
    <w:p w14:paraId="51A1F9C5" w14:textId="77777777" w:rsidR="00BD39E0" w:rsidRPr="004B154B" w:rsidRDefault="00BD39E0" w:rsidP="00BF1BD4">
      <w:pPr>
        <w:ind w:firstLine="709"/>
        <w:jc w:val="both"/>
        <w:rPr>
          <w:rFonts w:eastAsia="Calibri"/>
        </w:rPr>
      </w:pPr>
      <w:bookmarkStart w:id="184" w:name="_Toc357527088"/>
      <w:bookmarkStart w:id="185" w:name="_Toc326315903"/>
      <w:bookmarkStart w:id="186" w:name="_Toc324863411"/>
      <w:bookmarkStart w:id="187" w:name="_Toc393728062"/>
      <w:bookmarkStart w:id="188" w:name="_Toc462146111"/>
      <w:bookmarkStart w:id="189" w:name="_Toc494102629"/>
      <w:bookmarkStart w:id="190" w:name="_Toc11323409"/>
      <w:bookmarkStart w:id="191" w:name="_Toc18316942"/>
      <w:bookmarkStart w:id="192" w:name="_Toc83045485"/>
      <w:bookmarkStart w:id="193" w:name="_Toc136273500"/>
      <w:bookmarkStart w:id="194" w:name="_Toc261276575"/>
      <w:bookmarkStart w:id="195" w:name="_Toc199730301"/>
      <w:r w:rsidRPr="004B154B">
        <w:rPr>
          <w:rFonts w:eastAsia="Calibri"/>
        </w:rPr>
        <w:t>Приходите от мита са традиционен собствен ресурс на ЕС и законодателството, което се прилага за тях е изцяло на ниво ЕС. Търговската политика на ЕС е все по-либерална, вследствие на което има множество сключени споразумения или предоставени на автономно основание преференциални мита.</w:t>
      </w:r>
    </w:p>
    <w:p w14:paraId="4DF7D228" w14:textId="77777777" w:rsidR="00BD39E0" w:rsidRPr="004B154B" w:rsidRDefault="00BD39E0" w:rsidP="00BF1BD4">
      <w:pPr>
        <w:ind w:firstLine="709"/>
        <w:jc w:val="both"/>
      </w:pPr>
      <w:r w:rsidRPr="004B154B">
        <w:rPr>
          <w:rFonts w:eastAsia="Calibri"/>
        </w:rPr>
        <w:t xml:space="preserve">Събраните мита през 2022 г. са в размер на 451,2 млн. лв. или 118,7 % от </w:t>
      </w:r>
      <w:r w:rsidRPr="004B154B">
        <w:t>актуализирания годишен план за 2022</w:t>
      </w:r>
      <w:r w:rsidRPr="004B154B">
        <w:rPr>
          <w:rFonts w:eastAsia="Calibri"/>
        </w:rPr>
        <w:t xml:space="preserve"> година.  </w:t>
      </w:r>
      <w:r w:rsidRPr="004B154B">
        <w:t xml:space="preserve">Приходите от мита представляват 1,0 % от общия размер на данъчните приходи по КФП. В сравнение с отчета за 2021 г., събраните мита са </w:t>
      </w:r>
      <w:r w:rsidRPr="004B154B">
        <w:rPr>
          <w:rFonts w:eastAsia="Calibri"/>
        </w:rPr>
        <w:t xml:space="preserve">със </w:t>
      </w:r>
      <w:r w:rsidRPr="004B154B">
        <w:t>161,5 млн. лв. (55,7 %) повече. Най-високи са приходите от мита, отчетени през месеците април (43,2 млн. лева), юли (43,1 млн. лева) и август (45,6 млн. лева).</w:t>
      </w:r>
    </w:p>
    <w:p w14:paraId="37462F55" w14:textId="77777777" w:rsidR="00BD39E0" w:rsidRPr="004B154B" w:rsidRDefault="00BD39E0" w:rsidP="00BD39E0">
      <w:pPr>
        <w:spacing w:after="120"/>
        <w:jc w:val="center"/>
        <w:rPr>
          <w:rFonts w:eastAsia="Calibri"/>
          <w:b/>
        </w:rPr>
      </w:pPr>
    </w:p>
    <w:p w14:paraId="0056E57A" w14:textId="77777777" w:rsidR="004A7A80" w:rsidRDefault="004A7A80" w:rsidP="00BD39E0">
      <w:pPr>
        <w:spacing w:after="120"/>
        <w:jc w:val="center"/>
        <w:rPr>
          <w:rFonts w:eastAsia="Calibri"/>
          <w:b/>
        </w:rPr>
      </w:pPr>
    </w:p>
    <w:p w14:paraId="1A92B1D0" w14:textId="4AA05D28" w:rsidR="00BD39E0" w:rsidRPr="004B154B" w:rsidRDefault="00BD39E0" w:rsidP="00BD39E0">
      <w:pPr>
        <w:spacing w:after="120"/>
        <w:jc w:val="center"/>
        <w:rPr>
          <w:rFonts w:eastAsia="Calibri"/>
          <w:b/>
        </w:rPr>
      </w:pPr>
      <w:r w:rsidRPr="004B154B">
        <w:rPr>
          <w:rFonts w:eastAsia="Calibri"/>
          <w:b/>
        </w:rPr>
        <w:t>Приходи от мита при внос за периода 2013-2022 г. (млн. лв.)</w:t>
      </w:r>
    </w:p>
    <w:p w14:paraId="08BC3B8D" w14:textId="553433A1" w:rsidR="00BD39E0" w:rsidRPr="004B154B" w:rsidRDefault="004A7A80" w:rsidP="00BD39E0">
      <w:pPr>
        <w:spacing w:after="120"/>
        <w:jc w:val="center"/>
        <w:rPr>
          <w:rFonts w:eastAsia="Calibri"/>
          <w:b/>
        </w:rPr>
      </w:pPr>
      <w:r>
        <w:rPr>
          <w:rFonts w:eastAsia="Calibri"/>
          <w:b/>
          <w:noProof/>
        </w:rPr>
        <w:drawing>
          <wp:inline distT="0" distB="0" distL="0" distR="0" wp14:anchorId="4A5C4297" wp14:editId="6BF96E00">
            <wp:extent cx="5694045" cy="22129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94045" cy="2212975"/>
                    </a:xfrm>
                    <a:prstGeom prst="rect">
                      <a:avLst/>
                    </a:prstGeom>
                    <a:noFill/>
                  </pic:spPr>
                </pic:pic>
              </a:graphicData>
            </a:graphic>
          </wp:inline>
        </w:drawing>
      </w:r>
    </w:p>
    <w:p w14:paraId="38455289" w14:textId="77777777" w:rsidR="00BD39E0" w:rsidRPr="004A7A80" w:rsidRDefault="00BD39E0" w:rsidP="00BD39E0">
      <w:pPr>
        <w:spacing w:after="120"/>
        <w:jc w:val="right"/>
        <w:rPr>
          <w:i/>
          <w:sz w:val="20"/>
          <w:szCs w:val="20"/>
        </w:rPr>
      </w:pPr>
      <w:r w:rsidRPr="004B154B">
        <w:tab/>
      </w:r>
      <w:r w:rsidRPr="004A7A80">
        <w:rPr>
          <w:i/>
          <w:sz w:val="20"/>
          <w:szCs w:val="20"/>
        </w:rPr>
        <w:t>Източник: Агенция “Митници”</w:t>
      </w:r>
    </w:p>
    <w:p w14:paraId="567C2217" w14:textId="77777777" w:rsidR="00BD39E0" w:rsidRPr="004B154B" w:rsidRDefault="00BD39E0" w:rsidP="00A535C1">
      <w:pPr>
        <w:ind w:firstLine="709"/>
        <w:jc w:val="both"/>
      </w:pPr>
      <w:r w:rsidRPr="004B154B">
        <w:t>Постигнатите резултати се дължат както на промяна в условията на икономическата среда, която е в процес на възстановяване, въпреки влиянието върху бизнеса на наложените ограничителни мерки, така и на предприетите мерки за подобряване на контрола.</w:t>
      </w:r>
    </w:p>
    <w:p w14:paraId="7334C1C4" w14:textId="7881331F" w:rsidR="00BD39E0" w:rsidRPr="004B154B" w:rsidRDefault="00BD39E0" w:rsidP="00A535C1">
      <w:pPr>
        <w:ind w:firstLine="709"/>
        <w:jc w:val="both"/>
      </w:pPr>
      <w:r w:rsidRPr="004B154B">
        <w:t xml:space="preserve">Всички показатели, които се използват за оценка на динамиката на приходите от мита при внесените стоки, обложени със ставка на митото, различна от „0“, отбелязват ръст през 2022 г. на годишна база. Спрямо 2021 г., осреднената  статистическа стойност за килограм внесена стока нараства с 27,5 %, количествата на внесените стоки, обложени със ставка на митото, различна от „0“ нарастват с 14,7 % и ръст от 5,9 % на осреднената ставка, приложена за облагане на внесените от трети страни стоки. Най-голям принос за нарастването на приходите от мита имат осреднената статистическа стойност за кг и внесените количества стоки, чиито дялове в отчетения ръст са съответно 57,5 % и 26,9 %. Крайният нетен ефект от действието на трите фактора се изразява в ръст от 161,5 млн. лева на приходите от мита през 2022 г. спрямо 2021 година. </w:t>
      </w:r>
    </w:p>
    <w:p w14:paraId="49FA6E3E" w14:textId="42B947D0" w:rsidR="00BD39E0" w:rsidRPr="004B154B" w:rsidRDefault="00BD39E0" w:rsidP="00BC7CF2">
      <w:pPr>
        <w:tabs>
          <w:tab w:val="left" w:pos="567"/>
          <w:tab w:val="left" w:pos="993"/>
        </w:tabs>
        <w:ind w:firstLine="709"/>
        <w:jc w:val="both"/>
      </w:pPr>
      <w:r w:rsidRPr="004B154B">
        <w:t>Водещите групи стоки обложени със ставка, различна от „0“, при които през 2022 г. се регистрира най-сериозен ръст в приходите от мита са:</w:t>
      </w:r>
    </w:p>
    <w:p w14:paraId="27642C0C" w14:textId="77777777" w:rsidR="00BD39E0" w:rsidRPr="004B154B" w:rsidRDefault="00BD39E0" w:rsidP="00BD39E0">
      <w:pPr>
        <w:tabs>
          <w:tab w:val="left" w:pos="567"/>
          <w:tab w:val="left" w:pos="993"/>
        </w:tabs>
        <w:ind w:firstLine="567"/>
        <w:jc w:val="both"/>
      </w:pPr>
      <w:r w:rsidRPr="004B154B">
        <w:t>- стоки от глава 31 по КН (Торове) – 37,3 млн. лева и събрани повече 24,1 млн. лева (ръст от 183,8 %);</w:t>
      </w:r>
    </w:p>
    <w:p w14:paraId="48FA94F0" w14:textId="77777777" w:rsidR="00BD39E0" w:rsidRPr="004B154B" w:rsidRDefault="00BD39E0" w:rsidP="00BD39E0">
      <w:pPr>
        <w:tabs>
          <w:tab w:val="left" w:pos="567"/>
          <w:tab w:val="left" w:pos="993"/>
        </w:tabs>
        <w:ind w:firstLine="567"/>
        <w:jc w:val="both"/>
      </w:pPr>
      <w:r w:rsidRPr="004B154B">
        <w:t xml:space="preserve">- стоки от глава 72 по КН (Чугун, желязо и стомана) с приходи от 45,3 млн. лева и събрани повече 17,6 млн. лева (ръст от 63,7 %); </w:t>
      </w:r>
    </w:p>
    <w:p w14:paraId="50308717" w14:textId="77777777" w:rsidR="00BD39E0" w:rsidRPr="004B154B" w:rsidRDefault="00BD39E0" w:rsidP="00BD39E0">
      <w:pPr>
        <w:tabs>
          <w:tab w:val="left" w:pos="567"/>
          <w:tab w:val="left" w:pos="993"/>
        </w:tabs>
        <w:ind w:firstLine="567"/>
        <w:jc w:val="both"/>
      </w:pPr>
      <w:r w:rsidRPr="004B154B">
        <w:t>- стоки от глава 76 по КН (Алуминий и изделия от алуминий) – с приходи от 29,1 млн. лева и събрани повече 13,7 млн. лева (ръст от 88,9 %);</w:t>
      </w:r>
    </w:p>
    <w:p w14:paraId="70BB5744" w14:textId="77777777" w:rsidR="00BD39E0" w:rsidRPr="004B154B" w:rsidRDefault="00BD39E0" w:rsidP="00BD39E0">
      <w:pPr>
        <w:tabs>
          <w:tab w:val="left" w:pos="567"/>
          <w:tab w:val="left" w:pos="993"/>
        </w:tabs>
        <w:ind w:firstLine="567"/>
        <w:jc w:val="both"/>
      </w:pPr>
      <w:r w:rsidRPr="004B154B">
        <w:t>- стоки от глава 87 по КН (Aвтомобилни превозни средства, трактори, мотоциклети и велосипеди и други сухопътни превозни средства, техните части и принадлежности) с приходи от 38,3 млн. лева и събрани повече 9,4 млн. лева (ръст от 32,4 %);</w:t>
      </w:r>
    </w:p>
    <w:p w14:paraId="5E0FCAB4" w14:textId="77777777" w:rsidR="00BD39E0" w:rsidRPr="004B154B" w:rsidRDefault="00BD39E0" w:rsidP="00BD39E0">
      <w:pPr>
        <w:tabs>
          <w:tab w:val="left" w:pos="567"/>
          <w:tab w:val="left" w:pos="993"/>
        </w:tabs>
        <w:ind w:firstLine="567"/>
        <w:jc w:val="both"/>
      </w:pPr>
      <w:r w:rsidRPr="004B154B">
        <w:t>- стоки от глава 39 по КН (Пластмаси и пластмасови изделия) – 37,2 млн. лева и събрани повече 9,0 млн. лева (ръст от 32,1 %).</w:t>
      </w:r>
    </w:p>
    <w:p w14:paraId="1EE05719" w14:textId="77777777" w:rsidR="00BD39E0" w:rsidRPr="004B154B" w:rsidRDefault="00BD39E0" w:rsidP="00BC7CF2">
      <w:pPr>
        <w:tabs>
          <w:tab w:val="left" w:pos="567"/>
          <w:tab w:val="left" w:pos="993"/>
        </w:tabs>
        <w:ind w:firstLine="709"/>
        <w:jc w:val="both"/>
      </w:pPr>
      <w:r w:rsidRPr="004B154B">
        <w:t>Посочените пет групи стоки формират 46,5 % от отчетеното нарастване на приходите от мита през 2022 г. спрямо 2021 година.</w:t>
      </w:r>
    </w:p>
    <w:p w14:paraId="1F7A2FA7" w14:textId="77777777" w:rsidR="00BD39E0" w:rsidRPr="004B154B" w:rsidRDefault="00BD39E0" w:rsidP="00BD39E0">
      <w:pPr>
        <w:spacing w:after="120"/>
        <w:ind w:firstLine="709"/>
        <w:jc w:val="both"/>
      </w:pPr>
      <w:r w:rsidRPr="004B154B">
        <w:t xml:space="preserve">В зависимост от произхода на внасяните стоки през 2022 г., най-голям е делът на приходите от мита при внос на стоки от Китай. Декларираната сума за 2022 г. е 221,9 млн. лева, което представлява 49,4 % от всички мита. За отчетния период приходите от мита за стоки, внесени от Китай, бележат ръст от 66,6 % спрямо 2021 година. На второ място са приходите от мита при внос на стоки с произход Русия, които са в размер на 51,9 млн. лева и отчитат ръст от 75,8 %. Тези постъпления имат относителен дял от 11,6 </w:t>
      </w:r>
      <w:r w:rsidRPr="004B154B">
        <w:rPr>
          <w:lang w:val="ru-RU"/>
        </w:rPr>
        <w:t xml:space="preserve"> </w:t>
      </w:r>
      <w:r w:rsidRPr="004B154B">
        <w:t>% от всички мита Приходите от внос на стоки с произход Турция са в размер на 30,2 млн. лв. към края на 2022 г. и отчитат повишение с 128,6 % на годишна база. Тези постъпления имат относителен дял от 6,7 % от всички мита. Следват приходите от мита при внос на стоки с произход САЩ, които възлизат на 12,4 млн. лв., като се повишават с 12,2 % и представляват 2,8 % от всички мита. Следват приходите от мита при внос на стоки с произход Индия, които възлизат на 11,2  млн. лв., като се повишават с 15,1 % и представляват 2,5 % от всички мита. Вносът от петте водещи държави формира 73,0 % от приходите от мита при внос на стоки от трети страни.</w:t>
      </w:r>
    </w:p>
    <w:p w14:paraId="2D82DDC7" w14:textId="77777777" w:rsidR="00BD39E0" w:rsidRPr="004B154B" w:rsidRDefault="00BD39E0" w:rsidP="00BD39E0">
      <w:pPr>
        <w:pStyle w:val="Heading3"/>
        <w:numPr>
          <w:ilvl w:val="2"/>
          <w:numId w:val="8"/>
        </w:numPr>
        <w:rPr>
          <w:rFonts w:ascii="Times New Roman" w:hAnsi="Times New Roman" w:cs="Times New Roman"/>
          <w:sz w:val="24"/>
          <w:szCs w:val="24"/>
          <w:lang w:val="bg-BG"/>
        </w:rPr>
      </w:pPr>
      <w:bookmarkStart w:id="196" w:name="_Toc146037897"/>
      <w:r w:rsidRPr="004B154B">
        <w:rPr>
          <w:rFonts w:ascii="Times New Roman" w:hAnsi="Times New Roman" w:cs="Times New Roman"/>
          <w:sz w:val="24"/>
          <w:szCs w:val="24"/>
          <w:lang w:val="bg-BG"/>
        </w:rPr>
        <w:t>Данък върху застрахователните премии</w:t>
      </w:r>
      <w:bookmarkEnd w:id="184"/>
      <w:bookmarkEnd w:id="185"/>
      <w:bookmarkEnd w:id="186"/>
      <w:bookmarkEnd w:id="187"/>
      <w:bookmarkEnd w:id="188"/>
      <w:bookmarkEnd w:id="189"/>
      <w:bookmarkEnd w:id="190"/>
      <w:bookmarkEnd w:id="191"/>
      <w:bookmarkEnd w:id="192"/>
      <w:bookmarkEnd w:id="193"/>
      <w:bookmarkEnd w:id="196"/>
    </w:p>
    <w:p w14:paraId="1082F968" w14:textId="77777777" w:rsidR="00BD39E0" w:rsidRPr="007B48E9" w:rsidRDefault="00BD39E0" w:rsidP="00BD39E0">
      <w:pPr>
        <w:rPr>
          <w:color w:val="0070C0"/>
          <w:sz w:val="8"/>
          <w:szCs w:val="8"/>
        </w:rPr>
      </w:pPr>
    </w:p>
    <w:p w14:paraId="0BA6C3A8" w14:textId="77777777" w:rsidR="00BD39E0" w:rsidRDefault="00BD39E0" w:rsidP="00BD6FC8">
      <w:pPr>
        <w:ind w:firstLine="709"/>
        <w:jc w:val="both"/>
      </w:pPr>
      <w:bookmarkStart w:id="197" w:name="_Toc393728063"/>
      <w:bookmarkStart w:id="198" w:name="_Toc357527089"/>
      <w:bookmarkStart w:id="199" w:name="_Toc326315904"/>
      <w:bookmarkStart w:id="200" w:name="_Toc324863412"/>
      <w:bookmarkStart w:id="201" w:name="_Toc462146112"/>
      <w:bookmarkStart w:id="202" w:name="_Toc494102630"/>
      <w:bookmarkStart w:id="203" w:name="_Toc11323410"/>
      <w:bookmarkStart w:id="204" w:name="_Toc18316943"/>
      <w:bookmarkStart w:id="205" w:name="_Toc83045486"/>
      <w:bookmarkStart w:id="206" w:name="_Toc136273501"/>
      <w:r w:rsidRPr="00FE1886">
        <w:t>Изпълнението на приходите от данъка върху застрахователните премии по облагаеми застрахователни договори, рисковете, по които са поети от застрахователи, зависят основно от ръста или спада на записаните застрахователни премии.</w:t>
      </w:r>
    </w:p>
    <w:p w14:paraId="17ACB257" w14:textId="77777777" w:rsidR="00BD39E0" w:rsidRPr="00E66F80" w:rsidRDefault="00BD39E0" w:rsidP="00A535C1">
      <w:pPr>
        <w:tabs>
          <w:tab w:val="left" w:pos="708"/>
          <w:tab w:val="center" w:pos="4153"/>
          <w:tab w:val="right" w:pos="8306"/>
          <w:tab w:val="left" w:pos="9639"/>
        </w:tabs>
        <w:ind w:firstLine="709"/>
        <w:jc w:val="both"/>
      </w:pPr>
      <w:r w:rsidRPr="00E66F80">
        <w:t xml:space="preserve">Приходите от данъка върху застрахователните премии по облагаеми застрахователни договори към 31.12.2022 г. са в размер на </w:t>
      </w:r>
      <w:r w:rsidRPr="00E66F80">
        <w:rPr>
          <w:b/>
        </w:rPr>
        <w:t>52,2</w:t>
      </w:r>
      <w:r w:rsidRPr="00E66F80" w:rsidDel="009E2544">
        <w:t xml:space="preserve"> </w:t>
      </w:r>
      <w:r w:rsidRPr="00E66F80">
        <w:rPr>
          <w:b/>
        </w:rPr>
        <w:t>млн. лв.</w:t>
      </w:r>
      <w:r w:rsidRPr="00E66F80">
        <w:t xml:space="preserve"> или </w:t>
      </w:r>
      <w:r w:rsidRPr="00E66F80">
        <w:rPr>
          <w:b/>
        </w:rPr>
        <w:t>94,7 %</w:t>
      </w:r>
      <w:r w:rsidRPr="00E66F80">
        <w:t xml:space="preserve"> от актуализирания план за 2022 година. В сравнение с 2021 г. приходите отчитат ръст от 3,9 млн. лв. (8,0 %). </w:t>
      </w:r>
    </w:p>
    <w:p w14:paraId="574270D2" w14:textId="77777777" w:rsidR="00BD39E0" w:rsidRPr="00E66F80" w:rsidRDefault="00BD39E0" w:rsidP="00A535C1">
      <w:pPr>
        <w:tabs>
          <w:tab w:val="left" w:pos="0"/>
          <w:tab w:val="center" w:pos="4153"/>
          <w:tab w:val="right" w:pos="8306"/>
        </w:tabs>
        <w:ind w:firstLine="709"/>
        <w:jc w:val="both"/>
      </w:pPr>
      <w:r w:rsidRPr="00E66F80">
        <w:t xml:space="preserve">Изпълнението на приходите от данъка върху застрахователните премии по облагаеми застрахователни договори, рисковете по които са поети от застрахователи, зависят основно от ръста или спада на записаните застрахователни премии. </w:t>
      </w:r>
    </w:p>
    <w:p w14:paraId="2AEF117D" w14:textId="77777777" w:rsidR="00BD39E0" w:rsidRPr="00164CEA" w:rsidRDefault="00BD39E0" w:rsidP="00677566">
      <w:pPr>
        <w:pStyle w:val="Heading3"/>
        <w:numPr>
          <w:ilvl w:val="2"/>
          <w:numId w:val="8"/>
        </w:numPr>
        <w:spacing w:after="0"/>
        <w:rPr>
          <w:rFonts w:ascii="Times New Roman" w:hAnsi="Times New Roman" w:cs="Times New Roman"/>
          <w:color w:val="000000" w:themeColor="text1"/>
          <w:sz w:val="24"/>
          <w:szCs w:val="24"/>
          <w:lang w:val="bg-BG"/>
        </w:rPr>
      </w:pPr>
      <w:bookmarkStart w:id="207" w:name="_Toc146037898"/>
      <w:r w:rsidRPr="00164CEA">
        <w:rPr>
          <w:rFonts w:ascii="Times New Roman" w:hAnsi="Times New Roman" w:cs="Times New Roman"/>
          <w:color w:val="000000" w:themeColor="text1"/>
          <w:sz w:val="24"/>
          <w:szCs w:val="24"/>
          <w:lang w:val="bg-BG"/>
        </w:rPr>
        <w:t>Други данъци</w:t>
      </w:r>
      <w:bookmarkEnd w:id="194"/>
      <w:bookmarkEnd w:id="195"/>
      <w:bookmarkEnd w:id="197"/>
      <w:bookmarkEnd w:id="198"/>
      <w:bookmarkEnd w:id="199"/>
      <w:bookmarkEnd w:id="200"/>
      <w:bookmarkEnd w:id="201"/>
      <w:bookmarkEnd w:id="202"/>
      <w:bookmarkEnd w:id="203"/>
      <w:bookmarkEnd w:id="204"/>
      <w:bookmarkEnd w:id="205"/>
      <w:bookmarkEnd w:id="206"/>
      <w:bookmarkEnd w:id="207"/>
    </w:p>
    <w:p w14:paraId="307EC326" w14:textId="77777777" w:rsidR="00BD39E0" w:rsidRPr="007B48E9" w:rsidRDefault="00BD39E0" w:rsidP="00BD39E0">
      <w:pPr>
        <w:ind w:firstLine="900"/>
        <w:jc w:val="both"/>
        <w:rPr>
          <w:b/>
          <w:i/>
          <w:color w:val="0070C0"/>
          <w:sz w:val="12"/>
          <w:szCs w:val="12"/>
          <w:u w:val="single"/>
        </w:rPr>
      </w:pPr>
    </w:p>
    <w:p w14:paraId="0A116160" w14:textId="77777777" w:rsidR="00BD39E0" w:rsidRPr="00B80A7B" w:rsidRDefault="00BD39E0" w:rsidP="00BD39E0">
      <w:pPr>
        <w:ind w:firstLine="720"/>
        <w:jc w:val="both"/>
        <w:rPr>
          <w:color w:val="000000" w:themeColor="text1"/>
        </w:rPr>
      </w:pPr>
      <w:r w:rsidRPr="00B80A7B">
        <w:rPr>
          <w:color w:val="000000" w:themeColor="text1"/>
        </w:rPr>
        <w:t>Другите данъци включват основно алтернативните данъци по ЗКПО и имуществените данъци по Закона за местните данъци и такси. Приходите от други данъци по КФП са в размер на 1 580,0 млн. лв.</w:t>
      </w:r>
      <w:r>
        <w:rPr>
          <w:color w:val="000000" w:themeColor="text1"/>
        </w:rPr>
        <w:t>,</w:t>
      </w:r>
      <w:r w:rsidRPr="00D12420">
        <w:rPr>
          <w:color w:val="000000" w:themeColor="text1"/>
        </w:rPr>
        <w:t xml:space="preserve"> вкл. 72,0 млн. лв. временна солидарна вноска от „Лукойл България“</w:t>
      </w:r>
      <w:r>
        <w:rPr>
          <w:color w:val="000000" w:themeColor="text1"/>
        </w:rPr>
        <w:t>,</w:t>
      </w:r>
      <w:r w:rsidRPr="00B80A7B">
        <w:rPr>
          <w:color w:val="000000" w:themeColor="text1"/>
        </w:rPr>
        <w:t xml:space="preserve"> (1,0 % от БВП), </w:t>
      </w:r>
      <w:r w:rsidRPr="00D12420">
        <w:rPr>
          <w:color w:val="000000" w:themeColor="text1"/>
        </w:rPr>
        <w:t xml:space="preserve">което представлява 112,7 % </w:t>
      </w:r>
      <w:r w:rsidRPr="00B80A7B">
        <w:rPr>
          <w:color w:val="000000" w:themeColor="text1"/>
        </w:rPr>
        <w:t xml:space="preserve">изпълнение на ЗДБРБ за 2022 година. </w:t>
      </w:r>
    </w:p>
    <w:p w14:paraId="57D147D0" w14:textId="77777777" w:rsidR="00BD39E0" w:rsidRPr="00B80A7B" w:rsidRDefault="00BD39E0" w:rsidP="00BD39E0">
      <w:pPr>
        <w:ind w:firstLine="360"/>
        <w:jc w:val="both"/>
        <w:rPr>
          <w:color w:val="000000" w:themeColor="text1"/>
          <w:sz w:val="12"/>
          <w:szCs w:val="12"/>
        </w:rPr>
      </w:pPr>
    </w:p>
    <w:p w14:paraId="12BCC949" w14:textId="77777777" w:rsidR="00BD39E0" w:rsidRPr="00B80A7B" w:rsidRDefault="00BD39E0" w:rsidP="00BD39E0">
      <w:pPr>
        <w:ind w:firstLine="900"/>
        <w:jc w:val="both"/>
        <w:rPr>
          <w:b/>
          <w:i/>
          <w:color w:val="000000" w:themeColor="text1"/>
          <w:u w:val="single"/>
        </w:rPr>
      </w:pPr>
      <w:r w:rsidRPr="00B80A7B">
        <w:rPr>
          <w:b/>
          <w:i/>
          <w:color w:val="000000" w:themeColor="text1"/>
          <w:u w:val="single"/>
        </w:rPr>
        <w:t>Други данъци по Закона за корпоративното подоходно облагане</w:t>
      </w:r>
    </w:p>
    <w:p w14:paraId="6F82BD60" w14:textId="77777777" w:rsidR="00BD39E0" w:rsidRPr="007B48E9" w:rsidRDefault="00BD39E0" w:rsidP="00BD39E0">
      <w:pPr>
        <w:jc w:val="both"/>
        <w:rPr>
          <w:b/>
          <w:color w:val="0070C0"/>
          <w:sz w:val="8"/>
          <w:szCs w:val="8"/>
          <w:u w:val="single"/>
        </w:rPr>
      </w:pPr>
    </w:p>
    <w:p w14:paraId="05A7ED23" w14:textId="77777777" w:rsidR="00BD39E0" w:rsidRPr="00E66F80" w:rsidRDefault="00BD39E0" w:rsidP="00677566">
      <w:pPr>
        <w:tabs>
          <w:tab w:val="left" w:pos="0"/>
          <w:tab w:val="center" w:pos="4153"/>
          <w:tab w:val="right" w:pos="8306"/>
        </w:tabs>
        <w:ind w:firstLine="709"/>
        <w:jc w:val="both"/>
      </w:pPr>
      <w:r w:rsidRPr="00B80A7B">
        <w:rPr>
          <w:color w:val="000000" w:themeColor="text1"/>
        </w:rPr>
        <w:t xml:space="preserve">Постъпленията от други данъци по ЗКПО за 2022 г. възлизат на </w:t>
      </w:r>
      <w:r w:rsidRPr="00B80A7B">
        <w:rPr>
          <w:b/>
          <w:color w:val="000000" w:themeColor="text1"/>
        </w:rPr>
        <w:t>153,1 млн. лв.</w:t>
      </w:r>
      <w:r w:rsidRPr="00B80A7B">
        <w:rPr>
          <w:color w:val="000000" w:themeColor="text1"/>
        </w:rPr>
        <w:t xml:space="preserve"> или </w:t>
      </w:r>
      <w:r w:rsidRPr="00E66F80">
        <w:rPr>
          <w:b/>
        </w:rPr>
        <w:t>102,1 %</w:t>
      </w:r>
      <w:r w:rsidRPr="00E66F80">
        <w:t xml:space="preserve"> спрямо актуализирания годишен план. В сравнение с 2021 г. постъпленията от тази група данъци се увеличават с 38,3 млн. лв. (33,4 %) на годишна база. Повишението основно се дължи на ръст на приходите от окончателен данък върху залози за хазартни игри и хазартни съоръжения, които за отчетния период са с най-голям относителен дял (48,3 %). В края на 2022</w:t>
      </w:r>
      <w:r w:rsidRPr="00E66F80">
        <w:rPr>
          <w:lang w:val="en-US"/>
        </w:rPr>
        <w:t> </w:t>
      </w:r>
      <w:r w:rsidRPr="00E66F80">
        <w:t xml:space="preserve">г. постъпленията от тези данъци възлизат на 73,9 млн. лв. и нарастват с 27,0 млн. лв. (57,4 %) спрямо предходната година. </w:t>
      </w:r>
    </w:p>
    <w:p w14:paraId="16410280" w14:textId="779DBF57" w:rsidR="00BD39E0" w:rsidRDefault="00DB12AC" w:rsidP="00677566">
      <w:pPr>
        <w:tabs>
          <w:tab w:val="left" w:pos="0"/>
          <w:tab w:val="center" w:pos="4153"/>
          <w:tab w:val="right" w:pos="8306"/>
        </w:tabs>
        <w:spacing w:after="120"/>
        <w:ind w:firstLine="709"/>
        <w:jc w:val="both"/>
      </w:pPr>
      <w:r w:rsidRPr="00E66F80">
        <w:t xml:space="preserve">Общата сума на останалите приходи, включени в „Други данъци по ЗКПО“, за 2022 г. </w:t>
      </w:r>
      <w:r w:rsidRPr="00E66F80">
        <w:rPr>
          <w:lang w:val="en-US"/>
        </w:rPr>
        <w:t>e</w:t>
      </w:r>
      <w:r w:rsidRPr="00E66F80">
        <w:t xml:space="preserve"> в размер на 79,2 млн. лв., което представлява 104,9 % изпълнение на актуализирания годишен план.</w:t>
      </w:r>
      <w:r w:rsidRPr="0008473F">
        <w:rPr>
          <w:lang w:val="ru-RU"/>
        </w:rPr>
        <w:t xml:space="preserve"> </w:t>
      </w:r>
      <w:r w:rsidR="00BD39E0" w:rsidRPr="00E66F80">
        <w:t>Считано от 01.01.2022 г. е въведена законодателна промяна (ЗИ на ЗКПО,</w:t>
      </w:r>
      <w:r w:rsidR="00BD39E0" w:rsidRPr="00E66F80">
        <w:rPr>
          <w:lang w:eastAsia="zh-CN"/>
        </w:rPr>
        <w:t xml:space="preserve"> обн., ДВ, </w:t>
      </w:r>
      <w:r w:rsidR="00BD39E0" w:rsidRPr="00E66F80">
        <w:t xml:space="preserve">бр. 17 от 1.03.2022 г.), с която се изменя ставката на данъка върху разходите в натура по чл. 204, ал. 1, т. 4 на ЗКПО от 10 % на 3 %. Въпреки това, постъпленията от данък върху социалните разходи, представяни в натура, за 2022 г. отчитат повишение с 9,1 % (3,0 млн. лв.) спрямо 2021 година. Това основно се дължи на повишения облагаем размер на декларираните разходи в натура съгласно чл. 204, ал. 1, т. 4 от ЗКПО. </w:t>
      </w:r>
    </w:p>
    <w:p w14:paraId="5709B779" w14:textId="77777777" w:rsidR="00BD39E0" w:rsidRDefault="00BD39E0" w:rsidP="00BD39E0">
      <w:pPr>
        <w:spacing w:after="120"/>
        <w:ind w:firstLine="709"/>
        <w:jc w:val="both"/>
      </w:pPr>
      <w:r w:rsidRPr="008A6C60">
        <w:rPr>
          <w:b/>
          <w:i/>
          <w:u w:val="single"/>
        </w:rPr>
        <w:t>Постъпленията от „Други данъци“</w:t>
      </w:r>
      <w:r w:rsidRPr="002C35CB">
        <w:t xml:space="preserve"> са в размер на </w:t>
      </w:r>
      <w:r w:rsidRPr="00042806">
        <w:rPr>
          <w:b/>
        </w:rPr>
        <w:t>73,</w:t>
      </w:r>
      <w:r>
        <w:rPr>
          <w:b/>
        </w:rPr>
        <w:t>6</w:t>
      </w:r>
      <w:r w:rsidRPr="00042806">
        <w:rPr>
          <w:b/>
        </w:rPr>
        <w:t> млн. л</w:t>
      </w:r>
      <w:r>
        <w:rPr>
          <w:b/>
        </w:rPr>
        <w:t>е</w:t>
      </w:r>
      <w:r w:rsidRPr="00042806">
        <w:rPr>
          <w:b/>
        </w:rPr>
        <w:t>в</w:t>
      </w:r>
      <w:r>
        <w:rPr>
          <w:b/>
        </w:rPr>
        <w:t>а</w:t>
      </w:r>
      <w:r w:rsidRPr="00E66F80">
        <w:t xml:space="preserve">. </w:t>
      </w:r>
      <w:r>
        <w:t>В тази група</w:t>
      </w:r>
      <w:r w:rsidRPr="00E66F80">
        <w:t xml:space="preserve"> данъци се включват </w:t>
      </w:r>
      <w:r>
        <w:t xml:space="preserve">и постъпленията от </w:t>
      </w:r>
      <w:r>
        <w:rPr>
          <w:b/>
        </w:rPr>
        <w:t>приетата</w:t>
      </w:r>
      <w:r w:rsidRPr="00EB5896">
        <w:rPr>
          <w:b/>
        </w:rPr>
        <w:t xml:space="preserve"> временна солидарна вноска</w:t>
      </w:r>
      <w:r>
        <w:t xml:space="preserve"> </w:t>
      </w:r>
      <w:r w:rsidRPr="00E66F80">
        <w:t>по Регламент (ЕС) 2022/1854 на Съвета от 6 октомври 2022 г. относно спешна намеса за справяне с високите цени на енергията с действие</w:t>
      </w:r>
      <w:r>
        <w:t xml:space="preserve"> </w:t>
      </w:r>
      <w:r w:rsidRPr="00E66F80">
        <w:t>от 1 октомври 2022 г</w:t>
      </w:r>
      <w:r>
        <w:t>одина</w:t>
      </w:r>
      <w:r w:rsidRPr="00E66F80">
        <w:t xml:space="preserve">. </w:t>
      </w:r>
      <w:r>
        <w:t>Предвид предоставената в закона възможност, з</w:t>
      </w:r>
      <w:r w:rsidRPr="00BD7CF5">
        <w:t>адължените лица могат да правят авансови вноски</w:t>
      </w:r>
      <w:r>
        <w:t xml:space="preserve"> по тази вноска, във връзка с което в края на отчетната година са постъпили 72,0 млн. лв. авансово. </w:t>
      </w:r>
    </w:p>
    <w:p w14:paraId="2AD08808" w14:textId="77777777" w:rsidR="00BD39E0" w:rsidRPr="00CD0603" w:rsidRDefault="00BD39E0" w:rsidP="00BD39E0">
      <w:pPr>
        <w:spacing w:after="120"/>
        <w:ind w:firstLine="709"/>
        <w:jc w:val="both"/>
        <w:rPr>
          <w:b/>
          <w:i/>
          <w:color w:val="000000" w:themeColor="text1"/>
          <w:u w:val="single"/>
        </w:rPr>
      </w:pPr>
      <w:r w:rsidRPr="00CD0603">
        <w:rPr>
          <w:b/>
          <w:i/>
          <w:color w:val="000000" w:themeColor="text1"/>
          <w:u w:val="single"/>
        </w:rPr>
        <w:t>Имуществени данъци по Закона за местните данъци и такси (ЗМДТ)</w:t>
      </w:r>
    </w:p>
    <w:p w14:paraId="1CFF640A" w14:textId="77777777" w:rsidR="00BD39E0" w:rsidRPr="00CD0603" w:rsidRDefault="00BD39E0" w:rsidP="00BD39E0">
      <w:pPr>
        <w:pStyle w:val="BodyText3"/>
        <w:tabs>
          <w:tab w:val="left" w:pos="180"/>
          <w:tab w:val="left" w:pos="9540"/>
          <w:tab w:val="left" w:pos="9900"/>
        </w:tabs>
        <w:spacing w:before="120"/>
        <w:ind w:right="3" w:firstLine="709"/>
        <w:jc w:val="both"/>
        <w:rPr>
          <w:color w:val="000000" w:themeColor="text1"/>
          <w:sz w:val="24"/>
          <w:szCs w:val="24"/>
        </w:rPr>
      </w:pPr>
      <w:bookmarkStart w:id="208" w:name="_Toc393728064"/>
      <w:bookmarkStart w:id="209" w:name="_Toc357527090"/>
      <w:bookmarkStart w:id="210" w:name="_Toc326315905"/>
      <w:bookmarkStart w:id="211" w:name="_Toc324863413"/>
      <w:bookmarkStart w:id="212" w:name="_Toc261276576"/>
      <w:bookmarkStart w:id="213" w:name="_Toc462146113"/>
      <w:bookmarkStart w:id="214" w:name="_Toc494102631"/>
      <w:bookmarkStart w:id="215" w:name="_Toc11323411"/>
      <w:bookmarkStart w:id="216" w:name="_Toc18316944"/>
      <w:bookmarkStart w:id="217" w:name="_Toc83045487"/>
      <w:r w:rsidRPr="00CD0603">
        <w:rPr>
          <w:bCs/>
          <w:color w:val="000000" w:themeColor="text1"/>
          <w:sz w:val="24"/>
          <w:szCs w:val="24"/>
        </w:rPr>
        <w:t xml:space="preserve">Имуществените данъци включват данък върху недвижимите имоти, данък върху наследствата, данък върху превозните средства, данък върху придобиването на имущество по дарения и възмезден начин, туристически данък и постъпват по бюджетите на общините. </w:t>
      </w:r>
      <w:r w:rsidRPr="00CD0603">
        <w:rPr>
          <w:color w:val="000000" w:themeColor="text1"/>
          <w:sz w:val="24"/>
          <w:szCs w:val="24"/>
        </w:rPr>
        <w:t>Ставките на имуществените данъци се определят от общинските съвети в законово фиксирани граници съгласно Закона за местните данъци и такси. Това дава добри възможности за гъвкаво управление на приходните политики от страна на общинската администрация.</w:t>
      </w:r>
    </w:p>
    <w:p w14:paraId="0CAD91E7" w14:textId="77777777" w:rsidR="00BD39E0" w:rsidRPr="007B48E9" w:rsidRDefault="00BD39E0" w:rsidP="00BD39E0">
      <w:pPr>
        <w:pStyle w:val="BodyText3"/>
        <w:tabs>
          <w:tab w:val="left" w:pos="180"/>
          <w:tab w:val="left" w:pos="9540"/>
          <w:tab w:val="left" w:pos="9900"/>
        </w:tabs>
        <w:spacing w:before="120"/>
        <w:ind w:right="3" w:firstLine="540"/>
        <w:jc w:val="both"/>
        <w:rPr>
          <w:color w:val="0070C0"/>
          <w:sz w:val="4"/>
          <w:szCs w:val="4"/>
        </w:rPr>
      </w:pPr>
    </w:p>
    <w:p w14:paraId="79C2FC38" w14:textId="29D319FC" w:rsidR="00BD39E0" w:rsidRPr="007B48E9" w:rsidRDefault="0033458D" w:rsidP="00BD39E0">
      <w:pPr>
        <w:pStyle w:val="BodyText3"/>
        <w:tabs>
          <w:tab w:val="left" w:pos="180"/>
          <w:tab w:val="left" w:pos="9540"/>
          <w:tab w:val="left" w:pos="9900"/>
        </w:tabs>
        <w:spacing w:before="120"/>
        <w:ind w:right="3" w:firstLine="540"/>
        <w:jc w:val="both"/>
        <w:rPr>
          <w:color w:val="0070C0"/>
          <w:sz w:val="24"/>
          <w:szCs w:val="24"/>
          <w:lang w:val="en-US"/>
        </w:rPr>
      </w:pPr>
      <w:r>
        <w:rPr>
          <w:noProof/>
          <w:color w:val="0070C0"/>
          <w:sz w:val="24"/>
          <w:szCs w:val="24"/>
        </w:rPr>
        <w:drawing>
          <wp:inline distT="0" distB="0" distL="0" distR="0" wp14:anchorId="390044F8" wp14:editId="36E92214">
            <wp:extent cx="5499100" cy="3383280"/>
            <wp:effectExtent l="0" t="0" r="635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99100" cy="3383280"/>
                    </a:xfrm>
                    <a:prstGeom prst="rect">
                      <a:avLst/>
                    </a:prstGeom>
                    <a:noFill/>
                  </pic:spPr>
                </pic:pic>
              </a:graphicData>
            </a:graphic>
          </wp:inline>
        </w:drawing>
      </w:r>
    </w:p>
    <w:p w14:paraId="4852DE1D" w14:textId="77777777" w:rsidR="00BD39E0" w:rsidRPr="007C052A" w:rsidRDefault="00BD39E0" w:rsidP="00BD39E0">
      <w:pPr>
        <w:pStyle w:val="BodyText"/>
        <w:widowControl w:val="0"/>
        <w:ind w:firstLine="709"/>
        <w:jc w:val="both"/>
        <w:rPr>
          <w:color w:val="000000" w:themeColor="text1"/>
        </w:rPr>
      </w:pPr>
      <w:r w:rsidRPr="00CD0603">
        <w:rPr>
          <w:bCs/>
          <w:color w:val="000000" w:themeColor="text1"/>
        </w:rPr>
        <w:t>От имуществени данъци в общинските бюджети през 2022 г. са постъпили общо 1</w:t>
      </w:r>
      <w:r w:rsidRPr="00CD0603">
        <w:rPr>
          <w:bCs/>
          <w:color w:val="000000" w:themeColor="text1"/>
          <w:lang w:val="en-US"/>
        </w:rPr>
        <w:t> </w:t>
      </w:r>
      <w:r w:rsidRPr="007C052A">
        <w:rPr>
          <w:bCs/>
          <w:color w:val="000000" w:themeColor="text1"/>
        </w:rPr>
        <w:t xml:space="preserve">353,3 млн. лв., 108,1 % спрямо годишния разчет и с </w:t>
      </w:r>
      <w:r w:rsidRPr="007C052A">
        <w:rPr>
          <w:bCs/>
          <w:color w:val="000000" w:themeColor="text1"/>
          <w:lang w:val="ru-RU"/>
        </w:rPr>
        <w:t>56,4</w:t>
      </w:r>
      <w:r w:rsidRPr="007C052A">
        <w:rPr>
          <w:bCs/>
          <w:color w:val="000000" w:themeColor="text1"/>
        </w:rPr>
        <w:t xml:space="preserve"> млн. лв. (</w:t>
      </w:r>
      <w:r w:rsidRPr="007C052A">
        <w:rPr>
          <w:bCs/>
          <w:color w:val="000000" w:themeColor="text1"/>
          <w:lang w:val="ru-RU"/>
        </w:rPr>
        <w:t>4.3</w:t>
      </w:r>
      <w:r w:rsidRPr="007C052A">
        <w:rPr>
          <w:bCs/>
          <w:color w:val="000000" w:themeColor="text1"/>
        </w:rPr>
        <w:t xml:space="preserve"> %) повече от тези за 202</w:t>
      </w:r>
      <w:r w:rsidRPr="007C052A">
        <w:rPr>
          <w:bCs/>
          <w:color w:val="000000" w:themeColor="text1"/>
          <w:lang w:val="ru-RU"/>
        </w:rPr>
        <w:t>1</w:t>
      </w:r>
      <w:r w:rsidRPr="007C052A">
        <w:rPr>
          <w:bCs/>
          <w:color w:val="000000" w:themeColor="text1"/>
        </w:rPr>
        <w:t> г. С най-значителен дял в приходите от имуществени данъци е данък при придобиване на имущество по дарения и възмезден начин – 3</w:t>
      </w:r>
      <w:r w:rsidRPr="007C052A">
        <w:rPr>
          <w:bCs/>
          <w:color w:val="000000" w:themeColor="text1"/>
          <w:lang w:val="ru-RU"/>
        </w:rPr>
        <w:t>9,5</w:t>
      </w:r>
      <w:r w:rsidRPr="007C052A">
        <w:rPr>
          <w:bCs/>
          <w:color w:val="000000" w:themeColor="text1"/>
        </w:rPr>
        <w:t xml:space="preserve"> %, следват данък върху превозните средства – 30,0 %, данък върху недвижимите имоти – 28,8 % и туристически данък – 1,7 %.</w:t>
      </w:r>
      <w:r w:rsidRPr="007C052A">
        <w:rPr>
          <w:color w:val="000000" w:themeColor="text1"/>
        </w:rPr>
        <w:t xml:space="preserve"> Данъкът върху наследствата, освен че има инцидентен характер, предвид нормативно определения изключително ограничен обхват, е от несъществено значение в общите приходи от имуществени данъци. </w:t>
      </w:r>
    </w:p>
    <w:p w14:paraId="2E1FDC6C" w14:textId="77777777" w:rsidR="00BD39E0" w:rsidRPr="007C052A" w:rsidRDefault="00BD39E0" w:rsidP="00BD39E0">
      <w:pPr>
        <w:pStyle w:val="Heading3"/>
        <w:numPr>
          <w:ilvl w:val="2"/>
          <w:numId w:val="8"/>
        </w:numPr>
        <w:rPr>
          <w:rFonts w:ascii="Times New Roman" w:hAnsi="Times New Roman" w:cs="Times New Roman"/>
          <w:color w:val="000000" w:themeColor="text1"/>
          <w:sz w:val="24"/>
          <w:szCs w:val="24"/>
          <w:lang w:val="bg-BG"/>
        </w:rPr>
      </w:pPr>
      <w:bookmarkStart w:id="218" w:name="_Toc136273502"/>
      <w:bookmarkStart w:id="219" w:name="_Toc146037899"/>
      <w:r w:rsidRPr="007C052A">
        <w:rPr>
          <w:rFonts w:ascii="Times New Roman" w:hAnsi="Times New Roman" w:cs="Times New Roman"/>
          <w:color w:val="000000" w:themeColor="text1"/>
          <w:sz w:val="24"/>
          <w:szCs w:val="24"/>
          <w:lang w:val="bg-BG"/>
        </w:rPr>
        <w:t>Неданъчни приходи</w:t>
      </w:r>
      <w:bookmarkEnd w:id="208"/>
      <w:bookmarkEnd w:id="209"/>
      <w:bookmarkEnd w:id="210"/>
      <w:bookmarkEnd w:id="211"/>
      <w:bookmarkEnd w:id="212"/>
      <w:bookmarkEnd w:id="213"/>
      <w:bookmarkEnd w:id="214"/>
      <w:bookmarkEnd w:id="215"/>
      <w:bookmarkEnd w:id="216"/>
      <w:bookmarkEnd w:id="217"/>
      <w:bookmarkEnd w:id="218"/>
      <w:bookmarkEnd w:id="219"/>
    </w:p>
    <w:p w14:paraId="1757E591" w14:textId="665A1B79" w:rsidR="00BD39E0" w:rsidRDefault="00BD39E0" w:rsidP="003B08BB">
      <w:pPr>
        <w:spacing w:before="120" w:after="120"/>
        <w:ind w:firstLine="709"/>
        <w:jc w:val="both"/>
        <w:rPr>
          <w:noProof/>
          <w:color w:val="0070C0"/>
        </w:rPr>
      </w:pPr>
      <w:r w:rsidRPr="00D07590">
        <w:rPr>
          <w:color w:val="000000" w:themeColor="text1"/>
        </w:rPr>
        <w:t>Постъпленията от неданъчни приходи по</w:t>
      </w:r>
      <w:r w:rsidRPr="00D07590">
        <w:rPr>
          <w:i/>
          <w:color w:val="000000" w:themeColor="text1"/>
          <w:u w:val="single"/>
        </w:rPr>
        <w:t xml:space="preserve"> КФП</w:t>
      </w:r>
      <w:r w:rsidRPr="00D07590">
        <w:rPr>
          <w:color w:val="000000" w:themeColor="text1"/>
        </w:rPr>
        <w:t xml:space="preserve"> за 2022 г. възлизат на </w:t>
      </w:r>
      <w:r w:rsidRPr="00D07590">
        <w:rPr>
          <w:rFonts w:eastAsiaTheme="minorHAnsi"/>
          <w:b/>
          <w:color w:val="000000" w:themeColor="text1"/>
          <w:szCs w:val="23"/>
        </w:rPr>
        <w:t>1</w:t>
      </w:r>
      <w:r>
        <w:rPr>
          <w:rFonts w:eastAsiaTheme="minorHAnsi"/>
          <w:b/>
          <w:color w:val="000000" w:themeColor="text1"/>
          <w:szCs w:val="23"/>
        </w:rPr>
        <w:t>2 00</w:t>
      </w:r>
      <w:r w:rsidR="00A444C4" w:rsidRPr="0008473F">
        <w:rPr>
          <w:rFonts w:eastAsiaTheme="minorHAnsi"/>
          <w:b/>
          <w:color w:val="000000" w:themeColor="text1"/>
          <w:szCs w:val="23"/>
          <w:lang w:val="ru-RU"/>
        </w:rPr>
        <w:t>0</w:t>
      </w:r>
      <w:r>
        <w:rPr>
          <w:rFonts w:eastAsiaTheme="minorHAnsi"/>
          <w:b/>
          <w:color w:val="000000" w:themeColor="text1"/>
          <w:szCs w:val="23"/>
        </w:rPr>
        <w:t>,</w:t>
      </w:r>
      <w:r w:rsidR="00A444C4" w:rsidRPr="0008473F">
        <w:rPr>
          <w:rFonts w:eastAsiaTheme="minorHAnsi"/>
          <w:b/>
          <w:color w:val="000000" w:themeColor="text1"/>
          <w:szCs w:val="23"/>
          <w:lang w:val="ru-RU"/>
        </w:rPr>
        <w:t>3</w:t>
      </w:r>
      <w:r w:rsidRPr="00D07590">
        <w:rPr>
          <w:rFonts w:eastAsiaTheme="minorHAnsi"/>
          <w:b/>
          <w:color w:val="000000" w:themeColor="text1"/>
          <w:szCs w:val="23"/>
        </w:rPr>
        <w:t xml:space="preserve"> млн. лв.</w:t>
      </w:r>
      <w:r w:rsidRPr="00D07590">
        <w:rPr>
          <w:rFonts w:eastAsiaTheme="minorHAnsi"/>
          <w:color w:val="000000" w:themeColor="text1"/>
          <w:szCs w:val="23"/>
        </w:rPr>
        <w:t xml:space="preserve"> (вкл. 3 181,0 млн. лв. еднократни извънредни приходи). На съпоставима база, при елиминиране </w:t>
      </w:r>
      <w:r w:rsidRPr="0068416D">
        <w:rPr>
          <w:rFonts w:eastAsiaTheme="minorHAnsi"/>
          <w:szCs w:val="23"/>
        </w:rPr>
        <w:t xml:space="preserve">на въздействието на еднократни извънредни приходи, неданъчните приходи по КФП за 2022 г. са в размер на </w:t>
      </w:r>
      <w:r w:rsidRPr="00354950">
        <w:rPr>
          <w:rFonts w:eastAsiaTheme="minorHAnsi"/>
          <w:b/>
          <w:szCs w:val="23"/>
        </w:rPr>
        <w:t>8</w:t>
      </w:r>
      <w:r>
        <w:rPr>
          <w:rFonts w:eastAsiaTheme="minorHAnsi"/>
          <w:b/>
          <w:szCs w:val="23"/>
        </w:rPr>
        <w:t> 819,</w:t>
      </w:r>
      <w:r w:rsidR="00A444C4" w:rsidRPr="0008473F">
        <w:rPr>
          <w:rFonts w:eastAsiaTheme="minorHAnsi"/>
          <w:b/>
          <w:szCs w:val="23"/>
          <w:lang w:val="ru-RU"/>
        </w:rPr>
        <w:t>3</w:t>
      </w:r>
      <w:r w:rsidRPr="00354950">
        <w:rPr>
          <w:rFonts w:eastAsiaTheme="minorHAnsi"/>
          <w:b/>
          <w:szCs w:val="23"/>
        </w:rPr>
        <w:t xml:space="preserve"> млн. лв., което представлява преизпълнение на годишния разчет с </w:t>
      </w:r>
      <w:r>
        <w:rPr>
          <w:rFonts w:eastAsiaTheme="minorHAnsi"/>
          <w:b/>
          <w:szCs w:val="23"/>
        </w:rPr>
        <w:t>20,1</w:t>
      </w:r>
      <w:r w:rsidRPr="00354950">
        <w:rPr>
          <w:rFonts w:eastAsiaTheme="minorHAnsi"/>
          <w:b/>
          <w:szCs w:val="23"/>
        </w:rPr>
        <w:t xml:space="preserve"> на сто (1</w:t>
      </w:r>
      <w:r>
        <w:rPr>
          <w:rFonts w:eastAsiaTheme="minorHAnsi"/>
          <w:b/>
          <w:szCs w:val="23"/>
        </w:rPr>
        <w:t> </w:t>
      </w:r>
      <w:r w:rsidRPr="00354950">
        <w:rPr>
          <w:rFonts w:eastAsiaTheme="minorHAnsi"/>
          <w:b/>
          <w:szCs w:val="23"/>
        </w:rPr>
        <w:t>4</w:t>
      </w:r>
      <w:r>
        <w:rPr>
          <w:rFonts w:eastAsiaTheme="minorHAnsi"/>
          <w:b/>
          <w:szCs w:val="23"/>
        </w:rPr>
        <w:t>76,</w:t>
      </w:r>
      <w:r w:rsidR="00A444C4" w:rsidRPr="0008473F">
        <w:rPr>
          <w:rFonts w:eastAsiaTheme="minorHAnsi"/>
          <w:b/>
          <w:szCs w:val="23"/>
          <w:lang w:val="ru-RU"/>
        </w:rPr>
        <w:t>0</w:t>
      </w:r>
      <w:r w:rsidRPr="00354950">
        <w:rPr>
          <w:rFonts w:eastAsiaTheme="minorHAnsi"/>
          <w:b/>
          <w:szCs w:val="23"/>
        </w:rPr>
        <w:t xml:space="preserve"> млн. лв</w:t>
      </w:r>
      <w:r w:rsidRPr="00E26EC3">
        <w:rPr>
          <w:rFonts w:eastAsiaTheme="minorHAnsi"/>
          <w:szCs w:val="23"/>
        </w:rPr>
        <w:t>.)</w:t>
      </w:r>
      <w:r>
        <w:rPr>
          <w:rFonts w:eastAsiaTheme="minorHAnsi"/>
          <w:szCs w:val="23"/>
        </w:rPr>
        <w:t>.</w:t>
      </w:r>
      <w:r w:rsidRPr="00E26EC3">
        <w:rPr>
          <w:rFonts w:eastAsiaTheme="minorHAnsi"/>
          <w:szCs w:val="23"/>
        </w:rPr>
        <w:t xml:space="preserve"> Неданъчните приходи </w:t>
      </w:r>
      <w:r w:rsidRPr="00126521">
        <w:rPr>
          <w:rFonts w:eastAsiaTheme="minorHAnsi"/>
          <w:szCs w:val="23"/>
        </w:rPr>
        <w:t xml:space="preserve">се формират основно от приходи от държавни, общински и съдебни такси, приходи и доходи от собственост, вкл. вноски от приходи от държавни и общински предприятия, приходи от концесии, приходи от продажба на квоти за емисии на парникови газове и други. </w:t>
      </w:r>
      <w:r>
        <w:rPr>
          <w:rFonts w:eastAsiaTheme="minorHAnsi"/>
          <w:szCs w:val="23"/>
        </w:rPr>
        <w:t>В частта на</w:t>
      </w:r>
      <w:r w:rsidRPr="00AA60F7">
        <w:rPr>
          <w:rFonts w:eastAsiaTheme="minorHAnsi"/>
          <w:szCs w:val="23"/>
        </w:rPr>
        <w:t xml:space="preserve"> неданъчните приходи </w:t>
      </w:r>
      <w:r>
        <w:rPr>
          <w:rFonts w:eastAsiaTheme="minorHAnsi"/>
          <w:szCs w:val="23"/>
        </w:rPr>
        <w:t>най-значително преизпълнение на разчетите има при</w:t>
      </w:r>
      <w:r w:rsidRPr="00AA60F7">
        <w:rPr>
          <w:rFonts w:eastAsiaTheme="minorHAnsi"/>
          <w:szCs w:val="23"/>
        </w:rPr>
        <w:t xml:space="preserve"> отчисленията от АЕЦ „Козлодуй“ за двата т. нар. „ядрени“ фонда – Фонд „Радиоактивни отпадъци“ и Фонд „Извеждане от експлоатация на ядрени съоръжения“</w:t>
      </w:r>
      <w:r>
        <w:rPr>
          <w:rFonts w:eastAsiaTheme="minorHAnsi"/>
          <w:szCs w:val="23"/>
        </w:rPr>
        <w:t xml:space="preserve">. Отчисленията за двата фонда </w:t>
      </w:r>
      <w:r w:rsidRPr="00AA60F7">
        <w:rPr>
          <w:rFonts w:eastAsiaTheme="minorHAnsi"/>
          <w:szCs w:val="23"/>
        </w:rPr>
        <w:t xml:space="preserve">са с </w:t>
      </w:r>
      <w:r w:rsidRPr="00EC384E">
        <w:rPr>
          <w:rFonts w:eastAsiaTheme="minorHAnsi"/>
          <w:szCs w:val="23"/>
          <w:lang w:val="ru-RU"/>
        </w:rPr>
        <w:t>511</w:t>
      </w:r>
      <w:r w:rsidRPr="00AA60F7">
        <w:rPr>
          <w:rFonts w:eastAsiaTheme="minorHAnsi"/>
          <w:szCs w:val="23"/>
        </w:rPr>
        <w:t>,6 млн. лв. по-високи от планираните, което се дължи на високите цени на електроенергията на свободния пазар</w:t>
      </w:r>
      <w:r w:rsidRPr="00354950">
        <w:rPr>
          <w:rFonts w:eastAsiaTheme="minorHAnsi"/>
          <w:szCs w:val="23"/>
        </w:rPr>
        <w:t xml:space="preserve">. </w:t>
      </w:r>
      <w:r>
        <w:rPr>
          <w:rFonts w:eastAsiaTheme="minorHAnsi"/>
          <w:szCs w:val="23"/>
        </w:rPr>
        <w:t>Подобна е и ситуацията с приходите от продажба на квоти за парникови газове, които са със 163,3 млн. лв. над заложените в годишния разчет и отново са свързани с волатилните условия на свободния пазар на електричество</w:t>
      </w:r>
      <w:r w:rsidRPr="00A6627F">
        <w:rPr>
          <w:rFonts w:eastAsiaTheme="minorHAnsi"/>
          <w:b/>
          <w:szCs w:val="23"/>
        </w:rPr>
        <w:t>.</w:t>
      </w:r>
    </w:p>
    <w:p w14:paraId="220EA659" w14:textId="77777777" w:rsidR="00BD39E0" w:rsidRPr="00D07590" w:rsidRDefault="00BD39E0" w:rsidP="003B08BB">
      <w:pPr>
        <w:ind w:right="23" w:firstLine="709"/>
        <w:jc w:val="both"/>
        <w:rPr>
          <w:color w:val="000000" w:themeColor="text1"/>
        </w:rPr>
      </w:pPr>
      <w:r w:rsidRPr="00D07590">
        <w:rPr>
          <w:color w:val="000000" w:themeColor="text1"/>
        </w:rPr>
        <w:t xml:space="preserve"> Неданъчните приходи по </w:t>
      </w:r>
      <w:r w:rsidRPr="00D07590">
        <w:rPr>
          <w:i/>
          <w:color w:val="000000" w:themeColor="text1"/>
          <w:u w:val="single"/>
        </w:rPr>
        <w:t>държавния бюджет</w:t>
      </w:r>
      <w:r w:rsidRPr="00D07590">
        <w:rPr>
          <w:color w:val="000000" w:themeColor="text1"/>
        </w:rPr>
        <w:t xml:space="preserve"> за 2022 г. са в размер на 3 260,6 млн. лв. или 122,9 % спрямо планираните за годината. </w:t>
      </w:r>
    </w:p>
    <w:p w14:paraId="2710606D" w14:textId="3BE36116" w:rsidR="00BD39E0" w:rsidRPr="00AA302C" w:rsidRDefault="00BD39E0" w:rsidP="003B08BB">
      <w:pPr>
        <w:tabs>
          <w:tab w:val="left" w:pos="900"/>
        </w:tabs>
        <w:ind w:right="23" w:firstLine="709"/>
        <w:jc w:val="both"/>
        <w:rPr>
          <w:color w:val="000000" w:themeColor="text1"/>
        </w:rPr>
      </w:pPr>
      <w:r w:rsidRPr="00AA302C">
        <w:rPr>
          <w:color w:val="000000" w:themeColor="text1"/>
        </w:rPr>
        <w:t xml:space="preserve">Изпълнението на неданъчните приходи по </w:t>
      </w:r>
      <w:r w:rsidRPr="00AA302C">
        <w:rPr>
          <w:i/>
          <w:color w:val="000000" w:themeColor="text1"/>
          <w:u w:val="single"/>
        </w:rPr>
        <w:t>централния бюджет</w:t>
      </w:r>
      <w:r w:rsidRPr="00AA302C">
        <w:rPr>
          <w:color w:val="000000" w:themeColor="text1"/>
        </w:rPr>
        <w:t xml:space="preserve"> за 2022 г. е в размер на 412,9 млн. лв. при 172,2 млн. лв. за 2021 г. Дивидентите по централния бюджет за 2022 г. са в размер на 258,5 млн. лв., при заложени в актуализираните разчети по ЗДБРБ за 2022 г. 264,5 млн. лв. и формират 6</w:t>
      </w:r>
      <w:r w:rsidR="003D5A65" w:rsidRPr="0008473F">
        <w:rPr>
          <w:color w:val="000000" w:themeColor="text1"/>
          <w:lang w:val="ru-RU"/>
        </w:rPr>
        <w:t>2</w:t>
      </w:r>
      <w:r w:rsidRPr="00AA302C">
        <w:rPr>
          <w:color w:val="000000" w:themeColor="text1"/>
        </w:rPr>
        <w:t xml:space="preserve">,6 % от общия размер на неданъчните приходи. </w:t>
      </w:r>
      <w:r w:rsidRPr="00201D4E">
        <w:rPr>
          <w:color w:val="000000" w:themeColor="text1"/>
        </w:rPr>
        <w:t>Изпълнението на планираните приходи от дивидент не е в предварително заложения размер, предвид невнесен в пълен размер дивидент от „Държавна консолидационна компания“ ЕАД /от дружеството са внесени 10 млн. лв., при планирани 12,1 млн. лв./, както и невнасяне на шестмесечен дивидент от „Българска фондова борса“ АД, поради отчетен от дружеството отрицателен финансов резултат. Сред най-големите вносители са: „Български енергиен холдинг“ ЕАД, „Дунав мост Видин-Калафат“ АД, „Държавна консолидационна компания“ ЕАД, „Информационно обслужване“ АД, „Автомагистрали“ ЕАД, „Бул Био НЦЗПБ“ ЕООД, Фонд „ФЛАГ“ ЕАД, ДП „Ръководство на въздушното движение“ и др.</w:t>
      </w:r>
    </w:p>
    <w:p w14:paraId="3A500300" w14:textId="77777777" w:rsidR="00BD39E0" w:rsidRPr="007B48E9" w:rsidRDefault="00BD39E0" w:rsidP="003B08BB">
      <w:pPr>
        <w:tabs>
          <w:tab w:val="left" w:pos="900"/>
        </w:tabs>
        <w:ind w:right="23" w:firstLine="709"/>
        <w:jc w:val="both"/>
        <w:rPr>
          <w:color w:val="0070C0"/>
          <w:sz w:val="4"/>
          <w:szCs w:val="4"/>
        </w:rPr>
      </w:pPr>
    </w:p>
    <w:p w14:paraId="2A8FE2D4" w14:textId="77777777" w:rsidR="00BD39E0" w:rsidRPr="00121F23" w:rsidRDefault="00BD39E0" w:rsidP="003B08BB">
      <w:pPr>
        <w:tabs>
          <w:tab w:val="left" w:pos="900"/>
        </w:tabs>
        <w:ind w:firstLine="709"/>
        <w:jc w:val="both"/>
        <w:rPr>
          <w:color w:val="000000" w:themeColor="text1"/>
        </w:rPr>
      </w:pPr>
      <w:r w:rsidRPr="00121F23">
        <w:rPr>
          <w:color w:val="000000" w:themeColor="text1"/>
        </w:rPr>
        <w:t xml:space="preserve">Изпълнението на неданъчните приходи по бюджетите на </w:t>
      </w:r>
      <w:r w:rsidRPr="00121F23">
        <w:rPr>
          <w:i/>
          <w:color w:val="000000" w:themeColor="text1"/>
          <w:u w:val="single"/>
        </w:rPr>
        <w:t>министерствата и ведомствата</w:t>
      </w:r>
      <w:r w:rsidRPr="00121F23">
        <w:rPr>
          <w:color w:val="000000" w:themeColor="text1"/>
        </w:rPr>
        <w:t xml:space="preserve"> е много добро спрямо разчета, като са постъпили 2 740,9 млн. лв., което е 129,9 % спрямо планираните със ЗДБРБ за 2022 г. средства. В структурно отношение </w:t>
      </w:r>
      <w:r w:rsidRPr="008967A7">
        <w:rPr>
          <w:color w:val="000000"/>
        </w:rPr>
        <w:t xml:space="preserve">отчетените неданъчни приходи включват приходи </w:t>
      </w:r>
      <w:r w:rsidRPr="008967A7">
        <w:t>от такси</w:t>
      </w:r>
      <w:r>
        <w:t xml:space="preserve"> </w:t>
      </w:r>
      <w:r w:rsidRPr="00902D3D">
        <w:rPr>
          <w:lang w:val="ru-RU"/>
        </w:rPr>
        <w:t>(5</w:t>
      </w:r>
      <w:r>
        <w:rPr>
          <w:lang w:val="ru-RU"/>
        </w:rPr>
        <w:t xml:space="preserve">6,5 </w:t>
      </w:r>
      <w:r w:rsidRPr="00902D3D">
        <w:rPr>
          <w:lang w:val="ru-RU"/>
        </w:rPr>
        <w:t>%)</w:t>
      </w:r>
      <w:r w:rsidRPr="008967A7">
        <w:t>, приходи и доходи от собственост</w:t>
      </w:r>
      <w:r>
        <w:t xml:space="preserve"> </w:t>
      </w:r>
      <w:r w:rsidRPr="00902D3D">
        <w:rPr>
          <w:lang w:val="ru-RU"/>
        </w:rPr>
        <w:t>(11,</w:t>
      </w:r>
      <w:r>
        <w:rPr>
          <w:lang w:val="ru-RU"/>
        </w:rPr>
        <w:t xml:space="preserve">3 </w:t>
      </w:r>
      <w:r w:rsidRPr="00902D3D">
        <w:rPr>
          <w:lang w:val="ru-RU"/>
        </w:rPr>
        <w:t>%)</w:t>
      </w:r>
      <w:r w:rsidRPr="008967A7">
        <w:t>, глоби, санкции и наказателни лихви</w:t>
      </w:r>
      <w:r>
        <w:t xml:space="preserve"> </w:t>
      </w:r>
      <w:r w:rsidRPr="00902D3D">
        <w:rPr>
          <w:lang w:val="ru-RU"/>
        </w:rPr>
        <w:t>(7,</w:t>
      </w:r>
      <w:r>
        <w:rPr>
          <w:lang w:val="ru-RU"/>
        </w:rPr>
        <w:t xml:space="preserve">3 </w:t>
      </w:r>
      <w:r w:rsidRPr="00902D3D">
        <w:rPr>
          <w:lang w:val="ru-RU"/>
        </w:rPr>
        <w:t>%)</w:t>
      </w:r>
      <w:r w:rsidRPr="008967A7">
        <w:t xml:space="preserve"> </w:t>
      </w:r>
      <w:r w:rsidRPr="00C82B18">
        <w:t>и други неданъчни приходи</w:t>
      </w:r>
      <w:r w:rsidRPr="00121F23">
        <w:rPr>
          <w:color w:val="000000" w:themeColor="text1"/>
          <w:lang w:val="ru-RU"/>
        </w:rPr>
        <w:t>(22,6 %)</w:t>
      </w:r>
      <w:r w:rsidRPr="00121F23">
        <w:rPr>
          <w:color w:val="000000" w:themeColor="text1"/>
        </w:rPr>
        <w:t xml:space="preserve">. </w:t>
      </w:r>
    </w:p>
    <w:p w14:paraId="6CFDB1F5" w14:textId="77777777" w:rsidR="00BD39E0" w:rsidRPr="00121F23" w:rsidRDefault="00BD39E0" w:rsidP="00BD39E0">
      <w:pPr>
        <w:tabs>
          <w:tab w:val="left" w:pos="900"/>
        </w:tabs>
        <w:ind w:right="23" w:firstLine="709"/>
        <w:jc w:val="both"/>
        <w:rPr>
          <w:color w:val="000000" w:themeColor="text1"/>
        </w:rPr>
      </w:pPr>
      <w:r w:rsidRPr="00121F23">
        <w:rPr>
          <w:color w:val="000000" w:themeColor="text1"/>
        </w:rPr>
        <w:t>По-голямата част от неданъчните приходи по държавния бюджет са по бюджетите на следните министерства и ведомства:</w:t>
      </w:r>
    </w:p>
    <w:p w14:paraId="5BA10721" w14:textId="77777777" w:rsidR="00BD39E0" w:rsidRPr="007B48E9" w:rsidRDefault="00BD39E0" w:rsidP="00BD39E0">
      <w:pPr>
        <w:tabs>
          <w:tab w:val="left" w:pos="900"/>
        </w:tabs>
        <w:ind w:right="23" w:firstLine="709"/>
        <w:jc w:val="both"/>
        <w:rPr>
          <w:color w:val="0070C0"/>
          <w:sz w:val="10"/>
          <w:szCs w:val="10"/>
        </w:rPr>
      </w:pPr>
    </w:p>
    <w:p w14:paraId="4B9B5208" w14:textId="77777777" w:rsidR="00BD39E0" w:rsidRPr="007B48E9" w:rsidRDefault="00BD39E0" w:rsidP="00BD39E0">
      <w:pPr>
        <w:ind w:right="23" w:firstLine="709"/>
        <w:jc w:val="center"/>
        <w:rPr>
          <w:color w:val="0070C0"/>
        </w:rPr>
      </w:pPr>
      <w:r>
        <w:rPr>
          <w:noProof/>
          <w:color w:val="0070C0"/>
        </w:rPr>
        <w:drawing>
          <wp:inline distT="0" distB="0" distL="0" distR="0" wp14:anchorId="4E2A08E6" wp14:editId="3DA43CFE">
            <wp:extent cx="5029835" cy="25971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835" cy="2597150"/>
                    </a:xfrm>
                    <a:prstGeom prst="rect">
                      <a:avLst/>
                    </a:prstGeom>
                    <a:noFill/>
                  </pic:spPr>
                </pic:pic>
              </a:graphicData>
            </a:graphic>
          </wp:inline>
        </w:drawing>
      </w:r>
    </w:p>
    <w:p w14:paraId="20A6DCF7" w14:textId="77777777" w:rsidR="00BD39E0" w:rsidRPr="007B48E9" w:rsidRDefault="00BD39E0" w:rsidP="00BD39E0">
      <w:pPr>
        <w:ind w:right="23" w:firstLine="709"/>
        <w:jc w:val="center"/>
        <w:rPr>
          <w:noProof/>
          <w:color w:val="0070C0"/>
          <w:lang w:eastAsia="en-US"/>
        </w:rPr>
      </w:pPr>
    </w:p>
    <w:p w14:paraId="3C77C453" w14:textId="77777777" w:rsidR="00BD39E0" w:rsidRDefault="00BD39E0" w:rsidP="00BD39E0">
      <w:pPr>
        <w:pStyle w:val="BodyText"/>
        <w:numPr>
          <w:ilvl w:val="0"/>
          <w:numId w:val="24"/>
        </w:numPr>
        <w:tabs>
          <w:tab w:val="clear" w:pos="720"/>
          <w:tab w:val="num" w:pos="360"/>
          <w:tab w:val="left" w:pos="1134"/>
        </w:tabs>
        <w:spacing w:after="0"/>
        <w:ind w:left="0" w:firstLine="709"/>
        <w:jc w:val="both"/>
        <w:rPr>
          <w:color w:val="000000" w:themeColor="text1"/>
        </w:rPr>
      </w:pPr>
      <w:r w:rsidRPr="0019335E">
        <w:rPr>
          <w:b/>
          <w:color w:val="000000" w:themeColor="text1"/>
        </w:rPr>
        <w:t xml:space="preserve">Министерство на регионалното развитие и благоустройство (МРРБ) – </w:t>
      </w:r>
      <w:r w:rsidRPr="0019335E">
        <w:rPr>
          <w:color w:val="000000" w:themeColor="text1"/>
        </w:rPr>
        <w:t>постъпилите неданъчните приходи по бюджета на министерството през 2022 г. са в размер на 722,2 млн. лв., като изпълнението е 84,</w:t>
      </w:r>
      <w:r>
        <w:rPr>
          <w:color w:val="000000" w:themeColor="text1"/>
        </w:rPr>
        <w:t xml:space="preserve">1 </w:t>
      </w:r>
      <w:r w:rsidRPr="0019335E">
        <w:rPr>
          <w:color w:val="000000" w:themeColor="text1"/>
        </w:rPr>
        <w:t>% спрямо планираните</w:t>
      </w:r>
      <w:r>
        <w:rPr>
          <w:color w:val="000000" w:themeColor="text1"/>
        </w:rPr>
        <w:t xml:space="preserve"> за годината.</w:t>
      </w:r>
      <w:r w:rsidRPr="0019335E">
        <w:rPr>
          <w:color w:val="000000" w:themeColor="text1"/>
        </w:rPr>
        <w:t xml:space="preserve"> Приходите от държавни такси са в размер на 688,9 млн. лв., което представлява 80,8</w:t>
      </w:r>
      <w:r>
        <w:rPr>
          <w:color w:val="000000" w:themeColor="text1"/>
        </w:rPr>
        <w:t xml:space="preserve"> </w:t>
      </w:r>
      <w:r w:rsidRPr="0019335E">
        <w:rPr>
          <w:color w:val="000000" w:themeColor="text1"/>
        </w:rPr>
        <w:t>% от планираните 852,8 млн. лв. със Закона за държавния бюджет за 2022 г.. От администрираните държавни такси с най-голям дял са</w:t>
      </w:r>
      <w:r>
        <w:rPr>
          <w:color w:val="000000" w:themeColor="text1"/>
        </w:rPr>
        <w:t>:</w:t>
      </w:r>
    </w:p>
    <w:p w14:paraId="59B380C3" w14:textId="77777777" w:rsidR="00BD39E0" w:rsidRDefault="00BD39E0" w:rsidP="00BD39E0">
      <w:pPr>
        <w:pStyle w:val="BodyText"/>
        <w:numPr>
          <w:ilvl w:val="0"/>
          <w:numId w:val="85"/>
        </w:numPr>
        <w:tabs>
          <w:tab w:val="left" w:pos="1134"/>
        </w:tabs>
        <w:spacing w:after="0"/>
        <w:jc w:val="both"/>
        <w:rPr>
          <w:color w:val="000000" w:themeColor="text1"/>
        </w:rPr>
      </w:pPr>
      <w:r w:rsidRPr="0019335E">
        <w:rPr>
          <w:color w:val="000000" w:themeColor="text1"/>
        </w:rPr>
        <w:t>приходите от винетни такси за ползване на пътната инфраструктура от пътни превозни средства (събирани на основание чл.10, ал.1, т.1 от Закона за пътищата) – 280,4 млн. лв.;</w:t>
      </w:r>
    </w:p>
    <w:p w14:paraId="565FA629" w14:textId="77777777" w:rsidR="00BD39E0" w:rsidRPr="0019335E" w:rsidRDefault="00BD39E0" w:rsidP="00BD39E0">
      <w:pPr>
        <w:pStyle w:val="BodyText"/>
        <w:numPr>
          <w:ilvl w:val="0"/>
          <w:numId w:val="85"/>
        </w:numPr>
        <w:tabs>
          <w:tab w:val="left" w:pos="1134"/>
        </w:tabs>
        <w:spacing w:after="0"/>
        <w:jc w:val="both"/>
        <w:rPr>
          <w:color w:val="000000" w:themeColor="text1"/>
        </w:rPr>
      </w:pPr>
      <w:r w:rsidRPr="0019335E">
        <w:rPr>
          <w:color w:val="000000" w:themeColor="text1"/>
        </w:rPr>
        <w:t>Тол такса за ползване на пътната инфраструктура от пътни превозни средства (събирани на основание чл.10, ал.1, т.2 от Закона за пътищата) – 264,4 млн. лв., от които 227,1 млн. лв.  от тол такси и 37, 3 млн. лв. от маршрутни карти;</w:t>
      </w:r>
    </w:p>
    <w:p w14:paraId="2E764D42" w14:textId="77777777" w:rsidR="00BD39E0" w:rsidRPr="0019335E" w:rsidRDefault="00BD39E0" w:rsidP="00BD39E0">
      <w:pPr>
        <w:pStyle w:val="BodyText"/>
        <w:numPr>
          <w:ilvl w:val="0"/>
          <w:numId w:val="85"/>
        </w:numPr>
        <w:tabs>
          <w:tab w:val="left" w:pos="1134"/>
        </w:tabs>
        <w:spacing w:after="0"/>
        <w:jc w:val="both"/>
        <w:rPr>
          <w:color w:val="000000" w:themeColor="text1"/>
        </w:rPr>
      </w:pPr>
      <w:r w:rsidRPr="0019335E">
        <w:rPr>
          <w:color w:val="000000" w:themeColor="text1"/>
        </w:rPr>
        <w:t>Други такси по тарифата в размер на 114,1 млн. лв., реализирани от кантарни такси, от таксите за преминаване на Дунав мост в посока „Русе – Гюргево”; от такси за крайпътни обслужващи обекти и рекламни съоръжения; от такси за влизане в Република България или за транзитно преминаване на ППС с чуждестранна регистрация, както и от такси за движение на тежки и извънгабаритни превозни средства по републиканските пътища.</w:t>
      </w:r>
    </w:p>
    <w:p w14:paraId="0B7EB911" w14:textId="77777777" w:rsidR="00BD39E0" w:rsidRPr="0019335E" w:rsidRDefault="00BD39E0" w:rsidP="00BD39E0">
      <w:pPr>
        <w:pStyle w:val="BodyText"/>
        <w:tabs>
          <w:tab w:val="left" w:pos="1134"/>
        </w:tabs>
        <w:spacing w:after="0"/>
        <w:jc w:val="both"/>
        <w:rPr>
          <w:color w:val="000000" w:themeColor="text1"/>
        </w:rPr>
      </w:pPr>
      <w:r w:rsidRPr="0019335E">
        <w:rPr>
          <w:color w:val="000000" w:themeColor="text1"/>
        </w:rPr>
        <w:t>Постъпилите приходи от глоби, санкции и наказателни лихви са в размер на 28,6 млн. л</w:t>
      </w:r>
      <w:r>
        <w:rPr>
          <w:color w:val="000000" w:themeColor="text1"/>
        </w:rPr>
        <w:t>е</w:t>
      </w:r>
      <w:r w:rsidRPr="0019335E">
        <w:rPr>
          <w:color w:val="000000" w:themeColor="text1"/>
        </w:rPr>
        <w:t>в</w:t>
      </w:r>
      <w:r>
        <w:rPr>
          <w:color w:val="000000" w:themeColor="text1"/>
        </w:rPr>
        <w:t>а</w:t>
      </w:r>
      <w:r w:rsidRPr="0019335E">
        <w:rPr>
          <w:color w:val="000000" w:themeColor="text1"/>
        </w:rPr>
        <w:t>.</w:t>
      </w:r>
    </w:p>
    <w:p w14:paraId="178E7DB8" w14:textId="6A28299D" w:rsidR="00BD39E0" w:rsidRPr="00A15277" w:rsidRDefault="00BD39E0" w:rsidP="00A535C1">
      <w:pPr>
        <w:pStyle w:val="BodyText"/>
        <w:numPr>
          <w:ilvl w:val="0"/>
          <w:numId w:val="24"/>
        </w:numPr>
        <w:tabs>
          <w:tab w:val="clear" w:pos="720"/>
          <w:tab w:val="left" w:pos="993"/>
        </w:tabs>
        <w:spacing w:before="120"/>
        <w:ind w:left="0" w:firstLine="709"/>
        <w:jc w:val="both"/>
        <w:rPr>
          <w:bCs/>
          <w:color w:val="000000" w:themeColor="text1"/>
        </w:rPr>
      </w:pPr>
      <w:r w:rsidRPr="00A15277">
        <w:rPr>
          <w:b/>
          <w:bCs/>
          <w:color w:val="000000" w:themeColor="text1"/>
        </w:rPr>
        <w:t xml:space="preserve">Министерство на енергетиката (МЕ) - </w:t>
      </w:r>
      <w:r w:rsidRPr="00A15277">
        <w:rPr>
          <w:bCs/>
          <w:color w:val="000000" w:themeColor="text1"/>
        </w:rPr>
        <w:t>постъпилите през 2022 г. по бюджета на министерството неданъчни приходи са в размер на 701,5 млн. лв. В сравнение с предходната година неданъчните приходи са нараснали 231,2 %. Най-голямо в процентно и в стойностно измерение е изпълнението на приходите на фондовете „Радиоактивни отпадъци” и „Извеждане от експлоатация на ядрени съоръжения“ (други неданъчни приходи), което изпълнение е в размер на 643,6 млн. лв., като изпълнението им спрямо приетите със ЗДБ 132,0 млн. лв. е 487,5 %. Приходите от концесии са изпълнени на 146,5 %, като при приети със ЗДБ 51,8 млн. лв. са отчетени 75,</w:t>
      </w:r>
      <w:r w:rsidR="000D063F">
        <w:rPr>
          <w:bCs/>
          <w:color w:val="000000" w:themeColor="text1"/>
        </w:rPr>
        <w:t>8</w:t>
      </w:r>
      <w:r w:rsidRPr="00A15277">
        <w:rPr>
          <w:bCs/>
          <w:color w:val="000000" w:themeColor="text1"/>
        </w:rPr>
        <w:t xml:space="preserve"> млн. лв. Постъпленията от такси са в размер на 1,7 млн. лв., като същите спрямо приетите със ЗДБ</w:t>
      </w:r>
      <w:r w:rsidR="00C8071D">
        <w:rPr>
          <w:bCs/>
          <w:color w:val="000000" w:themeColor="text1"/>
        </w:rPr>
        <w:t>РБ за 2022 г.</w:t>
      </w:r>
      <w:r w:rsidRPr="00A15277">
        <w:rPr>
          <w:bCs/>
          <w:color w:val="000000" w:themeColor="text1"/>
        </w:rPr>
        <w:t xml:space="preserve"> около 2,7 млн. лв. са изпълнени на 63,0 %. Изпълнението на приходите от глоби, санкции и наказателни лихви е 488 %, като от приетите със ЗДБ</w:t>
      </w:r>
      <w:r w:rsidR="00C8071D">
        <w:rPr>
          <w:bCs/>
          <w:color w:val="000000" w:themeColor="text1"/>
        </w:rPr>
        <w:t>РБ за 2022 г.</w:t>
      </w:r>
      <w:r w:rsidRPr="00A15277">
        <w:rPr>
          <w:bCs/>
          <w:color w:val="000000" w:themeColor="text1"/>
        </w:rPr>
        <w:t xml:space="preserve"> 4,3 млн. лв. са постъпили 2,1 млн. лв. Отчетени са 0,1 млн. лв. приходи и доходи от собственост, в т.ч. от лихви по ДИЗ, които спрямо достигнатите по УП 0,1 млн. лв. са изпълнение на 100,0 %. Внесените данъци към отчетния период са в размер на (-) 23,3 млн. лв., като изпълнението им спрямо приетите със ЗДБ</w:t>
      </w:r>
      <w:r w:rsidR="00C8071D">
        <w:rPr>
          <w:bCs/>
          <w:color w:val="000000" w:themeColor="text1"/>
        </w:rPr>
        <w:t>РБ за 2022 г.</w:t>
      </w:r>
      <w:r w:rsidRPr="00A15277">
        <w:rPr>
          <w:bCs/>
          <w:color w:val="000000" w:themeColor="text1"/>
        </w:rPr>
        <w:t xml:space="preserve"> (-) 15,6 млн. лв. е 149,4 %.</w:t>
      </w:r>
    </w:p>
    <w:p w14:paraId="5079CCB1" w14:textId="77777777" w:rsidR="00BD39E0" w:rsidRPr="007B48E9" w:rsidRDefault="00BD39E0" w:rsidP="00BD39E0">
      <w:pPr>
        <w:pStyle w:val="BodyText"/>
        <w:numPr>
          <w:ilvl w:val="0"/>
          <w:numId w:val="24"/>
        </w:numPr>
        <w:tabs>
          <w:tab w:val="clear" w:pos="720"/>
          <w:tab w:val="num" w:pos="360"/>
          <w:tab w:val="left" w:pos="1134"/>
        </w:tabs>
        <w:spacing w:after="0"/>
        <w:ind w:left="0" w:firstLine="709"/>
        <w:jc w:val="both"/>
        <w:rPr>
          <w:bCs/>
          <w:color w:val="0070C0"/>
        </w:rPr>
      </w:pPr>
      <w:r w:rsidRPr="004F25FE">
        <w:rPr>
          <w:b/>
          <w:color w:val="000000" w:themeColor="text1"/>
        </w:rPr>
        <w:t xml:space="preserve">Министерство на вътрешните работи (МВР) – </w:t>
      </w:r>
      <w:r w:rsidRPr="004F25FE">
        <w:rPr>
          <w:color w:val="000000" w:themeColor="text1"/>
        </w:rPr>
        <w:t>постъпилите неданъчни приходи по бюджета на МВР са в размер на 298,2 млн. лв., което възлиза на 13</w:t>
      </w:r>
      <w:r w:rsidRPr="004F25FE">
        <w:rPr>
          <w:color w:val="000000" w:themeColor="text1"/>
          <w:lang w:val="ru-RU"/>
        </w:rPr>
        <w:t>4</w:t>
      </w:r>
      <w:r w:rsidRPr="004F25FE">
        <w:rPr>
          <w:color w:val="000000" w:themeColor="text1"/>
        </w:rPr>
        <w:t>,</w:t>
      </w:r>
      <w:r w:rsidRPr="004F25FE">
        <w:rPr>
          <w:color w:val="000000" w:themeColor="text1"/>
          <w:lang w:val="ru-RU"/>
        </w:rPr>
        <w:t>3</w:t>
      </w:r>
      <w:r w:rsidRPr="004F25FE">
        <w:rPr>
          <w:color w:val="000000" w:themeColor="text1"/>
        </w:rPr>
        <w:t xml:space="preserve"> % от утвърдените със ЗДБРБ</w:t>
      </w:r>
      <w:r w:rsidRPr="004F25FE">
        <w:rPr>
          <w:color w:val="000000" w:themeColor="text1"/>
          <w:lang w:val="ru-RU"/>
        </w:rPr>
        <w:t xml:space="preserve"> </w:t>
      </w:r>
      <w:r w:rsidRPr="004F25FE">
        <w:rPr>
          <w:color w:val="000000" w:themeColor="text1"/>
        </w:rPr>
        <w:t>за 202</w:t>
      </w:r>
      <w:r w:rsidRPr="004F25FE">
        <w:rPr>
          <w:color w:val="000000" w:themeColor="text1"/>
          <w:lang w:val="ru-RU"/>
        </w:rPr>
        <w:t>2</w:t>
      </w:r>
      <w:r w:rsidRPr="004F25FE">
        <w:rPr>
          <w:color w:val="000000" w:themeColor="text1"/>
        </w:rPr>
        <w:t xml:space="preserve"> г. Приходите от такси са в размер на 131,6 млн. лв.</w:t>
      </w:r>
      <w:r w:rsidRPr="004F25FE">
        <w:rPr>
          <w:bCs/>
          <w:color w:val="000000" w:themeColor="text1"/>
        </w:rPr>
        <w:t xml:space="preserve"> </w:t>
      </w:r>
      <w:r w:rsidRPr="004F25FE">
        <w:rPr>
          <w:color w:val="000000" w:themeColor="text1"/>
        </w:rPr>
        <w:t>Приходите и доходите от собственост са в размер на 66,1 млн. лв. (приходи от</w:t>
      </w:r>
      <w:r w:rsidRPr="004F25FE">
        <w:rPr>
          <w:bCs/>
          <w:color w:val="000000" w:themeColor="text1"/>
        </w:rPr>
        <w:t xml:space="preserve"> продажби на услуги, стоки и продукция</w:t>
      </w:r>
      <w:r w:rsidRPr="004F25FE">
        <w:rPr>
          <w:color w:val="000000" w:themeColor="text1"/>
        </w:rPr>
        <w:t>, както и приходи от договори за охрана със СОТ, полиция и пожарна безопасност). Към 31.12.2022 г. събраните приходи от наложени глоби и санкции са в размер на 125,0</w:t>
      </w:r>
      <w:r w:rsidRPr="004F25FE">
        <w:rPr>
          <w:color w:val="000000" w:themeColor="text1"/>
          <w:lang w:val="ru-RU"/>
        </w:rPr>
        <w:t xml:space="preserve"> </w:t>
      </w:r>
      <w:r w:rsidRPr="004F25FE">
        <w:rPr>
          <w:color w:val="000000" w:themeColor="text1"/>
        </w:rPr>
        <w:t xml:space="preserve">млн. лв. Такива са глоби и санкции по издадени от органите на МВР актове за установяване на административно нарушение, наказателни постановления, електронни фишове и обикновени </w:t>
      </w:r>
      <w:r w:rsidRPr="00944DEF">
        <w:t>фишове, на касова основа. Приходите от глоби се налагат по Закона за движението по пътищата (ЗДвП), Закона за българските лични документи, Закона за частната охранителна дейност, Закона за устройство на територията, Закона за МВР, Закона за административните нарушения и наказания, Закона за контрол над взривните вещества, огнестрелните оръжия и боеприпасите и други. Глобите по ЗДвП, се администрират с помощта на Автоматизирана информационна система „Управление на наложени глоби по наказателни постановления и извършване на плащания по тях през Интернет, SMS и WAP“ (АИС-АНД), но системата не дава надеждна информация за целите на счетоводното отчитане.</w:t>
      </w:r>
      <w:r w:rsidRPr="007B48E9">
        <w:rPr>
          <w:bCs/>
          <w:color w:val="0070C0"/>
        </w:rPr>
        <w:t xml:space="preserve"> </w:t>
      </w:r>
    </w:p>
    <w:p w14:paraId="6BAE7BC3" w14:textId="49FD126D" w:rsidR="00BD39E0" w:rsidRPr="00B0642D" w:rsidRDefault="00BD39E0" w:rsidP="00C44950">
      <w:pPr>
        <w:pStyle w:val="BodyText"/>
        <w:numPr>
          <w:ilvl w:val="0"/>
          <w:numId w:val="24"/>
        </w:numPr>
        <w:tabs>
          <w:tab w:val="clear" w:pos="720"/>
          <w:tab w:val="left" w:pos="993"/>
        </w:tabs>
        <w:spacing w:before="120" w:after="0"/>
        <w:ind w:left="0" w:firstLine="709"/>
        <w:jc w:val="both"/>
        <w:rPr>
          <w:color w:val="000000" w:themeColor="text1"/>
        </w:rPr>
      </w:pPr>
      <w:r w:rsidRPr="00B0642D">
        <w:rPr>
          <w:b/>
          <w:bCs/>
          <w:color w:val="000000" w:themeColor="text1"/>
        </w:rPr>
        <w:t xml:space="preserve">Министерство на финансите (МФ) </w:t>
      </w:r>
      <w:r w:rsidRPr="00B0642D">
        <w:rPr>
          <w:bCs/>
          <w:color w:val="000000" w:themeColor="text1"/>
        </w:rPr>
        <w:t>– постъпилите неданъчни приходи по бюджета на министерството през 2022 г. са в размер на 255,5 млн. лв., което представлява 137,</w:t>
      </w:r>
      <w:r w:rsidR="00E2749D">
        <w:rPr>
          <w:bCs/>
          <w:color w:val="000000" w:themeColor="text1"/>
        </w:rPr>
        <w:t>2</w:t>
      </w:r>
      <w:r w:rsidRPr="00B0642D">
        <w:rPr>
          <w:bCs/>
          <w:color w:val="000000" w:themeColor="text1"/>
        </w:rPr>
        <w:t xml:space="preserve"> % изпълнение спрямо утвърдените 189,2 млн. лв. със ЗДБРБ за 2022 г.</w:t>
      </w:r>
      <w:r w:rsidRPr="00B0642D">
        <w:rPr>
          <w:color w:val="000000" w:themeColor="text1"/>
        </w:rPr>
        <w:t xml:space="preserve"> </w:t>
      </w:r>
    </w:p>
    <w:p w14:paraId="1FCEE366" w14:textId="77777777" w:rsidR="00BD39E0" w:rsidRPr="00C22D47" w:rsidRDefault="00BD39E0" w:rsidP="003B08BB">
      <w:pPr>
        <w:ind w:firstLine="709"/>
        <w:jc w:val="both"/>
        <w:rPr>
          <w:lang w:eastAsia="en-US"/>
        </w:rPr>
      </w:pPr>
      <w:r w:rsidRPr="00C22D47">
        <w:t>Най-голям дял от събраните приходи по бюджета на МФ за отчетния период заемат постъпленията от държавни такси.</w:t>
      </w:r>
      <w:r w:rsidRPr="00C22D47">
        <w:rPr>
          <w:bCs/>
        </w:rPr>
        <w:t xml:space="preserve"> </w:t>
      </w:r>
      <w:r w:rsidRPr="00C22D47">
        <w:t xml:space="preserve">Отчетените постъпления от тези приходи са в размер на 252,9 млн. лв. </w:t>
      </w:r>
      <w:r w:rsidRPr="00C22D47">
        <w:rPr>
          <w:lang w:eastAsia="en-US"/>
        </w:rPr>
        <w:t>Изпълнението на пос</w:t>
      </w:r>
      <w:r>
        <w:rPr>
          <w:lang w:eastAsia="en-US"/>
        </w:rPr>
        <w:t xml:space="preserve">тъпленията от държавни такси е </w:t>
      </w:r>
      <w:r w:rsidRPr="00C22D47">
        <w:rPr>
          <w:lang w:eastAsia="en-US"/>
        </w:rPr>
        <w:t>138,3 % спрямо Закона за държавния бюджет за 2022 г.</w:t>
      </w:r>
    </w:p>
    <w:p w14:paraId="5EF687C2" w14:textId="77777777" w:rsidR="00BD39E0" w:rsidRPr="008D6B1B" w:rsidRDefault="00BD39E0" w:rsidP="003B08BB">
      <w:pPr>
        <w:ind w:firstLine="709"/>
        <w:jc w:val="both"/>
      </w:pPr>
      <w:r>
        <w:t>Реализираното преизпълнение на приходите от държавни такси е свързано със</w:t>
      </w:r>
      <w:r w:rsidRPr="008D6B1B">
        <w:t xml:space="preserve"> събирани</w:t>
      </w:r>
      <w:r>
        <w:t>те</w:t>
      </w:r>
      <w:r w:rsidRPr="008D6B1B">
        <w:t xml:space="preserve"> от Националната агенция по приходите </w:t>
      </w:r>
      <w:r>
        <w:t xml:space="preserve">държавни такси </w:t>
      </w:r>
      <w:r w:rsidRPr="008D6B1B">
        <w:t xml:space="preserve">на основание чл. 4 и чл. 5 </w:t>
      </w:r>
      <w:r>
        <w:t xml:space="preserve">от </w:t>
      </w:r>
      <w:r w:rsidRPr="008D6B1B">
        <w:t xml:space="preserve">Тарифата за таксите, които се събират по Закона за хазарта и държавни такси за поддържане на лиценз за организиране на хазартни игри, с изключение на онлайн залагания (чл. 30, ал. 3 от ЗХ), двукомпонентни държавни такси за издаване и поддържане на лиценз за онлайн залагания (чл. 30, ал. 4 от ЗХ), приходи от държавни такси за вписването в публичния регистър на лицата, извършващи дейност като обменно бюро (съгласно чл. 6, ал. 1 от Наредба № 4/08.08.2003 г. на МФ и чл. 3, ал. 5 от ВЗ) и държавни такси за проверка и маркиране на златни и сребърни изделия съгласно т. 4, буква „и” от Закона за държавните такси. </w:t>
      </w:r>
      <w:r>
        <w:t xml:space="preserve"> По този параграф се отчитат средства </w:t>
      </w:r>
      <w:r w:rsidRPr="008D6B1B">
        <w:t>съгласно Тарифа № 12 за таксите, които се събират в системата на Министерство на финансите по Закона за държавните такси</w:t>
      </w:r>
      <w:r>
        <w:t xml:space="preserve"> и също така и на основание</w:t>
      </w:r>
      <w:r w:rsidRPr="008D6B1B">
        <w:t xml:space="preserve"> Тарифа за таксите, които се събират от Агенция „Митници“ по чл. 12 от Закона за митниците</w:t>
      </w:r>
      <w:r>
        <w:t>.</w:t>
      </w:r>
    </w:p>
    <w:p w14:paraId="32C31729" w14:textId="0934C814" w:rsidR="00BD39E0" w:rsidRPr="007B48E9" w:rsidRDefault="00BD39E0" w:rsidP="003B08BB">
      <w:pPr>
        <w:pStyle w:val="BodyText"/>
        <w:ind w:firstLine="709"/>
        <w:jc w:val="both"/>
        <w:rPr>
          <w:color w:val="0070C0"/>
          <w:lang w:eastAsia="en-US"/>
        </w:rPr>
      </w:pPr>
      <w:r w:rsidRPr="00C170CC">
        <w:rPr>
          <w:lang w:eastAsia="en-US"/>
        </w:rPr>
        <w:t xml:space="preserve">Приходите от </w:t>
      </w:r>
      <w:r>
        <w:rPr>
          <w:lang w:eastAsia="en-US"/>
        </w:rPr>
        <w:t>г</w:t>
      </w:r>
      <w:r w:rsidRPr="00C170CC">
        <w:t>лоби, санкции и наказателни лихви</w:t>
      </w:r>
      <w:r w:rsidRPr="00C170CC">
        <w:rPr>
          <w:b/>
          <w:i/>
        </w:rPr>
        <w:t xml:space="preserve"> </w:t>
      </w:r>
      <w:r w:rsidRPr="00C170CC">
        <w:rPr>
          <w:lang w:eastAsia="en-US"/>
        </w:rPr>
        <w:t xml:space="preserve">са в размер на 2,5 млн. лв., което представлява </w:t>
      </w:r>
      <w:r w:rsidRPr="00C170CC">
        <w:t>168,4</w:t>
      </w:r>
      <w:r w:rsidR="00E2749D">
        <w:t xml:space="preserve"> </w:t>
      </w:r>
      <w:r w:rsidRPr="00C170CC">
        <w:t>%</w:t>
      </w:r>
      <w:r w:rsidRPr="00C170CC">
        <w:rPr>
          <w:lang w:eastAsia="en-US"/>
        </w:rPr>
        <w:t xml:space="preserve"> изпълнение от средствата по закон -1,5 млн. лв. и са реализирани от администрацията на МФ, АМ, НАП и АДФИ.</w:t>
      </w:r>
    </w:p>
    <w:p w14:paraId="015C5923" w14:textId="77777777" w:rsidR="00BD39E0" w:rsidRPr="004F7043" w:rsidRDefault="00BD39E0" w:rsidP="002B14DF">
      <w:pPr>
        <w:pStyle w:val="BodyText"/>
        <w:numPr>
          <w:ilvl w:val="0"/>
          <w:numId w:val="24"/>
        </w:numPr>
        <w:tabs>
          <w:tab w:val="clear" w:pos="720"/>
          <w:tab w:val="left" w:pos="993"/>
        </w:tabs>
        <w:spacing w:after="0"/>
        <w:ind w:left="0" w:firstLine="709"/>
        <w:jc w:val="both"/>
        <w:rPr>
          <w:bCs/>
          <w:color w:val="000000" w:themeColor="text1"/>
        </w:rPr>
      </w:pPr>
      <w:r w:rsidRPr="004F7043">
        <w:rPr>
          <w:b/>
          <w:bCs/>
          <w:color w:val="000000" w:themeColor="text1"/>
        </w:rPr>
        <w:t>Министерство на земеделието (</w:t>
      </w:r>
      <w:r w:rsidRPr="004F7043">
        <w:rPr>
          <w:bCs/>
          <w:color w:val="000000" w:themeColor="text1"/>
        </w:rPr>
        <w:t>МЗм) – постъпилите неданъчни приходи по бюджета на министерството са в размер на 216,5 млн. лв.(231,4 %  спрямо ЗДБРБ 2022 г.).</w:t>
      </w:r>
    </w:p>
    <w:p w14:paraId="4ED45401" w14:textId="4E0EE07C" w:rsidR="00BD39E0" w:rsidRPr="00F6444A" w:rsidRDefault="00BD39E0" w:rsidP="003B08BB">
      <w:pPr>
        <w:overflowPunct w:val="0"/>
        <w:autoSpaceDE w:val="0"/>
        <w:autoSpaceDN w:val="0"/>
        <w:adjustRightInd w:val="0"/>
        <w:ind w:firstLine="709"/>
        <w:jc w:val="both"/>
        <w:textAlignment w:val="baseline"/>
        <w:rPr>
          <w:lang w:eastAsia="en-US"/>
        </w:rPr>
      </w:pPr>
      <w:r w:rsidRPr="00F6444A">
        <w:rPr>
          <w:lang w:eastAsia="en-US"/>
        </w:rPr>
        <w:t>Най-голям дял от събраните приходи от Министерството на земеделието за 2022 г. заемат приходите и доходите от собственост са в размер на 108,</w:t>
      </w:r>
      <w:r w:rsidRPr="00902D3D">
        <w:rPr>
          <w:lang w:val="ru-RU" w:eastAsia="en-US"/>
        </w:rPr>
        <w:t>4</w:t>
      </w:r>
      <w:r w:rsidRPr="00F6444A">
        <w:rPr>
          <w:lang w:eastAsia="en-US"/>
        </w:rPr>
        <w:t xml:space="preserve"> млн. лв., като от тях най-голям дял са приходи от наем на земя, отчетени основно от областните дирекции „Земеделие“ за сключени договори за наем и аренда на земи от Държавния поземлен фонд. Делът на реализираните приходи от продажба на услуги, стоки и продукция в размер на </w:t>
      </w:r>
      <w:r w:rsidRPr="00902D3D">
        <w:rPr>
          <w:lang w:val="ru-RU" w:eastAsia="en-US"/>
        </w:rPr>
        <w:t>19,8</w:t>
      </w:r>
      <w:r w:rsidRPr="00F6444A">
        <w:rPr>
          <w:lang w:eastAsia="en-US"/>
        </w:rPr>
        <w:t xml:space="preserve"> млн. лв., отчетени предимно от</w:t>
      </w:r>
      <w:r w:rsidRPr="00902D3D">
        <w:rPr>
          <w:lang w:val="ru-RU" w:eastAsia="en-US"/>
        </w:rPr>
        <w:t xml:space="preserve"> </w:t>
      </w:r>
      <w:r w:rsidRPr="00F6444A">
        <w:rPr>
          <w:lang w:eastAsia="en-US"/>
        </w:rPr>
        <w:t>БАБХ</w:t>
      </w:r>
      <w:r w:rsidR="00813654">
        <w:rPr>
          <w:lang w:eastAsia="en-US"/>
        </w:rPr>
        <w:t>.</w:t>
      </w:r>
      <w:r w:rsidRPr="00F6444A">
        <w:rPr>
          <w:lang w:eastAsia="en-US"/>
        </w:rPr>
        <w:t xml:space="preserve"> Същите представляват приходи по ценоразпис, утвърден от изпълнителния директор на БАБХ, съгласно чл. 3, ал. 5 от Закона за Българската агенция по безопасност на храните, като най-голям дял от тях заемат приходите от товаро-разтоварни услуги, извършени на територията на граничен пункт „Капитан Андреево“, както и приходите от лабораторно-диагностична дейност. </w:t>
      </w:r>
    </w:p>
    <w:p w14:paraId="42A77E5C" w14:textId="662C9133" w:rsidR="00BD39E0" w:rsidRPr="00F6444A" w:rsidRDefault="00BD39E0" w:rsidP="003B08BB">
      <w:pPr>
        <w:overflowPunct w:val="0"/>
        <w:autoSpaceDE w:val="0"/>
        <w:autoSpaceDN w:val="0"/>
        <w:adjustRightInd w:val="0"/>
        <w:ind w:firstLine="709"/>
        <w:jc w:val="both"/>
        <w:textAlignment w:val="baseline"/>
        <w:rPr>
          <w:lang w:eastAsia="en-US"/>
        </w:rPr>
      </w:pPr>
      <w:r w:rsidRPr="00F6444A">
        <w:rPr>
          <w:lang w:eastAsia="en-US"/>
        </w:rPr>
        <w:t>Постъпленията от държавни такси – 10</w:t>
      </w:r>
      <w:r w:rsidRPr="00902D3D">
        <w:rPr>
          <w:lang w:val="ru-RU" w:eastAsia="en-US"/>
        </w:rPr>
        <w:t>2</w:t>
      </w:r>
      <w:r w:rsidRPr="00F6444A">
        <w:rPr>
          <w:lang w:eastAsia="en-US"/>
        </w:rPr>
        <w:t>,</w:t>
      </w:r>
      <w:r w:rsidRPr="00902D3D">
        <w:rPr>
          <w:lang w:val="ru-RU" w:eastAsia="en-US"/>
        </w:rPr>
        <w:t>0</w:t>
      </w:r>
      <w:r w:rsidRPr="00F6444A">
        <w:rPr>
          <w:lang w:eastAsia="en-US"/>
        </w:rPr>
        <w:t xml:space="preserve"> млн. лв., които в основната си част представляват постъпления от такси, събирани по Закона за опазване на земеделските земи и Закона за собствеността и ползването на земеделските земи, по Закона за ветеринарномедицинската дейност, по Закона за защита на растенията, както и от такси върху ползването на дървесина. Изпълнението на постъпленията от държавни такси е 231,4 % спрямо ЗДБРБ за 2022 г.</w:t>
      </w:r>
    </w:p>
    <w:p w14:paraId="2EA7661E" w14:textId="5FD9F65B" w:rsidR="00BD39E0" w:rsidRDefault="00BD39E0" w:rsidP="003B08BB">
      <w:pPr>
        <w:overflowPunct w:val="0"/>
        <w:autoSpaceDE w:val="0"/>
        <w:autoSpaceDN w:val="0"/>
        <w:adjustRightInd w:val="0"/>
        <w:ind w:firstLine="709"/>
        <w:jc w:val="both"/>
        <w:textAlignment w:val="baseline"/>
        <w:rPr>
          <w:lang w:eastAsia="en-US"/>
        </w:rPr>
      </w:pPr>
      <w:r w:rsidRPr="00F6444A">
        <w:rPr>
          <w:lang w:eastAsia="en-US"/>
        </w:rPr>
        <w:t xml:space="preserve">Съществен дял от реализираните приходи за периода заемат и постъпленията от продажба на нефинансови активи в размер на 8,3 млн. лв., като в по-голямата си част представляват постъпления от продажба на земя – </w:t>
      </w:r>
      <w:r w:rsidRPr="00902D3D">
        <w:rPr>
          <w:lang w:val="ru-RU" w:eastAsia="en-US"/>
        </w:rPr>
        <w:t>7,</w:t>
      </w:r>
      <w:r w:rsidRPr="00F6444A">
        <w:rPr>
          <w:lang w:eastAsia="en-US"/>
        </w:rPr>
        <w:t>1 млн. лв., отчетени от МЗ-ЦА и</w:t>
      </w:r>
      <w:r>
        <w:rPr>
          <w:lang w:eastAsia="en-US"/>
        </w:rPr>
        <w:t xml:space="preserve"> ИАГ.</w:t>
      </w:r>
    </w:p>
    <w:p w14:paraId="67054671" w14:textId="77777777" w:rsidR="00BD39E0" w:rsidRPr="00126DC4" w:rsidRDefault="00BD39E0" w:rsidP="006D1E68">
      <w:pPr>
        <w:pStyle w:val="BodyText"/>
        <w:numPr>
          <w:ilvl w:val="0"/>
          <w:numId w:val="24"/>
        </w:numPr>
        <w:tabs>
          <w:tab w:val="clear" w:pos="720"/>
          <w:tab w:val="left" w:pos="993"/>
        </w:tabs>
        <w:spacing w:after="0"/>
        <w:ind w:left="0" w:firstLine="709"/>
        <w:jc w:val="both"/>
        <w:rPr>
          <w:bCs/>
          <w:color w:val="000000" w:themeColor="text1"/>
        </w:rPr>
      </w:pPr>
      <w:r w:rsidRPr="00126DC4">
        <w:rPr>
          <w:b/>
          <w:bCs/>
          <w:color w:val="000000" w:themeColor="text1"/>
        </w:rPr>
        <w:t xml:space="preserve">Министерството на правосъдието </w:t>
      </w:r>
      <w:r w:rsidRPr="00126DC4">
        <w:rPr>
          <w:bCs/>
          <w:color w:val="000000" w:themeColor="text1"/>
        </w:rPr>
        <w:t xml:space="preserve">(МП) - постъпилите неданъчни приходи през 2022 г.  по бюджета на министерството са в размер на </w:t>
      </w:r>
      <w:r w:rsidRPr="00126DC4">
        <w:rPr>
          <w:bCs/>
          <w:color w:val="000000" w:themeColor="text1"/>
          <w:lang w:val="ru-RU"/>
        </w:rPr>
        <w:t>66,7</w:t>
      </w:r>
      <w:r w:rsidRPr="00126DC4">
        <w:rPr>
          <w:bCs/>
          <w:color w:val="000000" w:themeColor="text1"/>
        </w:rPr>
        <w:t xml:space="preserve"> млн. лв., при  годишен план </w:t>
      </w:r>
      <w:r w:rsidRPr="00126DC4">
        <w:rPr>
          <w:bCs/>
          <w:color w:val="000000" w:themeColor="text1"/>
          <w:lang w:val="ru-RU"/>
        </w:rPr>
        <w:t>6</w:t>
      </w:r>
      <w:r w:rsidRPr="00126DC4">
        <w:rPr>
          <w:bCs/>
          <w:color w:val="000000" w:themeColor="text1"/>
        </w:rPr>
        <w:t>,0 млн.</w:t>
      </w:r>
      <w:r w:rsidRPr="00126DC4">
        <w:rPr>
          <w:bCs/>
          <w:color w:val="000000" w:themeColor="text1"/>
          <w:lang w:val="ru-RU"/>
        </w:rPr>
        <w:t xml:space="preserve"> </w:t>
      </w:r>
      <w:r w:rsidRPr="00126DC4">
        <w:rPr>
          <w:bCs/>
          <w:color w:val="000000" w:themeColor="text1"/>
        </w:rPr>
        <w:t>лв.</w:t>
      </w:r>
      <w:r w:rsidRPr="00126DC4">
        <w:rPr>
          <w:bCs/>
          <w:color w:val="000000" w:themeColor="text1"/>
          <w:lang w:val="ru-RU"/>
        </w:rPr>
        <w:t xml:space="preserve"> </w:t>
      </w:r>
    </w:p>
    <w:p w14:paraId="506C4A12" w14:textId="77777777" w:rsidR="00BD39E0" w:rsidRPr="003E5B13" w:rsidRDefault="00BD39E0" w:rsidP="006D1E68">
      <w:pPr>
        <w:pStyle w:val="BodyText"/>
        <w:spacing w:after="0"/>
        <w:ind w:firstLine="709"/>
        <w:jc w:val="both"/>
        <w:rPr>
          <w:color w:val="000000" w:themeColor="text1"/>
        </w:rPr>
      </w:pPr>
      <w:r w:rsidRPr="003E5B13">
        <w:rPr>
          <w:color w:val="000000" w:themeColor="text1"/>
        </w:rPr>
        <w:t>С най-голям относителен дял са приходите</w:t>
      </w:r>
      <w:r w:rsidRPr="003E5B13">
        <w:rPr>
          <w:color w:val="000000" w:themeColor="text1"/>
          <w:lang w:val="ru-RU"/>
        </w:rPr>
        <w:t xml:space="preserve"> </w:t>
      </w:r>
      <w:r w:rsidRPr="003E5B13">
        <w:rPr>
          <w:color w:val="000000" w:themeColor="text1"/>
        </w:rPr>
        <w:t>от държавни такси, които за периода са в размер на</w:t>
      </w:r>
      <w:r w:rsidRPr="003E5B13">
        <w:rPr>
          <w:color w:val="000000" w:themeColor="text1"/>
          <w:lang w:val="ru-RU"/>
        </w:rPr>
        <w:t xml:space="preserve"> 66,4 млн. </w:t>
      </w:r>
      <w:r w:rsidRPr="003E5B13">
        <w:rPr>
          <w:color w:val="000000" w:themeColor="text1"/>
        </w:rPr>
        <w:t xml:space="preserve">лв., при планирани за годината </w:t>
      </w:r>
      <w:r w:rsidRPr="003E5B13">
        <w:rPr>
          <w:color w:val="000000" w:themeColor="text1"/>
          <w:lang w:val="ru-RU"/>
        </w:rPr>
        <w:t>5</w:t>
      </w:r>
      <w:r w:rsidRPr="003E5B13">
        <w:rPr>
          <w:color w:val="000000" w:themeColor="text1"/>
        </w:rPr>
        <w:t>,</w:t>
      </w:r>
      <w:r w:rsidRPr="003E5B13">
        <w:rPr>
          <w:color w:val="000000" w:themeColor="text1"/>
          <w:lang w:val="ru-RU"/>
        </w:rPr>
        <w:t>76</w:t>
      </w:r>
      <w:r w:rsidRPr="003E5B13">
        <w:rPr>
          <w:color w:val="000000" w:themeColor="text1"/>
        </w:rPr>
        <w:t xml:space="preserve"> млн.</w:t>
      </w:r>
      <w:r w:rsidRPr="003E5B13">
        <w:rPr>
          <w:color w:val="000000" w:themeColor="text1"/>
          <w:lang w:val="ru-RU"/>
        </w:rPr>
        <w:t xml:space="preserve"> </w:t>
      </w:r>
      <w:r w:rsidRPr="003E5B13">
        <w:rPr>
          <w:color w:val="000000" w:themeColor="text1"/>
        </w:rPr>
        <w:t>лева. Основните постъпления от държавни такси са от Агенция по вписванията – 60,0 млн.</w:t>
      </w:r>
      <w:r w:rsidRPr="003E5B13">
        <w:rPr>
          <w:color w:val="000000" w:themeColor="text1"/>
          <w:lang w:val="ru-RU"/>
        </w:rPr>
        <w:t xml:space="preserve"> </w:t>
      </w:r>
      <w:r w:rsidRPr="003E5B13">
        <w:rPr>
          <w:color w:val="000000" w:themeColor="text1"/>
        </w:rPr>
        <w:t xml:space="preserve">лв. и Централен регистър на особените залози – </w:t>
      </w:r>
      <w:r w:rsidRPr="003E5B13">
        <w:rPr>
          <w:bCs/>
          <w:color w:val="000000" w:themeColor="text1"/>
          <w:lang w:val="ru-RU"/>
        </w:rPr>
        <w:t>3</w:t>
      </w:r>
      <w:r w:rsidRPr="003E5B13">
        <w:rPr>
          <w:bCs/>
          <w:color w:val="000000" w:themeColor="text1"/>
        </w:rPr>
        <w:t>,3 млн.</w:t>
      </w:r>
      <w:r w:rsidRPr="003E5B13">
        <w:rPr>
          <w:color w:val="000000" w:themeColor="text1"/>
        </w:rPr>
        <w:t xml:space="preserve"> лв. Част от приходите от държавни такси по бюджета на Министерството на правосъдието са и от предоставените услуги от администрацията на министерството, които за периода са в размер на </w:t>
      </w:r>
      <w:r w:rsidRPr="003E5B13">
        <w:rPr>
          <w:color w:val="000000" w:themeColor="text1"/>
          <w:lang w:val="ru-RU"/>
        </w:rPr>
        <w:t>3,1</w:t>
      </w:r>
      <w:r w:rsidRPr="003E5B13">
        <w:rPr>
          <w:color w:val="000000" w:themeColor="text1"/>
        </w:rPr>
        <w:t xml:space="preserve"> млн.</w:t>
      </w:r>
      <w:r w:rsidRPr="003E5B13">
        <w:rPr>
          <w:color w:val="000000" w:themeColor="text1"/>
          <w:lang w:val="ru-RU"/>
        </w:rPr>
        <w:t xml:space="preserve"> </w:t>
      </w:r>
      <w:r w:rsidRPr="003E5B13">
        <w:rPr>
          <w:color w:val="000000" w:themeColor="text1"/>
        </w:rPr>
        <w:t>лв.</w:t>
      </w:r>
    </w:p>
    <w:p w14:paraId="65627964" w14:textId="77777777" w:rsidR="00BD39E0" w:rsidRPr="007B48E9" w:rsidRDefault="00BD39E0" w:rsidP="006D1E68">
      <w:pPr>
        <w:pStyle w:val="BodyText"/>
        <w:spacing w:after="0"/>
        <w:ind w:firstLine="709"/>
        <w:jc w:val="both"/>
        <w:rPr>
          <w:color w:val="0070C0"/>
          <w:sz w:val="8"/>
          <w:szCs w:val="8"/>
        </w:rPr>
      </w:pPr>
    </w:p>
    <w:p w14:paraId="0DD7DDE7" w14:textId="19660C1D" w:rsidR="00BD39E0" w:rsidRPr="00DC555B" w:rsidRDefault="00BD39E0" w:rsidP="006D1E68">
      <w:pPr>
        <w:pStyle w:val="BodyText"/>
        <w:spacing w:after="0"/>
        <w:ind w:firstLine="720"/>
        <w:jc w:val="both"/>
        <w:rPr>
          <w:color w:val="000000" w:themeColor="text1"/>
          <w:sz w:val="4"/>
          <w:szCs w:val="4"/>
        </w:rPr>
      </w:pPr>
      <w:r w:rsidRPr="00DC555B">
        <w:rPr>
          <w:color w:val="000000" w:themeColor="text1"/>
        </w:rPr>
        <w:t xml:space="preserve">Постъпилите приходи от предоставянето и осъществяването на </w:t>
      </w:r>
      <w:r w:rsidRPr="00DC555B">
        <w:rPr>
          <w:i/>
          <w:color w:val="000000" w:themeColor="text1"/>
        </w:rPr>
        <w:t>концесионна дейност от министерствата</w:t>
      </w:r>
      <w:r w:rsidRPr="00DC555B">
        <w:rPr>
          <w:color w:val="000000" w:themeColor="text1"/>
        </w:rPr>
        <w:t xml:space="preserve"> за 2022 г. са общо в размер на </w:t>
      </w:r>
      <w:r>
        <w:rPr>
          <w:color w:val="000000" w:themeColor="text1"/>
        </w:rPr>
        <w:t>113,5</w:t>
      </w:r>
      <w:r w:rsidRPr="00DC555B">
        <w:rPr>
          <w:color w:val="000000" w:themeColor="text1"/>
        </w:rPr>
        <w:t xml:space="preserve"> млн. лв., при планирани 80,3 млн. лв. Приходите от държавни концесии са постъпили по бюджетите на </w:t>
      </w:r>
      <w:r>
        <w:rPr>
          <w:color w:val="000000" w:themeColor="text1"/>
        </w:rPr>
        <w:t>следните м</w:t>
      </w:r>
      <w:r w:rsidRPr="00DC555B">
        <w:rPr>
          <w:color w:val="000000" w:themeColor="text1"/>
        </w:rPr>
        <w:t>инистерства:</w:t>
      </w:r>
      <w:r>
        <w:rPr>
          <w:color w:val="000000" w:themeColor="text1"/>
        </w:rPr>
        <w:t xml:space="preserve"> </w:t>
      </w:r>
      <w:r w:rsidRPr="00DC555B">
        <w:rPr>
          <w:color w:val="000000" w:themeColor="text1"/>
        </w:rPr>
        <w:t>Министерство на енергетиката – 75,8 млн. лв. с ДДС, при планирани 51,8</w:t>
      </w:r>
      <w:r w:rsidR="00822485">
        <w:rPr>
          <w:color w:val="000000" w:themeColor="text1"/>
          <w:lang w:val="en-US"/>
        </w:rPr>
        <w:t> </w:t>
      </w:r>
      <w:r w:rsidRPr="00DC555B">
        <w:rPr>
          <w:color w:val="000000" w:themeColor="text1"/>
        </w:rPr>
        <w:t>млн. лв. с ДДС;</w:t>
      </w:r>
      <w:r>
        <w:rPr>
          <w:color w:val="000000" w:themeColor="text1"/>
        </w:rPr>
        <w:t xml:space="preserve"> </w:t>
      </w:r>
      <w:r w:rsidRPr="00DC555B">
        <w:rPr>
          <w:color w:val="000000" w:themeColor="text1"/>
        </w:rPr>
        <w:t>Министерство на транспорта и съобщенията – 25,3 млн. лв. с ДДС, при планирани 21,0 млн. лв. с ДДС;</w:t>
      </w:r>
      <w:r>
        <w:rPr>
          <w:color w:val="000000" w:themeColor="text1"/>
        </w:rPr>
        <w:t xml:space="preserve"> </w:t>
      </w:r>
      <w:r w:rsidRPr="00DC555B">
        <w:rPr>
          <w:color w:val="000000" w:themeColor="text1"/>
        </w:rPr>
        <w:t>Министерство на туризма – 6,9 млн. лв. с ДДС, при планирани 3,3 млн. лв. с ДДС;</w:t>
      </w:r>
      <w:r>
        <w:rPr>
          <w:color w:val="000000" w:themeColor="text1"/>
        </w:rPr>
        <w:t xml:space="preserve"> М</w:t>
      </w:r>
      <w:r w:rsidRPr="00DC555B">
        <w:rPr>
          <w:color w:val="000000" w:themeColor="text1"/>
        </w:rPr>
        <w:t>инистерство на околната среда и водите – 3,9 млн. лв. с ДДС, при планирани 3,6 млн. лв. с ДДС</w:t>
      </w:r>
      <w:r>
        <w:rPr>
          <w:color w:val="000000" w:themeColor="text1"/>
        </w:rPr>
        <w:t xml:space="preserve"> и </w:t>
      </w:r>
      <w:r w:rsidRPr="00DC555B">
        <w:rPr>
          <w:color w:val="000000" w:themeColor="text1"/>
        </w:rPr>
        <w:t>Министерски съвет –</w:t>
      </w:r>
      <w:r w:rsidRPr="00DC555B">
        <w:rPr>
          <w:color w:val="000000" w:themeColor="text1"/>
          <w:lang w:val="ru-RU"/>
        </w:rPr>
        <w:t xml:space="preserve"> </w:t>
      </w:r>
      <w:r w:rsidRPr="00DC555B">
        <w:rPr>
          <w:color w:val="000000" w:themeColor="text1"/>
        </w:rPr>
        <w:t>1,7 млн. лв. без ДДС, при планирани 0,6 млн. лв. без ДДС.</w:t>
      </w:r>
      <w:r>
        <w:rPr>
          <w:color w:val="000000" w:themeColor="text1"/>
        </w:rPr>
        <w:t xml:space="preserve"> </w:t>
      </w:r>
      <w:r w:rsidRPr="00DC555B">
        <w:rPr>
          <w:color w:val="000000" w:themeColor="text1"/>
        </w:rPr>
        <w:t>Преизпълнението на планираните приходи от държавни концесии е в размер на 33,2 млн. лв. и е реализирано по бюджетите на всички четири министерства и Министерския съвет. Преизпълнението на плана е с най-голям размер при МЕ – 24,0 млн. лв. и се дължи на увеличения добив на подземни богатства и по-високите им продажни цени. Следват МТ с преизпълнение от 3,6 млн. лв. и МТС с преизпълнение от 4,3</w:t>
      </w:r>
      <w:r w:rsidR="00822485">
        <w:rPr>
          <w:color w:val="000000" w:themeColor="text1"/>
          <w:lang w:val="en-US"/>
        </w:rPr>
        <w:t> </w:t>
      </w:r>
      <w:r w:rsidRPr="00DC555B">
        <w:rPr>
          <w:color w:val="000000" w:themeColor="text1"/>
        </w:rPr>
        <w:t>млн. лв., като преизпълнението се дължи на намаленото негативно влияние на пандемията от Ковид-19 върху отраслите туризъм и транспорт спрямо планираното такова.</w:t>
      </w:r>
      <w:r w:rsidR="008A31EA">
        <w:rPr>
          <w:color w:val="000000" w:themeColor="text1"/>
        </w:rPr>
        <w:t xml:space="preserve"> </w:t>
      </w:r>
    </w:p>
    <w:p w14:paraId="2D68A1F7" w14:textId="3AD7807B" w:rsidR="00BD39E0" w:rsidRPr="007F5EDA" w:rsidRDefault="00BD39E0" w:rsidP="006D1E68">
      <w:pPr>
        <w:tabs>
          <w:tab w:val="left" w:pos="9633"/>
        </w:tabs>
        <w:ind w:right="-50" w:firstLine="709"/>
        <w:jc w:val="both"/>
        <w:rPr>
          <w:color w:val="000000" w:themeColor="text1"/>
        </w:rPr>
      </w:pPr>
      <w:r w:rsidRPr="00493FF2">
        <w:rPr>
          <w:color w:val="000000" w:themeColor="text1"/>
        </w:rPr>
        <w:t xml:space="preserve">Общият размер на неданъчните приходи по </w:t>
      </w:r>
      <w:r w:rsidRPr="00493FF2">
        <w:rPr>
          <w:i/>
          <w:color w:val="000000" w:themeColor="text1"/>
          <w:u w:val="single"/>
        </w:rPr>
        <w:t>местните бюджети</w:t>
      </w:r>
      <w:r w:rsidRPr="00493FF2">
        <w:rPr>
          <w:color w:val="000000" w:themeColor="text1"/>
        </w:rPr>
        <w:t xml:space="preserve"> е 1 75</w:t>
      </w:r>
      <w:r w:rsidR="007E7332">
        <w:rPr>
          <w:color w:val="000000" w:themeColor="text1"/>
        </w:rPr>
        <w:t>6</w:t>
      </w:r>
      <w:r w:rsidRPr="00493FF2">
        <w:rPr>
          <w:color w:val="000000" w:themeColor="text1"/>
        </w:rPr>
        <w:t>,</w:t>
      </w:r>
      <w:r w:rsidR="007E7332">
        <w:rPr>
          <w:color w:val="000000" w:themeColor="text1"/>
        </w:rPr>
        <w:t>0</w:t>
      </w:r>
      <w:r w:rsidRPr="00493FF2">
        <w:rPr>
          <w:color w:val="000000" w:themeColor="text1"/>
        </w:rPr>
        <w:t xml:space="preserve"> млн. лв., </w:t>
      </w:r>
      <w:r w:rsidRPr="00493FF2">
        <w:t>което представлява 119,</w:t>
      </w:r>
      <w:r w:rsidR="007E7332" w:rsidRPr="0008473F">
        <w:rPr>
          <w:lang w:val="ru-RU"/>
        </w:rPr>
        <w:t xml:space="preserve">4 </w:t>
      </w:r>
      <w:r w:rsidRPr="00493FF2">
        <w:t>% от предвидените за годината разчети и 114,9</w:t>
      </w:r>
      <w:r>
        <w:t xml:space="preserve"> </w:t>
      </w:r>
      <w:r w:rsidRPr="00493FF2">
        <w:t>% спрямо отчета им за 2021 г. От неданъчните приходи с най-голям относителен дял са общинските такси – 55,7</w:t>
      </w:r>
      <w:r w:rsidR="00822485">
        <w:rPr>
          <w:lang w:val="en-US"/>
        </w:rPr>
        <w:t> </w:t>
      </w:r>
      <w:r w:rsidRPr="00493FF2">
        <w:t xml:space="preserve">% или 977,1 млн. лв. Изпълнението им е 104,9% спрямо предходната година и 108,4% от </w:t>
      </w:r>
      <w:r w:rsidRPr="007F5EDA">
        <w:rPr>
          <w:color w:val="000000" w:themeColor="text1"/>
        </w:rPr>
        <w:t xml:space="preserve">разчета към КФП за 2022 г.. </w:t>
      </w:r>
    </w:p>
    <w:p w14:paraId="221A394E" w14:textId="51492F95" w:rsidR="00BD39E0" w:rsidRPr="007F5EDA" w:rsidRDefault="00BD39E0" w:rsidP="006D1E68">
      <w:pPr>
        <w:pStyle w:val="Heading3"/>
        <w:numPr>
          <w:ilvl w:val="2"/>
          <w:numId w:val="8"/>
        </w:numPr>
        <w:spacing w:after="0"/>
        <w:rPr>
          <w:rFonts w:ascii="Times New Roman" w:hAnsi="Times New Roman" w:cs="Times New Roman"/>
          <w:color w:val="000000" w:themeColor="text1"/>
          <w:sz w:val="24"/>
          <w:szCs w:val="24"/>
          <w:lang w:val="bg-BG"/>
        </w:rPr>
      </w:pPr>
      <w:bookmarkStart w:id="220" w:name="_Toc136273503"/>
      <w:bookmarkStart w:id="221" w:name="_Toc146037900"/>
      <w:r w:rsidRPr="007F5EDA">
        <w:rPr>
          <w:rFonts w:ascii="Times New Roman" w:hAnsi="Times New Roman" w:cs="Times New Roman"/>
          <w:color w:val="000000" w:themeColor="text1"/>
          <w:sz w:val="24"/>
          <w:szCs w:val="24"/>
          <w:lang w:val="bg-BG"/>
        </w:rPr>
        <w:t>Помощи и дарения</w:t>
      </w:r>
      <w:bookmarkEnd w:id="98"/>
      <w:bookmarkEnd w:id="99"/>
      <w:bookmarkEnd w:id="100"/>
      <w:bookmarkEnd w:id="101"/>
      <w:bookmarkEnd w:id="102"/>
      <w:bookmarkEnd w:id="103"/>
      <w:bookmarkEnd w:id="104"/>
      <w:bookmarkEnd w:id="105"/>
      <w:bookmarkEnd w:id="106"/>
      <w:bookmarkEnd w:id="220"/>
      <w:bookmarkEnd w:id="221"/>
    </w:p>
    <w:p w14:paraId="63151E21" w14:textId="77777777" w:rsidR="00BD39E0" w:rsidRPr="007F5EDA" w:rsidRDefault="00BD39E0" w:rsidP="00BD39E0">
      <w:pPr>
        <w:ind w:firstLine="540"/>
        <w:jc w:val="both"/>
        <w:rPr>
          <w:color w:val="000000" w:themeColor="text1"/>
          <w:sz w:val="8"/>
          <w:szCs w:val="8"/>
        </w:rPr>
      </w:pPr>
    </w:p>
    <w:p w14:paraId="3C31CC0E" w14:textId="4992C5D8" w:rsidR="00BD39E0" w:rsidRPr="007F5EDA" w:rsidRDefault="00BD39E0" w:rsidP="00BD39E0">
      <w:pPr>
        <w:tabs>
          <w:tab w:val="left" w:pos="720"/>
        </w:tabs>
        <w:ind w:firstLine="720"/>
        <w:jc w:val="both"/>
        <w:rPr>
          <w:color w:val="000000" w:themeColor="text1"/>
        </w:rPr>
      </w:pPr>
      <w:r w:rsidRPr="007F5EDA">
        <w:rPr>
          <w:color w:val="000000" w:themeColor="text1"/>
        </w:rPr>
        <w:t xml:space="preserve">Постъпленията от </w:t>
      </w:r>
      <w:r w:rsidRPr="007F5EDA">
        <w:rPr>
          <w:b/>
          <w:i/>
          <w:color w:val="000000" w:themeColor="text1"/>
        </w:rPr>
        <w:t>помощи</w:t>
      </w:r>
      <w:r w:rsidRPr="007F5EDA">
        <w:rPr>
          <w:color w:val="000000" w:themeColor="text1"/>
        </w:rPr>
        <w:t xml:space="preserve"> </w:t>
      </w:r>
      <w:r w:rsidRPr="007F5EDA">
        <w:rPr>
          <w:b/>
          <w:i/>
          <w:color w:val="000000" w:themeColor="text1"/>
        </w:rPr>
        <w:t>и дарения</w:t>
      </w:r>
      <w:r w:rsidRPr="007F5EDA">
        <w:rPr>
          <w:color w:val="000000" w:themeColor="text1"/>
        </w:rPr>
        <w:t xml:space="preserve"> по КФП за 2022 г. са в размер на 6 005,4</w:t>
      </w:r>
      <w:r w:rsidR="00822485">
        <w:rPr>
          <w:b/>
          <w:color w:val="000000" w:themeColor="text1"/>
          <w:lang w:val="en-US"/>
        </w:rPr>
        <w:t> </w:t>
      </w:r>
      <w:r w:rsidRPr="007F5EDA">
        <w:rPr>
          <w:color w:val="000000" w:themeColor="text1"/>
        </w:rPr>
        <w:t xml:space="preserve">млн. лв., 97,0 % от планираните, в т.ч. </w:t>
      </w:r>
      <w:r>
        <w:rPr>
          <w:color w:val="000000" w:themeColor="text1"/>
        </w:rPr>
        <w:t>5 292,0 млн. лв</w:t>
      </w:r>
      <w:r w:rsidRPr="007F5EDA">
        <w:rPr>
          <w:color w:val="000000" w:themeColor="text1"/>
        </w:rPr>
        <w:t xml:space="preserve">. </w:t>
      </w:r>
      <w:r w:rsidRPr="007F5EDA">
        <w:rPr>
          <w:bCs/>
          <w:color w:val="000000" w:themeColor="text1"/>
        </w:rPr>
        <w:t>по програмите, съфинансирани от ЕФРР, ЕСФ (включително Инициативата за младежка заетост), КФ и ФЕПНЛ на ЕС за финансовата рамка, както ЕСФ+, МВУ, ПТСВГ, ФМ на ЕИП и НФМ, като в тази сума са включени и отразените (нето) в отчетността на НФ операции по постъпването по банковите бюджетни сметки на Министерство на регионалното развитие и благоустройството (МРРБ) на чуждото финансиране по ПТСВГ и изплатените средства от получения ресурс към бенефициенти извън страната</w:t>
      </w:r>
      <w:r w:rsidRPr="007F5EDA">
        <w:rPr>
          <w:color w:val="000000" w:themeColor="text1"/>
        </w:rPr>
        <w:t xml:space="preserve"> и 277,1 млн. лв., постъпили по сметката за средства от Европейския съюз на Разплащателната агенция към ДФ „Земеделие” (вкл. по сметките на бенефициенти) за </w:t>
      </w:r>
      <w:r w:rsidR="00147367" w:rsidRPr="007F5EDA">
        <w:rPr>
          <w:color w:val="000000" w:themeColor="text1"/>
        </w:rPr>
        <w:t>202</w:t>
      </w:r>
      <w:r w:rsidR="00147367">
        <w:rPr>
          <w:color w:val="000000" w:themeColor="text1"/>
          <w:lang w:val="en-US"/>
        </w:rPr>
        <w:t>2</w:t>
      </w:r>
      <w:r w:rsidR="00147367" w:rsidRPr="007F5EDA">
        <w:rPr>
          <w:color w:val="000000" w:themeColor="text1"/>
        </w:rPr>
        <w:t> </w:t>
      </w:r>
      <w:r w:rsidRPr="007F5EDA">
        <w:rPr>
          <w:color w:val="000000" w:themeColor="text1"/>
        </w:rPr>
        <w:t>г. от Европейския земеделски фонд за развитие на селските райони (ЕЗФРСР), Европейския фонд за гарантиране на земеделието (EФГЗ) и Европейския фонд за морско дело и рибарство (ЕФМДР).</w:t>
      </w:r>
    </w:p>
    <w:p w14:paraId="3AE093F8" w14:textId="77777777" w:rsidR="00E74B09" w:rsidRPr="007B48E9" w:rsidRDefault="00E74B09">
      <w:pPr>
        <w:rPr>
          <w:color w:val="0070C0"/>
        </w:rPr>
      </w:pPr>
      <w:r w:rsidRPr="007B48E9">
        <w:rPr>
          <w:color w:val="0070C0"/>
        </w:rPr>
        <w:br w:type="page"/>
      </w:r>
    </w:p>
    <w:p w14:paraId="54995919" w14:textId="0EA360DA" w:rsidR="00666D9F" w:rsidRPr="00996989" w:rsidRDefault="00666D9F" w:rsidP="004D74B5">
      <w:pPr>
        <w:pStyle w:val="Heading3"/>
        <w:numPr>
          <w:ilvl w:val="1"/>
          <w:numId w:val="7"/>
        </w:numPr>
        <w:rPr>
          <w:rFonts w:ascii="Times New Roman" w:hAnsi="Times New Roman"/>
          <w:sz w:val="24"/>
          <w:lang w:val="bg-BG"/>
        </w:rPr>
      </w:pPr>
      <w:bookmarkStart w:id="222" w:name="_Toc146037901"/>
      <w:r w:rsidRPr="00996989">
        <w:rPr>
          <w:rFonts w:ascii="Times New Roman" w:hAnsi="Times New Roman"/>
          <w:sz w:val="24"/>
          <w:lang w:val="bg-BG"/>
        </w:rPr>
        <w:t>Изпълнение на разходите по икономически елементи по консолидираната фискална програма за 20</w:t>
      </w:r>
      <w:r w:rsidR="00884BC0" w:rsidRPr="00996989">
        <w:rPr>
          <w:rFonts w:ascii="Times New Roman" w:hAnsi="Times New Roman"/>
          <w:sz w:val="24"/>
          <w:lang w:val="bg-BG"/>
        </w:rPr>
        <w:t>2</w:t>
      </w:r>
      <w:r w:rsidR="00996989" w:rsidRPr="00996989">
        <w:rPr>
          <w:rFonts w:ascii="Times New Roman" w:hAnsi="Times New Roman"/>
          <w:sz w:val="24"/>
          <w:lang w:val="bg-BG"/>
        </w:rPr>
        <w:t>2</w:t>
      </w:r>
      <w:r w:rsidRPr="00996989">
        <w:rPr>
          <w:rFonts w:ascii="Times New Roman" w:hAnsi="Times New Roman"/>
          <w:sz w:val="24"/>
          <w:lang w:val="bg-BG"/>
        </w:rPr>
        <w:t> г.</w:t>
      </w:r>
      <w:bookmarkEnd w:id="222"/>
    </w:p>
    <w:p w14:paraId="19FC0347" w14:textId="77777777" w:rsidR="00666D9F" w:rsidRPr="007B48E9" w:rsidRDefault="00666D9F" w:rsidP="003E03C0">
      <w:pPr>
        <w:tabs>
          <w:tab w:val="left" w:pos="720"/>
        </w:tabs>
        <w:jc w:val="both"/>
        <w:rPr>
          <w:b/>
          <w:color w:val="0070C0"/>
          <w:sz w:val="12"/>
          <w:szCs w:val="12"/>
        </w:rPr>
      </w:pPr>
    </w:p>
    <w:p w14:paraId="315CC057" w14:textId="77777777" w:rsidR="0016182D" w:rsidRPr="00385F1E" w:rsidRDefault="0016182D" w:rsidP="0016182D">
      <w:pPr>
        <w:tabs>
          <w:tab w:val="left" w:pos="0"/>
        </w:tabs>
        <w:ind w:right="72" w:firstLine="720"/>
        <w:jc w:val="both"/>
      </w:pPr>
      <w:bookmarkStart w:id="223" w:name="_Toc430165278"/>
      <w:bookmarkStart w:id="224" w:name="_Toc393728067"/>
      <w:bookmarkStart w:id="225" w:name="_Toc462146116"/>
      <w:bookmarkStart w:id="226" w:name="_Toc393728068"/>
      <w:bookmarkStart w:id="227" w:name="_Toc326315909"/>
      <w:bookmarkStart w:id="228" w:name="_Toc293657068"/>
      <w:bookmarkStart w:id="229" w:name="_Toc261276580"/>
      <w:bookmarkStart w:id="230" w:name="_Toc167181038"/>
      <w:bookmarkStart w:id="231" w:name="_Toc136601642"/>
      <w:bookmarkStart w:id="232" w:name="_Toc136597739"/>
      <w:bookmarkStart w:id="233" w:name="_Toc136519971"/>
      <w:bookmarkStart w:id="234" w:name="_Toc261276582"/>
      <w:bookmarkStart w:id="235" w:name="_Toc293657070"/>
      <w:bookmarkStart w:id="236" w:name="_Toc430165281"/>
      <w:bookmarkStart w:id="237" w:name="_Toc326315911"/>
      <w:bookmarkStart w:id="238" w:name="_Toc393728070"/>
      <w:bookmarkStart w:id="239" w:name="_Toc326315912"/>
      <w:bookmarkStart w:id="240" w:name="_Toc393728071"/>
      <w:bookmarkStart w:id="241" w:name="_Toc261276585"/>
      <w:bookmarkStart w:id="242" w:name="_Toc293312904"/>
      <w:bookmarkStart w:id="243" w:name="_Toc324863421"/>
      <w:bookmarkStart w:id="244" w:name="_Toc136597741"/>
      <w:bookmarkStart w:id="245" w:name="_Toc136601644"/>
      <w:bookmarkStart w:id="246" w:name="_Toc167181040"/>
      <w:r w:rsidRPr="00385F1E">
        <w:t>Разходите по консолидираната фискална програма по икономически елементи за периода 20</w:t>
      </w:r>
      <w:r w:rsidRPr="00385F1E">
        <w:rPr>
          <w:lang w:val="ru-RU"/>
        </w:rPr>
        <w:t>20</w:t>
      </w:r>
      <w:r w:rsidRPr="00385F1E">
        <w:t xml:space="preserve"> г. - 2022 г., представени и като процент от БВП, са както следва:</w:t>
      </w:r>
    </w:p>
    <w:p w14:paraId="4E4BA671" w14:textId="77777777" w:rsidR="0016182D" w:rsidRPr="00385F1E" w:rsidRDefault="0016182D" w:rsidP="0016182D">
      <w:pPr>
        <w:tabs>
          <w:tab w:val="left" w:pos="0"/>
        </w:tabs>
        <w:ind w:right="72" w:firstLine="720"/>
        <w:jc w:val="both"/>
        <w:rPr>
          <w:color w:val="0070C0"/>
        </w:rPr>
      </w:pPr>
    </w:p>
    <w:p w14:paraId="473D18EA" w14:textId="77777777" w:rsidR="0016182D" w:rsidRPr="00385F1E" w:rsidRDefault="0016182D" w:rsidP="0016182D">
      <w:pPr>
        <w:tabs>
          <w:tab w:val="left" w:pos="0"/>
          <w:tab w:val="left" w:pos="4678"/>
        </w:tabs>
        <w:ind w:right="72" w:firstLine="720"/>
        <w:jc w:val="both"/>
        <w:rPr>
          <w:color w:val="0070C0"/>
        </w:rPr>
      </w:pPr>
    </w:p>
    <w:tbl>
      <w:tblPr>
        <w:tblW w:w="5359" w:type="pct"/>
        <w:jc w:val="center"/>
        <w:tblCellMar>
          <w:left w:w="70" w:type="dxa"/>
          <w:right w:w="70" w:type="dxa"/>
        </w:tblCellMar>
        <w:tblLook w:val="04A0" w:firstRow="1" w:lastRow="0" w:firstColumn="1" w:lastColumn="0" w:noHBand="0" w:noVBand="1"/>
      </w:tblPr>
      <w:tblGrid>
        <w:gridCol w:w="3138"/>
        <w:gridCol w:w="929"/>
        <w:gridCol w:w="702"/>
        <w:gridCol w:w="861"/>
        <w:gridCol w:w="702"/>
        <w:gridCol w:w="982"/>
        <w:gridCol w:w="721"/>
        <w:gridCol w:w="1292"/>
        <w:gridCol w:w="880"/>
      </w:tblGrid>
      <w:tr w:rsidR="0016182D" w:rsidRPr="00385F1E" w14:paraId="5307C8AE" w14:textId="77777777" w:rsidTr="008F7DC2">
        <w:trPr>
          <w:trHeight w:val="276"/>
          <w:jc w:val="center"/>
        </w:trPr>
        <w:tc>
          <w:tcPr>
            <w:tcW w:w="1537" w:type="pct"/>
            <w:vMerge w:val="restart"/>
            <w:tcBorders>
              <w:top w:val="double" w:sz="6" w:space="0" w:color="800000"/>
              <w:left w:val="double" w:sz="6" w:space="0" w:color="800000"/>
              <w:bottom w:val="double" w:sz="6" w:space="0" w:color="800000"/>
              <w:right w:val="single" w:sz="8" w:space="0" w:color="FFFFFF"/>
            </w:tcBorders>
            <w:shd w:val="clear" w:color="000000" w:fill="800000"/>
            <w:hideMark/>
          </w:tcPr>
          <w:p w14:paraId="0DF19703" w14:textId="77777777" w:rsidR="0016182D" w:rsidRPr="00385F1E" w:rsidRDefault="0016182D" w:rsidP="00D337DB">
            <w:pPr>
              <w:jc w:val="center"/>
              <w:rPr>
                <w:b/>
                <w:bCs/>
                <w:color w:val="FFFFFF" w:themeColor="background1"/>
              </w:rPr>
            </w:pPr>
            <w:r w:rsidRPr="00385F1E">
              <w:rPr>
                <w:b/>
                <w:bCs/>
                <w:color w:val="FFFFFF" w:themeColor="background1"/>
              </w:rPr>
              <w:t>млн. лв.</w:t>
            </w:r>
          </w:p>
        </w:tc>
        <w:tc>
          <w:tcPr>
            <w:tcW w:w="799" w:type="pct"/>
            <w:gridSpan w:val="2"/>
            <w:tcBorders>
              <w:top w:val="double" w:sz="6" w:space="0" w:color="800000"/>
              <w:left w:val="double" w:sz="6" w:space="0" w:color="FFFFFF"/>
              <w:bottom w:val="single" w:sz="4" w:space="0" w:color="FFFFFF"/>
              <w:right w:val="nil"/>
            </w:tcBorders>
            <w:shd w:val="clear" w:color="000000" w:fill="800000"/>
            <w:hideMark/>
          </w:tcPr>
          <w:p w14:paraId="083B04F1" w14:textId="77777777" w:rsidR="0016182D" w:rsidRPr="00385F1E" w:rsidRDefault="0016182D" w:rsidP="00D337DB">
            <w:pPr>
              <w:jc w:val="center"/>
              <w:rPr>
                <w:b/>
                <w:bCs/>
                <w:color w:val="FFFFFF" w:themeColor="background1"/>
                <w:sz w:val="20"/>
                <w:szCs w:val="20"/>
              </w:rPr>
            </w:pPr>
            <w:r w:rsidRPr="00385F1E">
              <w:rPr>
                <w:b/>
                <w:bCs/>
                <w:color w:val="FFFFFF" w:themeColor="background1"/>
                <w:sz w:val="20"/>
                <w:szCs w:val="20"/>
              </w:rPr>
              <w:t>20</w:t>
            </w:r>
            <w:r w:rsidRPr="003E4677">
              <w:rPr>
                <w:b/>
                <w:bCs/>
                <w:color w:val="FFFFFF" w:themeColor="background1"/>
                <w:sz w:val="20"/>
                <w:szCs w:val="20"/>
              </w:rPr>
              <w:t>20</w:t>
            </w:r>
          </w:p>
        </w:tc>
        <w:tc>
          <w:tcPr>
            <w:tcW w:w="766" w:type="pct"/>
            <w:gridSpan w:val="2"/>
            <w:tcBorders>
              <w:top w:val="double" w:sz="6" w:space="0" w:color="800000"/>
              <w:left w:val="double" w:sz="6" w:space="0" w:color="FFFFFF"/>
              <w:bottom w:val="single" w:sz="4" w:space="0" w:color="FFFFFF"/>
              <w:right w:val="nil"/>
            </w:tcBorders>
            <w:shd w:val="clear" w:color="000000" w:fill="800000"/>
            <w:hideMark/>
          </w:tcPr>
          <w:p w14:paraId="5B394387" w14:textId="77777777" w:rsidR="0016182D" w:rsidRPr="00385F1E" w:rsidRDefault="0016182D" w:rsidP="00D337DB">
            <w:pPr>
              <w:jc w:val="center"/>
              <w:rPr>
                <w:b/>
                <w:bCs/>
                <w:color w:val="FFFFFF" w:themeColor="background1"/>
                <w:sz w:val="20"/>
                <w:szCs w:val="20"/>
              </w:rPr>
            </w:pPr>
            <w:r w:rsidRPr="003E4677">
              <w:rPr>
                <w:b/>
                <w:bCs/>
                <w:color w:val="FFFFFF" w:themeColor="background1"/>
                <w:sz w:val="20"/>
                <w:szCs w:val="20"/>
              </w:rPr>
              <w:t>2021</w:t>
            </w:r>
          </w:p>
        </w:tc>
        <w:tc>
          <w:tcPr>
            <w:tcW w:w="834" w:type="pct"/>
            <w:gridSpan w:val="2"/>
            <w:tcBorders>
              <w:top w:val="double" w:sz="6" w:space="0" w:color="800000"/>
              <w:left w:val="double" w:sz="6" w:space="0" w:color="FFFFFF"/>
              <w:bottom w:val="single" w:sz="4" w:space="0" w:color="FFFFFF"/>
              <w:right w:val="nil"/>
            </w:tcBorders>
            <w:shd w:val="clear" w:color="000000" w:fill="800000"/>
            <w:hideMark/>
          </w:tcPr>
          <w:p w14:paraId="3EE071CD" w14:textId="77777777" w:rsidR="0016182D" w:rsidRPr="00385F1E" w:rsidRDefault="0016182D" w:rsidP="00D337DB">
            <w:pPr>
              <w:jc w:val="center"/>
              <w:rPr>
                <w:b/>
                <w:bCs/>
                <w:color w:val="FFFFFF" w:themeColor="background1"/>
                <w:sz w:val="20"/>
                <w:szCs w:val="20"/>
              </w:rPr>
            </w:pPr>
            <w:r w:rsidRPr="003E4677">
              <w:rPr>
                <w:b/>
                <w:bCs/>
                <w:color w:val="FFFFFF" w:themeColor="background1"/>
                <w:sz w:val="20"/>
                <w:szCs w:val="20"/>
              </w:rPr>
              <w:t>2022</w:t>
            </w:r>
          </w:p>
        </w:tc>
        <w:tc>
          <w:tcPr>
            <w:tcW w:w="1064" w:type="pct"/>
            <w:gridSpan w:val="2"/>
            <w:tcBorders>
              <w:top w:val="double" w:sz="6" w:space="0" w:color="800000"/>
              <w:left w:val="double" w:sz="6" w:space="0" w:color="FFFFFF"/>
              <w:bottom w:val="single" w:sz="4" w:space="0" w:color="FFFFFF"/>
              <w:right w:val="nil"/>
            </w:tcBorders>
            <w:shd w:val="clear" w:color="000000" w:fill="800000"/>
          </w:tcPr>
          <w:p w14:paraId="437AA48F" w14:textId="77777777" w:rsidR="0016182D" w:rsidRPr="003E4677" w:rsidRDefault="0016182D" w:rsidP="00D337DB">
            <w:pPr>
              <w:jc w:val="center"/>
              <w:rPr>
                <w:b/>
                <w:bCs/>
                <w:color w:val="FFFFFF" w:themeColor="background1"/>
                <w:sz w:val="20"/>
                <w:szCs w:val="20"/>
              </w:rPr>
            </w:pPr>
            <w:r>
              <w:rPr>
                <w:b/>
                <w:bCs/>
                <w:color w:val="FFFFFF" w:themeColor="background1"/>
                <w:sz w:val="20"/>
                <w:szCs w:val="20"/>
              </w:rPr>
              <w:t>2022</w:t>
            </w:r>
          </w:p>
        </w:tc>
      </w:tr>
      <w:tr w:rsidR="0016182D" w:rsidRPr="00385F1E" w14:paraId="75A5E3EF" w14:textId="77777777" w:rsidTr="008F7DC2">
        <w:trPr>
          <w:trHeight w:val="624"/>
          <w:jc w:val="center"/>
        </w:trPr>
        <w:tc>
          <w:tcPr>
            <w:tcW w:w="1537" w:type="pct"/>
            <w:vMerge/>
            <w:tcBorders>
              <w:top w:val="double" w:sz="6" w:space="0" w:color="800000"/>
              <w:left w:val="double" w:sz="6" w:space="0" w:color="800000"/>
              <w:bottom w:val="double" w:sz="6" w:space="0" w:color="800000"/>
              <w:right w:val="single" w:sz="8" w:space="0" w:color="FFFFFF"/>
            </w:tcBorders>
            <w:vAlign w:val="center"/>
            <w:hideMark/>
          </w:tcPr>
          <w:p w14:paraId="6CAAA708" w14:textId="77777777" w:rsidR="0016182D" w:rsidRPr="00385F1E" w:rsidRDefault="0016182D" w:rsidP="00D337DB">
            <w:pPr>
              <w:rPr>
                <w:b/>
                <w:bCs/>
                <w:color w:val="FFFFFF" w:themeColor="background1"/>
              </w:rPr>
            </w:pPr>
          </w:p>
        </w:tc>
        <w:tc>
          <w:tcPr>
            <w:tcW w:w="455" w:type="pct"/>
            <w:tcBorders>
              <w:top w:val="nil"/>
              <w:left w:val="double" w:sz="6" w:space="0" w:color="FFFFFF"/>
              <w:bottom w:val="double" w:sz="6" w:space="0" w:color="800000"/>
              <w:right w:val="single" w:sz="4" w:space="0" w:color="FFFFFF"/>
            </w:tcBorders>
            <w:shd w:val="clear" w:color="000000" w:fill="800000"/>
            <w:hideMark/>
          </w:tcPr>
          <w:p w14:paraId="69D6C65B" w14:textId="77777777" w:rsidR="0016182D" w:rsidRPr="00385F1E" w:rsidRDefault="0016182D" w:rsidP="00D337DB">
            <w:pPr>
              <w:jc w:val="center"/>
              <w:rPr>
                <w:b/>
                <w:bCs/>
                <w:color w:val="FFFFFF" w:themeColor="background1"/>
                <w:sz w:val="16"/>
                <w:szCs w:val="16"/>
              </w:rPr>
            </w:pPr>
            <w:r w:rsidRPr="00385F1E">
              <w:rPr>
                <w:b/>
                <w:bCs/>
                <w:color w:val="FFFFFF" w:themeColor="background1"/>
                <w:sz w:val="16"/>
                <w:szCs w:val="16"/>
              </w:rPr>
              <w:t>ОТЧЕТ</w:t>
            </w:r>
          </w:p>
        </w:tc>
        <w:tc>
          <w:tcPr>
            <w:tcW w:w="344" w:type="pct"/>
            <w:tcBorders>
              <w:top w:val="nil"/>
              <w:left w:val="nil"/>
              <w:bottom w:val="double" w:sz="6" w:space="0" w:color="800000"/>
              <w:right w:val="single" w:sz="4" w:space="0" w:color="FFFFFF"/>
            </w:tcBorders>
            <w:shd w:val="clear" w:color="000000" w:fill="800000"/>
            <w:hideMark/>
          </w:tcPr>
          <w:p w14:paraId="6F8472FD" w14:textId="77777777" w:rsidR="0016182D" w:rsidRPr="00385F1E" w:rsidRDefault="0016182D" w:rsidP="00D337DB">
            <w:pPr>
              <w:jc w:val="center"/>
              <w:rPr>
                <w:b/>
                <w:bCs/>
                <w:color w:val="FFFFFF" w:themeColor="background1"/>
                <w:sz w:val="16"/>
                <w:szCs w:val="16"/>
              </w:rPr>
            </w:pPr>
            <w:r w:rsidRPr="00385F1E">
              <w:rPr>
                <w:b/>
                <w:bCs/>
                <w:color w:val="FFFFFF" w:themeColor="background1"/>
                <w:sz w:val="16"/>
                <w:szCs w:val="16"/>
              </w:rPr>
              <w:t>% БВП</w:t>
            </w:r>
          </w:p>
        </w:tc>
        <w:tc>
          <w:tcPr>
            <w:tcW w:w="422" w:type="pct"/>
            <w:tcBorders>
              <w:top w:val="nil"/>
              <w:left w:val="double" w:sz="6" w:space="0" w:color="FFFFFF"/>
              <w:bottom w:val="double" w:sz="6" w:space="0" w:color="800000"/>
              <w:right w:val="single" w:sz="4" w:space="0" w:color="FFFFFF"/>
            </w:tcBorders>
            <w:shd w:val="clear" w:color="000000" w:fill="800000"/>
            <w:hideMark/>
          </w:tcPr>
          <w:p w14:paraId="473C3D42" w14:textId="77777777" w:rsidR="0016182D" w:rsidRPr="00385F1E" w:rsidRDefault="0016182D" w:rsidP="00D337DB">
            <w:pPr>
              <w:jc w:val="center"/>
              <w:rPr>
                <w:b/>
                <w:bCs/>
                <w:color w:val="FFFFFF" w:themeColor="background1"/>
                <w:sz w:val="16"/>
                <w:szCs w:val="16"/>
              </w:rPr>
            </w:pPr>
            <w:r w:rsidRPr="00385F1E">
              <w:rPr>
                <w:b/>
                <w:bCs/>
                <w:color w:val="FFFFFF" w:themeColor="background1"/>
                <w:sz w:val="16"/>
                <w:szCs w:val="16"/>
              </w:rPr>
              <w:t>ОТЧЕТ</w:t>
            </w:r>
          </w:p>
        </w:tc>
        <w:tc>
          <w:tcPr>
            <w:tcW w:w="344" w:type="pct"/>
            <w:tcBorders>
              <w:top w:val="nil"/>
              <w:left w:val="nil"/>
              <w:bottom w:val="double" w:sz="6" w:space="0" w:color="800000"/>
              <w:right w:val="single" w:sz="4" w:space="0" w:color="FFFFFF"/>
            </w:tcBorders>
            <w:shd w:val="clear" w:color="000000" w:fill="800000"/>
            <w:hideMark/>
          </w:tcPr>
          <w:p w14:paraId="6D06F5CC" w14:textId="77777777" w:rsidR="0016182D" w:rsidRPr="00385F1E" w:rsidRDefault="0016182D" w:rsidP="00D337DB">
            <w:pPr>
              <w:jc w:val="center"/>
              <w:rPr>
                <w:b/>
                <w:bCs/>
                <w:color w:val="FFFFFF" w:themeColor="background1"/>
                <w:sz w:val="16"/>
                <w:szCs w:val="16"/>
              </w:rPr>
            </w:pPr>
            <w:r w:rsidRPr="00385F1E">
              <w:rPr>
                <w:b/>
                <w:bCs/>
                <w:color w:val="FFFFFF" w:themeColor="background1"/>
                <w:sz w:val="16"/>
                <w:szCs w:val="16"/>
              </w:rPr>
              <w:t>% БВП</w:t>
            </w:r>
          </w:p>
        </w:tc>
        <w:tc>
          <w:tcPr>
            <w:tcW w:w="481" w:type="pct"/>
            <w:tcBorders>
              <w:top w:val="nil"/>
              <w:left w:val="double" w:sz="6" w:space="0" w:color="FFFFFF"/>
              <w:bottom w:val="double" w:sz="6" w:space="0" w:color="800000"/>
              <w:right w:val="single" w:sz="4" w:space="0" w:color="FFFFFF"/>
            </w:tcBorders>
            <w:shd w:val="clear" w:color="000000" w:fill="800000"/>
            <w:hideMark/>
          </w:tcPr>
          <w:p w14:paraId="3F1097BC" w14:textId="77777777" w:rsidR="0016182D" w:rsidRPr="00385F1E" w:rsidRDefault="0016182D" w:rsidP="00D337DB">
            <w:pPr>
              <w:jc w:val="center"/>
              <w:rPr>
                <w:b/>
                <w:bCs/>
                <w:color w:val="FFFFFF" w:themeColor="background1"/>
                <w:sz w:val="16"/>
                <w:szCs w:val="16"/>
              </w:rPr>
            </w:pPr>
            <w:r w:rsidRPr="00385F1E">
              <w:rPr>
                <w:b/>
                <w:bCs/>
                <w:color w:val="FFFFFF" w:themeColor="background1"/>
                <w:sz w:val="16"/>
                <w:szCs w:val="16"/>
              </w:rPr>
              <w:t>ОТЧЕТ</w:t>
            </w:r>
          </w:p>
        </w:tc>
        <w:tc>
          <w:tcPr>
            <w:tcW w:w="353" w:type="pct"/>
            <w:tcBorders>
              <w:top w:val="nil"/>
              <w:left w:val="nil"/>
              <w:bottom w:val="double" w:sz="6" w:space="0" w:color="800000"/>
              <w:right w:val="single" w:sz="4" w:space="0" w:color="FFFFFF"/>
            </w:tcBorders>
            <w:shd w:val="clear" w:color="000000" w:fill="800000"/>
            <w:hideMark/>
          </w:tcPr>
          <w:p w14:paraId="7A99CE40" w14:textId="77777777" w:rsidR="0016182D" w:rsidRPr="00385F1E" w:rsidRDefault="0016182D" w:rsidP="00D337DB">
            <w:pPr>
              <w:jc w:val="center"/>
              <w:rPr>
                <w:b/>
                <w:bCs/>
                <w:color w:val="FFFFFF" w:themeColor="background1"/>
                <w:sz w:val="16"/>
                <w:szCs w:val="16"/>
              </w:rPr>
            </w:pPr>
            <w:r w:rsidRPr="00385F1E">
              <w:rPr>
                <w:b/>
                <w:bCs/>
                <w:color w:val="FFFFFF" w:themeColor="background1"/>
                <w:sz w:val="16"/>
                <w:szCs w:val="16"/>
              </w:rPr>
              <w:t>% БВП</w:t>
            </w:r>
          </w:p>
        </w:tc>
        <w:tc>
          <w:tcPr>
            <w:tcW w:w="633" w:type="pct"/>
            <w:tcBorders>
              <w:top w:val="nil"/>
              <w:left w:val="nil"/>
              <w:bottom w:val="double" w:sz="6" w:space="0" w:color="800000"/>
              <w:right w:val="single" w:sz="4" w:space="0" w:color="FFFFFF"/>
            </w:tcBorders>
            <w:shd w:val="clear" w:color="000000" w:fill="800000"/>
          </w:tcPr>
          <w:p w14:paraId="798A6DF9" w14:textId="77777777" w:rsidR="0016182D" w:rsidRDefault="0016182D" w:rsidP="00D337DB">
            <w:pPr>
              <w:jc w:val="center"/>
              <w:rPr>
                <w:b/>
                <w:bCs/>
                <w:color w:val="FFFFFF" w:themeColor="background1"/>
                <w:sz w:val="16"/>
                <w:szCs w:val="16"/>
              </w:rPr>
            </w:pPr>
            <w:r>
              <w:rPr>
                <w:b/>
                <w:bCs/>
                <w:color w:val="FFFFFF" w:themeColor="background1"/>
                <w:sz w:val="16"/>
                <w:szCs w:val="16"/>
              </w:rPr>
              <w:t>ОТЧЕТ НА СЪПОСТА-ВИМА</w:t>
            </w:r>
          </w:p>
          <w:p w14:paraId="4EA9EC0E" w14:textId="77777777" w:rsidR="0016182D" w:rsidRPr="00385F1E" w:rsidRDefault="0016182D" w:rsidP="00D337DB">
            <w:pPr>
              <w:jc w:val="center"/>
              <w:rPr>
                <w:b/>
                <w:bCs/>
                <w:color w:val="FFFFFF" w:themeColor="background1"/>
                <w:sz w:val="16"/>
                <w:szCs w:val="16"/>
              </w:rPr>
            </w:pPr>
            <w:r>
              <w:rPr>
                <w:b/>
                <w:bCs/>
                <w:color w:val="FFFFFF" w:themeColor="background1"/>
                <w:sz w:val="16"/>
                <w:szCs w:val="16"/>
              </w:rPr>
              <w:t>БАЗА</w:t>
            </w:r>
            <w:r>
              <w:rPr>
                <w:rStyle w:val="FootnoteReference"/>
                <w:b/>
                <w:bCs/>
                <w:color w:val="FFFFFF" w:themeColor="background1"/>
                <w:sz w:val="16"/>
                <w:szCs w:val="16"/>
              </w:rPr>
              <w:footnoteReference w:id="21"/>
            </w:r>
          </w:p>
        </w:tc>
        <w:tc>
          <w:tcPr>
            <w:tcW w:w="431" w:type="pct"/>
            <w:tcBorders>
              <w:top w:val="nil"/>
              <w:left w:val="nil"/>
              <w:bottom w:val="double" w:sz="6" w:space="0" w:color="800000"/>
              <w:right w:val="single" w:sz="4" w:space="0" w:color="FFFFFF"/>
            </w:tcBorders>
            <w:shd w:val="clear" w:color="000000" w:fill="800000"/>
          </w:tcPr>
          <w:p w14:paraId="67D1C600" w14:textId="77777777" w:rsidR="0016182D" w:rsidRPr="00385F1E" w:rsidRDefault="0016182D" w:rsidP="00D337DB">
            <w:pPr>
              <w:jc w:val="center"/>
              <w:rPr>
                <w:b/>
                <w:bCs/>
                <w:color w:val="FFFFFF" w:themeColor="background1"/>
                <w:sz w:val="16"/>
                <w:szCs w:val="16"/>
              </w:rPr>
            </w:pPr>
            <w:r w:rsidRPr="008E50C2">
              <w:rPr>
                <w:b/>
                <w:bCs/>
                <w:color w:val="FFFFFF" w:themeColor="background1"/>
                <w:sz w:val="16"/>
                <w:szCs w:val="16"/>
              </w:rPr>
              <w:t>% БВП</w:t>
            </w:r>
          </w:p>
        </w:tc>
      </w:tr>
      <w:tr w:rsidR="008F7DC2" w:rsidRPr="00385F1E" w14:paraId="225318CC" w14:textId="77777777" w:rsidTr="008F7DC2">
        <w:trPr>
          <w:trHeight w:val="288"/>
          <w:jc w:val="center"/>
        </w:trPr>
        <w:tc>
          <w:tcPr>
            <w:tcW w:w="1537" w:type="pct"/>
            <w:tcBorders>
              <w:top w:val="nil"/>
              <w:left w:val="double" w:sz="6" w:space="0" w:color="800000"/>
              <w:bottom w:val="nil"/>
              <w:right w:val="single" w:sz="4" w:space="0" w:color="800000"/>
            </w:tcBorders>
            <w:shd w:val="clear" w:color="000000" w:fill="FFFFCC"/>
            <w:vAlign w:val="bottom"/>
            <w:hideMark/>
          </w:tcPr>
          <w:p w14:paraId="78264447" w14:textId="77777777" w:rsidR="008F7DC2" w:rsidRPr="00385F1E" w:rsidRDefault="008F7DC2" w:rsidP="008F7DC2">
            <w:pPr>
              <w:rPr>
                <w:b/>
                <w:bCs/>
              </w:rPr>
            </w:pPr>
            <w:r w:rsidRPr="00385F1E">
              <w:rPr>
                <w:b/>
                <w:bCs/>
                <w:sz w:val="20"/>
              </w:rPr>
              <w:t>ОБЩО РАЗХОДИ И ВНОСКА В БЮДЖЕТА НА ЕС</w:t>
            </w:r>
            <w:r w:rsidRPr="00385F1E">
              <w:rPr>
                <w:b/>
              </w:rPr>
              <w:t xml:space="preserve"> </w:t>
            </w:r>
          </w:p>
        </w:tc>
        <w:tc>
          <w:tcPr>
            <w:tcW w:w="455" w:type="pct"/>
            <w:tcBorders>
              <w:top w:val="nil"/>
              <w:left w:val="nil"/>
              <w:bottom w:val="nil"/>
              <w:right w:val="single" w:sz="4" w:space="0" w:color="800000"/>
            </w:tcBorders>
            <w:shd w:val="clear" w:color="000000" w:fill="FFFFCC"/>
            <w:vAlign w:val="bottom"/>
          </w:tcPr>
          <w:p w14:paraId="6F164CC1" w14:textId="77777777" w:rsidR="008F7DC2" w:rsidRPr="00385F1E" w:rsidRDefault="008F7DC2" w:rsidP="008F7DC2">
            <w:pPr>
              <w:jc w:val="right"/>
              <w:rPr>
                <w:b/>
                <w:bCs/>
                <w:sz w:val="20"/>
                <w:szCs w:val="20"/>
              </w:rPr>
            </w:pPr>
            <w:r w:rsidRPr="00385F1E">
              <w:rPr>
                <w:b/>
                <w:bCs/>
                <w:sz w:val="20"/>
                <w:szCs w:val="20"/>
              </w:rPr>
              <w:t>47 850,4</w:t>
            </w:r>
          </w:p>
        </w:tc>
        <w:tc>
          <w:tcPr>
            <w:tcW w:w="344" w:type="pct"/>
            <w:tcBorders>
              <w:top w:val="nil"/>
              <w:left w:val="nil"/>
              <w:bottom w:val="nil"/>
              <w:right w:val="single" w:sz="4" w:space="0" w:color="800000"/>
            </w:tcBorders>
            <w:shd w:val="clear" w:color="000000" w:fill="FFFFCC"/>
            <w:vAlign w:val="bottom"/>
          </w:tcPr>
          <w:p w14:paraId="458B76C8" w14:textId="77777777" w:rsidR="008F7DC2" w:rsidRPr="00385F1E" w:rsidRDefault="008F7DC2" w:rsidP="008F7DC2">
            <w:pPr>
              <w:jc w:val="right"/>
              <w:rPr>
                <w:b/>
                <w:bCs/>
                <w:sz w:val="20"/>
                <w:szCs w:val="20"/>
              </w:rPr>
            </w:pPr>
            <w:r w:rsidRPr="00A61DD3">
              <w:rPr>
                <w:b/>
                <w:bCs/>
                <w:sz w:val="20"/>
                <w:szCs w:val="20"/>
              </w:rPr>
              <w:t>39,7</w:t>
            </w:r>
            <w:r w:rsidRPr="00385F1E">
              <w:rPr>
                <w:b/>
                <w:bCs/>
                <w:sz w:val="20"/>
                <w:szCs w:val="20"/>
              </w:rPr>
              <w:t>%</w:t>
            </w:r>
          </w:p>
        </w:tc>
        <w:tc>
          <w:tcPr>
            <w:tcW w:w="422" w:type="pct"/>
            <w:tcBorders>
              <w:top w:val="nil"/>
              <w:left w:val="nil"/>
              <w:bottom w:val="nil"/>
              <w:right w:val="single" w:sz="4" w:space="0" w:color="800000"/>
            </w:tcBorders>
            <w:shd w:val="clear" w:color="000000" w:fill="FFFFCC"/>
            <w:vAlign w:val="bottom"/>
          </w:tcPr>
          <w:p w14:paraId="1258BB70" w14:textId="77777777" w:rsidR="008F7DC2" w:rsidRPr="00385F1E" w:rsidRDefault="008F7DC2" w:rsidP="008F7DC2">
            <w:pPr>
              <w:jc w:val="right"/>
              <w:rPr>
                <w:b/>
                <w:bCs/>
                <w:sz w:val="20"/>
                <w:szCs w:val="20"/>
              </w:rPr>
            </w:pPr>
            <w:r w:rsidRPr="00385F1E">
              <w:rPr>
                <w:b/>
                <w:bCs/>
                <w:sz w:val="20"/>
                <w:szCs w:val="20"/>
              </w:rPr>
              <w:t>56 253,4</w:t>
            </w:r>
          </w:p>
        </w:tc>
        <w:tc>
          <w:tcPr>
            <w:tcW w:w="344" w:type="pct"/>
            <w:tcBorders>
              <w:top w:val="nil"/>
              <w:left w:val="nil"/>
              <w:bottom w:val="nil"/>
              <w:right w:val="single" w:sz="4" w:space="0" w:color="800000"/>
            </w:tcBorders>
            <w:shd w:val="clear" w:color="000000" w:fill="FFFFCC"/>
            <w:vAlign w:val="bottom"/>
          </w:tcPr>
          <w:p w14:paraId="711B76ED" w14:textId="77777777" w:rsidR="008F7DC2" w:rsidRPr="00385F1E" w:rsidRDefault="008F7DC2" w:rsidP="008F7DC2">
            <w:pPr>
              <w:jc w:val="right"/>
              <w:rPr>
                <w:b/>
                <w:bCs/>
                <w:sz w:val="20"/>
                <w:szCs w:val="20"/>
              </w:rPr>
            </w:pPr>
            <w:r w:rsidRPr="00385F1E">
              <w:rPr>
                <w:b/>
                <w:bCs/>
                <w:sz w:val="20"/>
                <w:szCs w:val="20"/>
              </w:rPr>
              <w:t>4</w:t>
            </w:r>
            <w:r w:rsidRPr="00A61DD3">
              <w:rPr>
                <w:b/>
                <w:bCs/>
                <w:sz w:val="20"/>
                <w:szCs w:val="20"/>
              </w:rPr>
              <w:t>0</w:t>
            </w:r>
            <w:r w:rsidRPr="00385F1E">
              <w:rPr>
                <w:b/>
                <w:bCs/>
                <w:sz w:val="20"/>
                <w:szCs w:val="20"/>
              </w:rPr>
              <w:t>,</w:t>
            </w:r>
            <w:r w:rsidRPr="00A61DD3">
              <w:rPr>
                <w:b/>
                <w:bCs/>
                <w:sz w:val="20"/>
                <w:szCs w:val="20"/>
              </w:rPr>
              <w:t>5</w:t>
            </w:r>
            <w:r w:rsidRPr="00385F1E">
              <w:rPr>
                <w:b/>
                <w:bCs/>
                <w:sz w:val="20"/>
                <w:szCs w:val="20"/>
              </w:rPr>
              <w:t>%</w:t>
            </w:r>
          </w:p>
        </w:tc>
        <w:tc>
          <w:tcPr>
            <w:tcW w:w="481" w:type="pct"/>
            <w:tcBorders>
              <w:top w:val="nil"/>
              <w:left w:val="nil"/>
              <w:bottom w:val="nil"/>
              <w:right w:val="single" w:sz="4" w:space="0" w:color="800000"/>
            </w:tcBorders>
            <w:shd w:val="clear" w:color="000000" w:fill="FFFFCC"/>
            <w:vAlign w:val="center"/>
          </w:tcPr>
          <w:p w14:paraId="4F60BF3D" w14:textId="77777777" w:rsidR="008F7DC2" w:rsidRDefault="008F7DC2" w:rsidP="008F7DC2">
            <w:pPr>
              <w:jc w:val="right"/>
              <w:rPr>
                <w:b/>
                <w:bCs/>
                <w:sz w:val="20"/>
                <w:szCs w:val="20"/>
              </w:rPr>
            </w:pPr>
          </w:p>
          <w:p w14:paraId="45AE47A0" w14:textId="3E4B6D92" w:rsidR="008F7DC2" w:rsidRPr="00A81650" w:rsidRDefault="008F7DC2" w:rsidP="00A81650">
            <w:pPr>
              <w:jc w:val="right"/>
              <w:rPr>
                <w:b/>
                <w:bCs/>
                <w:sz w:val="20"/>
                <w:szCs w:val="20"/>
                <w:lang w:val="en-US"/>
              </w:rPr>
            </w:pPr>
            <w:r>
              <w:rPr>
                <w:b/>
                <w:bCs/>
                <w:sz w:val="20"/>
                <w:szCs w:val="20"/>
              </w:rPr>
              <w:t>66 112,</w:t>
            </w:r>
            <w:r w:rsidR="00A81650">
              <w:rPr>
                <w:b/>
                <w:bCs/>
                <w:sz w:val="20"/>
                <w:szCs w:val="20"/>
                <w:lang w:val="en-US"/>
              </w:rPr>
              <w:t>3</w:t>
            </w:r>
          </w:p>
        </w:tc>
        <w:tc>
          <w:tcPr>
            <w:tcW w:w="353" w:type="pct"/>
            <w:tcBorders>
              <w:top w:val="nil"/>
              <w:left w:val="nil"/>
              <w:bottom w:val="nil"/>
              <w:right w:val="single" w:sz="4" w:space="0" w:color="800000"/>
            </w:tcBorders>
            <w:shd w:val="clear" w:color="000000" w:fill="FFFFCC"/>
            <w:vAlign w:val="bottom"/>
          </w:tcPr>
          <w:p w14:paraId="49FEA3C2" w14:textId="77777777" w:rsidR="008F7DC2" w:rsidRPr="00385F1E" w:rsidRDefault="008F7DC2" w:rsidP="008F7DC2">
            <w:pPr>
              <w:jc w:val="right"/>
              <w:rPr>
                <w:b/>
                <w:bCs/>
                <w:sz w:val="20"/>
                <w:szCs w:val="20"/>
              </w:rPr>
            </w:pPr>
            <w:r w:rsidRPr="00A61DD3">
              <w:rPr>
                <w:b/>
                <w:bCs/>
                <w:sz w:val="20"/>
                <w:szCs w:val="20"/>
              </w:rPr>
              <w:t>40,0%</w:t>
            </w:r>
          </w:p>
        </w:tc>
        <w:tc>
          <w:tcPr>
            <w:tcW w:w="633" w:type="pct"/>
            <w:vMerge w:val="restart"/>
            <w:tcBorders>
              <w:top w:val="nil"/>
              <w:left w:val="nil"/>
              <w:right w:val="single" w:sz="4" w:space="0" w:color="800000"/>
            </w:tcBorders>
            <w:shd w:val="clear" w:color="000000" w:fill="FFFFCC"/>
          </w:tcPr>
          <w:p w14:paraId="48DD3320" w14:textId="77777777" w:rsidR="008F7DC2" w:rsidRDefault="008F7DC2" w:rsidP="008F7DC2">
            <w:pPr>
              <w:jc w:val="right"/>
              <w:rPr>
                <w:b/>
                <w:bCs/>
                <w:sz w:val="20"/>
                <w:szCs w:val="20"/>
              </w:rPr>
            </w:pPr>
          </w:p>
          <w:p w14:paraId="68FF30CF" w14:textId="6AF08FD5" w:rsidR="008F7DC2" w:rsidRPr="00A81650" w:rsidRDefault="008F7DC2" w:rsidP="008F7DC2">
            <w:pPr>
              <w:jc w:val="right"/>
              <w:rPr>
                <w:b/>
                <w:bCs/>
                <w:sz w:val="20"/>
                <w:szCs w:val="20"/>
                <w:lang w:val="en-US"/>
              </w:rPr>
            </w:pPr>
            <w:r w:rsidRPr="00D518A8">
              <w:rPr>
                <w:b/>
                <w:bCs/>
                <w:sz w:val="20"/>
                <w:szCs w:val="20"/>
              </w:rPr>
              <w:t>62 931,</w:t>
            </w:r>
            <w:r w:rsidR="00A81650">
              <w:rPr>
                <w:b/>
                <w:bCs/>
                <w:sz w:val="20"/>
                <w:szCs w:val="20"/>
                <w:lang w:val="en-US"/>
              </w:rPr>
              <w:t>3</w:t>
            </w:r>
          </w:p>
          <w:p w14:paraId="21005B67" w14:textId="77777777" w:rsidR="008F7DC2" w:rsidRDefault="008F7DC2" w:rsidP="008F7DC2">
            <w:pPr>
              <w:jc w:val="right"/>
              <w:rPr>
                <w:b/>
                <w:bCs/>
                <w:sz w:val="20"/>
                <w:szCs w:val="20"/>
              </w:rPr>
            </w:pPr>
          </w:p>
          <w:p w14:paraId="25BF4EF8" w14:textId="77777777" w:rsidR="008F7DC2" w:rsidRDefault="008F7DC2" w:rsidP="008F7DC2">
            <w:pPr>
              <w:spacing w:line="276" w:lineRule="auto"/>
              <w:jc w:val="right"/>
              <w:rPr>
                <w:b/>
                <w:bCs/>
                <w:sz w:val="20"/>
                <w:szCs w:val="20"/>
              </w:rPr>
            </w:pPr>
            <w:r w:rsidRPr="00E54615">
              <w:rPr>
                <w:b/>
                <w:bCs/>
                <w:sz w:val="20"/>
                <w:szCs w:val="20"/>
              </w:rPr>
              <w:t>60 574,5</w:t>
            </w:r>
          </w:p>
          <w:p w14:paraId="37453DB0" w14:textId="77777777" w:rsidR="008F7DC2" w:rsidRDefault="008F7DC2" w:rsidP="008F7DC2">
            <w:pPr>
              <w:spacing w:line="276" w:lineRule="auto"/>
              <w:jc w:val="right"/>
              <w:rPr>
                <w:b/>
                <w:bCs/>
                <w:sz w:val="20"/>
                <w:szCs w:val="20"/>
              </w:rPr>
            </w:pPr>
          </w:p>
          <w:p w14:paraId="765C4840" w14:textId="22E436A2" w:rsidR="008F7DC2" w:rsidRPr="00A81650" w:rsidRDefault="008F7DC2" w:rsidP="008F7DC2">
            <w:pPr>
              <w:spacing w:line="276" w:lineRule="auto"/>
              <w:jc w:val="right"/>
              <w:rPr>
                <w:b/>
                <w:bCs/>
                <w:i/>
                <w:sz w:val="20"/>
                <w:szCs w:val="20"/>
                <w:lang w:val="en-US"/>
              </w:rPr>
            </w:pPr>
            <w:r w:rsidRPr="00276E15">
              <w:rPr>
                <w:bCs/>
                <w:i/>
                <w:sz w:val="20"/>
                <w:szCs w:val="20"/>
              </w:rPr>
              <w:t>54 82</w:t>
            </w:r>
            <w:r w:rsidR="00A81650">
              <w:rPr>
                <w:bCs/>
                <w:i/>
                <w:sz w:val="20"/>
                <w:szCs w:val="20"/>
                <w:lang w:val="en-US"/>
              </w:rPr>
              <w:t>0</w:t>
            </w:r>
            <w:r w:rsidRPr="00276E15">
              <w:rPr>
                <w:bCs/>
                <w:i/>
                <w:sz w:val="20"/>
                <w:szCs w:val="20"/>
              </w:rPr>
              <w:t>,</w:t>
            </w:r>
            <w:r w:rsidR="00A81650">
              <w:rPr>
                <w:bCs/>
                <w:i/>
                <w:sz w:val="20"/>
                <w:szCs w:val="20"/>
                <w:lang w:val="en-US"/>
              </w:rPr>
              <w:t>5</w:t>
            </w:r>
          </w:p>
          <w:p w14:paraId="4D4CABBF" w14:textId="07286549" w:rsidR="008F7DC2" w:rsidRPr="00A81650" w:rsidRDefault="008F7DC2" w:rsidP="008F7DC2">
            <w:pPr>
              <w:jc w:val="right"/>
              <w:rPr>
                <w:b/>
                <w:bCs/>
                <w:sz w:val="20"/>
                <w:szCs w:val="20"/>
                <w:lang w:val="en-US"/>
              </w:rPr>
            </w:pPr>
            <w:r w:rsidRPr="009A5FC9">
              <w:rPr>
                <w:iCs/>
                <w:sz w:val="20"/>
                <w:szCs w:val="20"/>
              </w:rPr>
              <w:t>14 640,</w:t>
            </w:r>
            <w:r w:rsidR="00A81650">
              <w:rPr>
                <w:iCs/>
                <w:sz w:val="20"/>
                <w:szCs w:val="20"/>
                <w:lang w:val="en-US"/>
              </w:rPr>
              <w:t>6</w:t>
            </w:r>
          </w:p>
          <w:p w14:paraId="116598D4" w14:textId="77777777" w:rsidR="008F7DC2" w:rsidRDefault="008F7DC2" w:rsidP="008F7DC2">
            <w:pPr>
              <w:jc w:val="right"/>
              <w:rPr>
                <w:sz w:val="20"/>
                <w:szCs w:val="20"/>
              </w:rPr>
            </w:pPr>
            <w:r w:rsidRPr="00A61DD3">
              <w:rPr>
                <w:sz w:val="20"/>
                <w:szCs w:val="20"/>
              </w:rPr>
              <w:t>132,4</w:t>
            </w:r>
          </w:p>
          <w:p w14:paraId="01A4B9B6" w14:textId="09890928" w:rsidR="008F7DC2" w:rsidRPr="00A81650" w:rsidRDefault="008F7DC2" w:rsidP="008F7DC2">
            <w:pPr>
              <w:spacing w:line="276" w:lineRule="auto"/>
              <w:jc w:val="right"/>
              <w:rPr>
                <w:bCs/>
                <w:sz w:val="20"/>
                <w:szCs w:val="20"/>
                <w:lang w:val="en-US"/>
              </w:rPr>
            </w:pPr>
            <w:r w:rsidRPr="002604A8">
              <w:rPr>
                <w:bCs/>
                <w:sz w:val="20"/>
                <w:szCs w:val="20"/>
              </w:rPr>
              <w:t>7 10</w:t>
            </w:r>
            <w:r w:rsidR="00A81650">
              <w:rPr>
                <w:bCs/>
                <w:sz w:val="20"/>
                <w:szCs w:val="20"/>
                <w:lang w:val="en-US"/>
              </w:rPr>
              <w:t>8</w:t>
            </w:r>
            <w:r w:rsidRPr="002604A8">
              <w:rPr>
                <w:bCs/>
                <w:sz w:val="20"/>
                <w:szCs w:val="20"/>
              </w:rPr>
              <w:t>,</w:t>
            </w:r>
            <w:r w:rsidR="00A81650">
              <w:rPr>
                <w:bCs/>
                <w:sz w:val="20"/>
                <w:szCs w:val="20"/>
                <w:lang w:val="en-US"/>
              </w:rPr>
              <w:t>6</w:t>
            </w:r>
          </w:p>
          <w:p w14:paraId="2775338A" w14:textId="60391F50" w:rsidR="008F7DC2" w:rsidRPr="00A81650" w:rsidRDefault="008F7DC2" w:rsidP="008F7DC2">
            <w:pPr>
              <w:spacing w:line="360" w:lineRule="auto"/>
              <w:jc w:val="right"/>
              <w:rPr>
                <w:bCs/>
                <w:sz w:val="20"/>
                <w:szCs w:val="20"/>
                <w:lang w:val="en-US"/>
              </w:rPr>
            </w:pPr>
            <w:r>
              <w:rPr>
                <w:bCs/>
                <w:sz w:val="20"/>
                <w:szCs w:val="20"/>
              </w:rPr>
              <w:t>7</w:t>
            </w:r>
            <w:r w:rsidR="00A81650">
              <w:rPr>
                <w:bCs/>
                <w:sz w:val="20"/>
                <w:szCs w:val="20"/>
              </w:rPr>
              <w:t> </w:t>
            </w:r>
            <w:r>
              <w:rPr>
                <w:bCs/>
                <w:sz w:val="20"/>
                <w:szCs w:val="20"/>
              </w:rPr>
              <w:t>28</w:t>
            </w:r>
            <w:r w:rsidR="00A81650">
              <w:rPr>
                <w:bCs/>
                <w:sz w:val="20"/>
                <w:szCs w:val="20"/>
                <w:lang w:val="en-US"/>
              </w:rPr>
              <w:t>7</w:t>
            </w:r>
            <w:r w:rsidR="00A81650">
              <w:rPr>
                <w:bCs/>
                <w:sz w:val="20"/>
                <w:szCs w:val="20"/>
              </w:rPr>
              <w:t>,</w:t>
            </w:r>
            <w:r w:rsidR="00A81650">
              <w:rPr>
                <w:bCs/>
                <w:sz w:val="20"/>
                <w:szCs w:val="20"/>
                <w:lang w:val="en-US"/>
              </w:rPr>
              <w:t>0</w:t>
            </w:r>
          </w:p>
          <w:p w14:paraId="5647065B" w14:textId="77777777" w:rsidR="008F7DC2" w:rsidRDefault="008F7DC2" w:rsidP="008F7DC2">
            <w:pPr>
              <w:spacing w:line="360" w:lineRule="auto"/>
              <w:jc w:val="right"/>
              <w:rPr>
                <w:bCs/>
                <w:sz w:val="20"/>
                <w:szCs w:val="20"/>
              </w:rPr>
            </w:pPr>
            <w:r w:rsidRPr="002604A8">
              <w:rPr>
                <w:bCs/>
                <w:sz w:val="20"/>
                <w:szCs w:val="20"/>
              </w:rPr>
              <w:t>25 651,8</w:t>
            </w:r>
          </w:p>
          <w:p w14:paraId="7DCBB280" w14:textId="77777777" w:rsidR="008F7DC2" w:rsidRDefault="008F7DC2" w:rsidP="008F7DC2">
            <w:pPr>
              <w:spacing w:line="480" w:lineRule="auto"/>
              <w:jc w:val="right"/>
              <w:rPr>
                <w:bCs/>
                <w:sz w:val="20"/>
                <w:szCs w:val="20"/>
              </w:rPr>
            </w:pPr>
            <w:r w:rsidRPr="002604A8">
              <w:rPr>
                <w:bCs/>
                <w:sz w:val="20"/>
                <w:szCs w:val="20"/>
              </w:rPr>
              <w:t>15 704,4</w:t>
            </w:r>
          </w:p>
          <w:p w14:paraId="0A8BCE24" w14:textId="4235946E" w:rsidR="008F7DC2" w:rsidRDefault="008F7DC2" w:rsidP="008F7DC2">
            <w:pPr>
              <w:spacing w:line="480" w:lineRule="auto"/>
              <w:jc w:val="right"/>
              <w:rPr>
                <w:i/>
                <w:sz w:val="20"/>
                <w:szCs w:val="20"/>
              </w:rPr>
            </w:pPr>
            <w:r w:rsidRPr="00A61DD3">
              <w:rPr>
                <w:i/>
                <w:sz w:val="20"/>
                <w:szCs w:val="20"/>
              </w:rPr>
              <w:t>5 706,</w:t>
            </w:r>
            <w:r w:rsidR="00A81650">
              <w:rPr>
                <w:i/>
                <w:sz w:val="20"/>
                <w:szCs w:val="20"/>
              </w:rPr>
              <w:t>6</w:t>
            </w:r>
          </w:p>
          <w:p w14:paraId="306FF573" w14:textId="77777777" w:rsidR="008F7DC2" w:rsidRDefault="008F7DC2" w:rsidP="008F7DC2">
            <w:pPr>
              <w:spacing w:line="480" w:lineRule="auto"/>
              <w:jc w:val="right"/>
              <w:rPr>
                <w:i/>
                <w:sz w:val="20"/>
                <w:szCs w:val="20"/>
              </w:rPr>
            </w:pPr>
            <w:r w:rsidRPr="00A61DD3">
              <w:rPr>
                <w:i/>
                <w:sz w:val="20"/>
                <w:szCs w:val="20"/>
              </w:rPr>
              <w:t>47,3</w:t>
            </w:r>
          </w:p>
          <w:p w14:paraId="5228035C" w14:textId="77777777" w:rsidR="008F7DC2" w:rsidRDefault="008F7DC2" w:rsidP="008F7DC2">
            <w:pPr>
              <w:spacing w:line="480" w:lineRule="auto"/>
              <w:jc w:val="right"/>
              <w:rPr>
                <w:b/>
                <w:bCs/>
                <w:sz w:val="20"/>
                <w:szCs w:val="20"/>
              </w:rPr>
            </w:pPr>
            <w:r w:rsidRPr="00A61DD3">
              <w:rPr>
                <w:b/>
                <w:bCs/>
                <w:sz w:val="20"/>
                <w:szCs w:val="20"/>
              </w:rPr>
              <w:t>651,8</w:t>
            </w:r>
          </w:p>
          <w:p w14:paraId="6415BE4E" w14:textId="77777777" w:rsidR="008F7DC2" w:rsidRPr="002604A8" w:rsidRDefault="008F7DC2" w:rsidP="008F7DC2">
            <w:pPr>
              <w:spacing w:line="360" w:lineRule="auto"/>
              <w:jc w:val="right"/>
              <w:rPr>
                <w:bCs/>
                <w:sz w:val="20"/>
                <w:szCs w:val="20"/>
              </w:rPr>
            </w:pPr>
            <w:r w:rsidRPr="00543DD5">
              <w:rPr>
                <w:b/>
                <w:bCs/>
                <w:sz w:val="20"/>
                <w:szCs w:val="20"/>
              </w:rPr>
              <w:t>1 705,0</w:t>
            </w:r>
          </w:p>
        </w:tc>
        <w:tc>
          <w:tcPr>
            <w:tcW w:w="431" w:type="pct"/>
            <w:vMerge w:val="restart"/>
            <w:tcBorders>
              <w:top w:val="nil"/>
              <w:left w:val="nil"/>
              <w:right w:val="single" w:sz="4" w:space="0" w:color="800000"/>
            </w:tcBorders>
            <w:shd w:val="clear" w:color="000000" w:fill="FFFFCC"/>
          </w:tcPr>
          <w:p w14:paraId="3132A708" w14:textId="77777777" w:rsidR="008F7DC2" w:rsidRDefault="008F7DC2" w:rsidP="008F7DC2">
            <w:pPr>
              <w:jc w:val="right"/>
              <w:rPr>
                <w:b/>
                <w:bCs/>
                <w:sz w:val="20"/>
                <w:szCs w:val="20"/>
              </w:rPr>
            </w:pPr>
          </w:p>
          <w:p w14:paraId="7F3E9892" w14:textId="77777777" w:rsidR="008F7DC2" w:rsidRPr="007A5A16" w:rsidRDefault="008F7DC2" w:rsidP="008F7DC2">
            <w:pPr>
              <w:jc w:val="right"/>
              <w:rPr>
                <w:b/>
                <w:bCs/>
                <w:sz w:val="20"/>
                <w:szCs w:val="20"/>
              </w:rPr>
            </w:pPr>
            <w:r>
              <w:rPr>
                <w:b/>
                <w:bCs/>
                <w:sz w:val="20"/>
                <w:szCs w:val="20"/>
              </w:rPr>
              <w:t>38,1%</w:t>
            </w:r>
          </w:p>
          <w:p w14:paraId="1F7021DC" w14:textId="77777777" w:rsidR="008F7DC2" w:rsidRDefault="008F7DC2" w:rsidP="008F7DC2">
            <w:pPr>
              <w:jc w:val="right"/>
              <w:rPr>
                <w:b/>
                <w:bCs/>
                <w:sz w:val="20"/>
                <w:szCs w:val="20"/>
              </w:rPr>
            </w:pPr>
          </w:p>
          <w:p w14:paraId="2BCFC279" w14:textId="77777777" w:rsidR="008F7DC2" w:rsidRDefault="008F7DC2" w:rsidP="008F7DC2">
            <w:pPr>
              <w:spacing w:line="276" w:lineRule="auto"/>
              <w:jc w:val="right"/>
              <w:rPr>
                <w:b/>
                <w:bCs/>
                <w:sz w:val="20"/>
                <w:szCs w:val="20"/>
              </w:rPr>
            </w:pPr>
            <w:r>
              <w:rPr>
                <w:b/>
                <w:bCs/>
                <w:sz w:val="20"/>
                <w:szCs w:val="20"/>
              </w:rPr>
              <w:t>36,6%</w:t>
            </w:r>
          </w:p>
          <w:p w14:paraId="5C6475B8" w14:textId="77777777" w:rsidR="008F7DC2" w:rsidRDefault="008F7DC2" w:rsidP="008F7DC2">
            <w:pPr>
              <w:spacing w:line="276" w:lineRule="auto"/>
              <w:jc w:val="right"/>
              <w:rPr>
                <w:b/>
                <w:bCs/>
                <w:sz w:val="20"/>
                <w:szCs w:val="20"/>
              </w:rPr>
            </w:pPr>
          </w:p>
          <w:p w14:paraId="150504EA" w14:textId="77777777" w:rsidR="008F7DC2" w:rsidRDefault="008F7DC2" w:rsidP="008F7DC2">
            <w:pPr>
              <w:spacing w:line="276" w:lineRule="auto"/>
              <w:jc w:val="right"/>
              <w:rPr>
                <w:bCs/>
                <w:i/>
                <w:sz w:val="20"/>
                <w:szCs w:val="20"/>
              </w:rPr>
            </w:pPr>
            <w:r w:rsidRPr="00886434">
              <w:rPr>
                <w:bCs/>
                <w:i/>
                <w:sz w:val="20"/>
                <w:szCs w:val="20"/>
              </w:rPr>
              <w:t>33,1%</w:t>
            </w:r>
          </w:p>
          <w:p w14:paraId="7C9A3C27" w14:textId="77777777" w:rsidR="008F7DC2" w:rsidRDefault="008F7DC2" w:rsidP="008F7DC2">
            <w:pPr>
              <w:jc w:val="right"/>
              <w:rPr>
                <w:bCs/>
                <w:i/>
                <w:sz w:val="20"/>
                <w:szCs w:val="20"/>
              </w:rPr>
            </w:pPr>
            <w:r>
              <w:rPr>
                <w:bCs/>
                <w:i/>
                <w:sz w:val="20"/>
                <w:szCs w:val="20"/>
              </w:rPr>
              <w:t>8,9%</w:t>
            </w:r>
          </w:p>
          <w:p w14:paraId="44029862" w14:textId="77777777" w:rsidR="008F7DC2" w:rsidRPr="00747087" w:rsidRDefault="008F7DC2" w:rsidP="008F7DC2">
            <w:pPr>
              <w:jc w:val="right"/>
              <w:rPr>
                <w:bCs/>
                <w:sz w:val="20"/>
                <w:szCs w:val="20"/>
              </w:rPr>
            </w:pPr>
            <w:r w:rsidRPr="00747087">
              <w:rPr>
                <w:bCs/>
                <w:sz w:val="20"/>
                <w:szCs w:val="20"/>
              </w:rPr>
              <w:t>0,1%</w:t>
            </w:r>
          </w:p>
          <w:p w14:paraId="329CB6F4" w14:textId="77777777" w:rsidR="008F7DC2" w:rsidRPr="00747087" w:rsidRDefault="008F7DC2" w:rsidP="008F7DC2">
            <w:pPr>
              <w:jc w:val="right"/>
              <w:rPr>
                <w:bCs/>
                <w:sz w:val="20"/>
                <w:szCs w:val="20"/>
              </w:rPr>
            </w:pPr>
            <w:r w:rsidRPr="00747087">
              <w:rPr>
                <w:bCs/>
                <w:sz w:val="20"/>
                <w:szCs w:val="20"/>
              </w:rPr>
              <w:t>4,3%</w:t>
            </w:r>
          </w:p>
          <w:p w14:paraId="41236FD4" w14:textId="77777777" w:rsidR="008F7DC2" w:rsidRDefault="008F7DC2" w:rsidP="008F7DC2">
            <w:pPr>
              <w:spacing w:line="360" w:lineRule="auto"/>
              <w:jc w:val="right"/>
              <w:rPr>
                <w:bCs/>
                <w:sz w:val="20"/>
                <w:szCs w:val="20"/>
              </w:rPr>
            </w:pPr>
            <w:r w:rsidRPr="00747087">
              <w:rPr>
                <w:bCs/>
                <w:sz w:val="20"/>
                <w:szCs w:val="20"/>
              </w:rPr>
              <w:t>4,4%</w:t>
            </w:r>
          </w:p>
          <w:p w14:paraId="0785F2E8" w14:textId="77777777" w:rsidR="008F7DC2" w:rsidRDefault="008F7DC2" w:rsidP="008F7DC2">
            <w:pPr>
              <w:spacing w:line="360" w:lineRule="auto"/>
              <w:jc w:val="right"/>
              <w:rPr>
                <w:bCs/>
                <w:sz w:val="20"/>
                <w:szCs w:val="20"/>
              </w:rPr>
            </w:pPr>
            <w:r w:rsidRPr="00A61DD3">
              <w:rPr>
                <w:sz w:val="20"/>
                <w:szCs w:val="20"/>
              </w:rPr>
              <w:t>15,5%</w:t>
            </w:r>
          </w:p>
          <w:p w14:paraId="38C46E6C" w14:textId="77777777" w:rsidR="008F7DC2" w:rsidRDefault="008F7DC2" w:rsidP="008F7DC2">
            <w:pPr>
              <w:spacing w:line="480" w:lineRule="auto"/>
              <w:jc w:val="right"/>
              <w:rPr>
                <w:sz w:val="20"/>
                <w:szCs w:val="20"/>
              </w:rPr>
            </w:pPr>
            <w:r w:rsidRPr="00A61DD3">
              <w:rPr>
                <w:sz w:val="20"/>
                <w:szCs w:val="20"/>
              </w:rPr>
              <w:t>9,5%</w:t>
            </w:r>
          </w:p>
          <w:p w14:paraId="62CCEB4A" w14:textId="77777777" w:rsidR="008F7DC2" w:rsidRPr="00747087" w:rsidRDefault="008F7DC2" w:rsidP="008F7DC2">
            <w:pPr>
              <w:spacing w:line="480" w:lineRule="auto"/>
              <w:jc w:val="right"/>
              <w:rPr>
                <w:sz w:val="20"/>
                <w:szCs w:val="20"/>
              </w:rPr>
            </w:pPr>
            <w:r w:rsidRPr="00747087">
              <w:rPr>
                <w:i/>
                <w:sz w:val="20"/>
                <w:szCs w:val="20"/>
              </w:rPr>
              <w:t>3,5%</w:t>
            </w:r>
          </w:p>
          <w:p w14:paraId="6A6B6FB7" w14:textId="77777777" w:rsidR="008F7DC2" w:rsidRDefault="008F7DC2" w:rsidP="008F7DC2">
            <w:pPr>
              <w:spacing w:line="480" w:lineRule="auto"/>
              <w:jc w:val="right"/>
              <w:rPr>
                <w:i/>
                <w:sz w:val="20"/>
                <w:szCs w:val="20"/>
              </w:rPr>
            </w:pPr>
            <w:r w:rsidRPr="00A61DD3">
              <w:rPr>
                <w:i/>
                <w:sz w:val="20"/>
                <w:szCs w:val="20"/>
              </w:rPr>
              <w:t>0,0%</w:t>
            </w:r>
          </w:p>
          <w:p w14:paraId="36A9A6A8" w14:textId="77777777" w:rsidR="008F7DC2" w:rsidRDefault="008F7DC2" w:rsidP="008F7DC2">
            <w:pPr>
              <w:spacing w:line="480" w:lineRule="auto"/>
              <w:jc w:val="right"/>
              <w:rPr>
                <w:i/>
                <w:sz w:val="20"/>
                <w:szCs w:val="20"/>
              </w:rPr>
            </w:pPr>
            <w:r w:rsidRPr="00A61DD3">
              <w:rPr>
                <w:b/>
                <w:bCs/>
                <w:sz w:val="20"/>
                <w:szCs w:val="20"/>
              </w:rPr>
              <w:t>0,4%</w:t>
            </w:r>
          </w:p>
          <w:p w14:paraId="256B5971" w14:textId="77777777" w:rsidR="008F7DC2" w:rsidRPr="00886434" w:rsidRDefault="008F7DC2" w:rsidP="008F7DC2">
            <w:pPr>
              <w:spacing w:line="360" w:lineRule="auto"/>
              <w:jc w:val="right"/>
              <w:rPr>
                <w:bCs/>
                <w:i/>
                <w:sz w:val="20"/>
                <w:szCs w:val="20"/>
              </w:rPr>
            </w:pPr>
            <w:r w:rsidRPr="00A61DD3">
              <w:rPr>
                <w:b/>
                <w:bCs/>
                <w:sz w:val="20"/>
                <w:szCs w:val="20"/>
              </w:rPr>
              <w:t>1,0%</w:t>
            </w:r>
          </w:p>
        </w:tc>
      </w:tr>
      <w:tr w:rsidR="008F7DC2" w:rsidRPr="00385F1E" w14:paraId="27D654F0" w14:textId="77777777" w:rsidTr="008F7DC2">
        <w:trPr>
          <w:trHeight w:val="105"/>
          <w:jc w:val="center"/>
        </w:trPr>
        <w:tc>
          <w:tcPr>
            <w:tcW w:w="1537" w:type="pct"/>
            <w:tcBorders>
              <w:top w:val="nil"/>
              <w:left w:val="double" w:sz="6" w:space="0" w:color="800000"/>
              <w:bottom w:val="nil"/>
              <w:right w:val="single" w:sz="4" w:space="0" w:color="800000"/>
            </w:tcBorders>
            <w:shd w:val="clear" w:color="000000" w:fill="FFFFCC"/>
            <w:hideMark/>
          </w:tcPr>
          <w:p w14:paraId="68EB0E4B" w14:textId="77777777" w:rsidR="008F7DC2" w:rsidRPr="00385F1E" w:rsidRDefault="008F7DC2" w:rsidP="008F7DC2">
            <w:pPr>
              <w:rPr>
                <w:bCs/>
                <w:sz w:val="4"/>
                <w:szCs w:val="4"/>
              </w:rPr>
            </w:pPr>
            <w:r w:rsidRPr="00385F1E">
              <w:rPr>
                <w:bCs/>
                <w:sz w:val="4"/>
                <w:szCs w:val="4"/>
              </w:rPr>
              <w:t> </w:t>
            </w:r>
          </w:p>
        </w:tc>
        <w:tc>
          <w:tcPr>
            <w:tcW w:w="455" w:type="pct"/>
            <w:tcBorders>
              <w:top w:val="nil"/>
              <w:left w:val="nil"/>
              <w:bottom w:val="nil"/>
              <w:right w:val="single" w:sz="4" w:space="0" w:color="800000"/>
            </w:tcBorders>
            <w:shd w:val="clear" w:color="000000" w:fill="FFFFCC"/>
            <w:vAlign w:val="bottom"/>
          </w:tcPr>
          <w:p w14:paraId="1C903854" w14:textId="77777777" w:rsidR="008F7DC2" w:rsidRPr="00385F1E" w:rsidRDefault="008F7DC2" w:rsidP="008F7DC2">
            <w:pPr>
              <w:rPr>
                <w:b/>
                <w:bCs/>
                <w:sz w:val="20"/>
                <w:szCs w:val="20"/>
              </w:rPr>
            </w:pPr>
            <w:r w:rsidRPr="00385F1E">
              <w:rPr>
                <w:b/>
                <w:bCs/>
                <w:sz w:val="20"/>
                <w:szCs w:val="20"/>
              </w:rPr>
              <w:t> </w:t>
            </w:r>
          </w:p>
        </w:tc>
        <w:tc>
          <w:tcPr>
            <w:tcW w:w="344" w:type="pct"/>
            <w:tcBorders>
              <w:top w:val="nil"/>
              <w:left w:val="nil"/>
              <w:bottom w:val="nil"/>
              <w:right w:val="single" w:sz="4" w:space="0" w:color="800000"/>
            </w:tcBorders>
            <w:shd w:val="clear" w:color="000000" w:fill="FFFFCC"/>
            <w:vAlign w:val="bottom"/>
          </w:tcPr>
          <w:p w14:paraId="63CDA343" w14:textId="77777777" w:rsidR="008F7DC2" w:rsidRPr="00385F1E" w:rsidRDefault="008F7DC2" w:rsidP="008F7DC2">
            <w:pPr>
              <w:rPr>
                <w:b/>
                <w:bCs/>
                <w:sz w:val="20"/>
                <w:szCs w:val="20"/>
              </w:rPr>
            </w:pPr>
            <w:r w:rsidRPr="00385F1E">
              <w:rPr>
                <w:b/>
                <w:bCs/>
                <w:sz w:val="20"/>
                <w:szCs w:val="20"/>
              </w:rPr>
              <w:t> </w:t>
            </w:r>
          </w:p>
        </w:tc>
        <w:tc>
          <w:tcPr>
            <w:tcW w:w="422" w:type="pct"/>
            <w:tcBorders>
              <w:top w:val="nil"/>
              <w:left w:val="nil"/>
              <w:bottom w:val="nil"/>
              <w:right w:val="single" w:sz="4" w:space="0" w:color="800000"/>
            </w:tcBorders>
            <w:shd w:val="clear" w:color="000000" w:fill="FFFFCC"/>
            <w:vAlign w:val="bottom"/>
          </w:tcPr>
          <w:p w14:paraId="62FD3CBF" w14:textId="77777777" w:rsidR="008F7DC2" w:rsidRPr="00385F1E" w:rsidRDefault="008F7DC2" w:rsidP="008F7DC2">
            <w:pPr>
              <w:rPr>
                <w:b/>
                <w:bCs/>
                <w:sz w:val="20"/>
                <w:szCs w:val="20"/>
              </w:rPr>
            </w:pPr>
          </w:p>
        </w:tc>
        <w:tc>
          <w:tcPr>
            <w:tcW w:w="344" w:type="pct"/>
            <w:tcBorders>
              <w:top w:val="nil"/>
              <w:left w:val="nil"/>
              <w:bottom w:val="nil"/>
              <w:right w:val="single" w:sz="4" w:space="0" w:color="800000"/>
            </w:tcBorders>
            <w:shd w:val="clear" w:color="000000" w:fill="FFFFCC"/>
            <w:vAlign w:val="bottom"/>
          </w:tcPr>
          <w:p w14:paraId="28104B72" w14:textId="77777777" w:rsidR="008F7DC2" w:rsidRPr="00385F1E" w:rsidRDefault="008F7DC2" w:rsidP="008F7DC2">
            <w:pPr>
              <w:rPr>
                <w:b/>
                <w:bCs/>
                <w:sz w:val="20"/>
                <w:szCs w:val="20"/>
              </w:rPr>
            </w:pPr>
          </w:p>
        </w:tc>
        <w:tc>
          <w:tcPr>
            <w:tcW w:w="481" w:type="pct"/>
            <w:tcBorders>
              <w:top w:val="nil"/>
              <w:left w:val="nil"/>
              <w:bottom w:val="nil"/>
              <w:right w:val="single" w:sz="4" w:space="0" w:color="800000"/>
            </w:tcBorders>
            <w:shd w:val="clear" w:color="000000" w:fill="FFFFCC"/>
            <w:vAlign w:val="center"/>
          </w:tcPr>
          <w:p w14:paraId="142B2903" w14:textId="1F8A2CC1" w:rsidR="008F7DC2" w:rsidRPr="00385F1E" w:rsidRDefault="008F7DC2" w:rsidP="008F7DC2">
            <w:pPr>
              <w:rPr>
                <w:b/>
                <w:bCs/>
                <w:sz w:val="20"/>
                <w:szCs w:val="20"/>
              </w:rPr>
            </w:pPr>
            <w:r>
              <w:rPr>
                <w:b/>
                <w:bCs/>
                <w:sz w:val="20"/>
                <w:szCs w:val="20"/>
              </w:rPr>
              <w:t> </w:t>
            </w:r>
          </w:p>
        </w:tc>
        <w:tc>
          <w:tcPr>
            <w:tcW w:w="353" w:type="pct"/>
            <w:tcBorders>
              <w:top w:val="nil"/>
              <w:left w:val="nil"/>
              <w:bottom w:val="nil"/>
              <w:right w:val="single" w:sz="4" w:space="0" w:color="800000"/>
            </w:tcBorders>
            <w:shd w:val="clear" w:color="000000" w:fill="FFFFCC"/>
            <w:vAlign w:val="bottom"/>
          </w:tcPr>
          <w:p w14:paraId="56D10E56" w14:textId="77777777" w:rsidR="008F7DC2" w:rsidRPr="00385F1E" w:rsidRDefault="008F7DC2" w:rsidP="008F7DC2">
            <w:pPr>
              <w:rPr>
                <w:b/>
                <w:bCs/>
                <w:sz w:val="20"/>
                <w:szCs w:val="20"/>
              </w:rPr>
            </w:pPr>
          </w:p>
        </w:tc>
        <w:tc>
          <w:tcPr>
            <w:tcW w:w="633" w:type="pct"/>
            <w:vMerge/>
            <w:tcBorders>
              <w:left w:val="nil"/>
              <w:right w:val="single" w:sz="4" w:space="0" w:color="800000"/>
            </w:tcBorders>
            <w:shd w:val="clear" w:color="000000" w:fill="FFFFCC"/>
          </w:tcPr>
          <w:p w14:paraId="2D1FE690" w14:textId="77777777" w:rsidR="008F7DC2" w:rsidRPr="00385F1E" w:rsidRDefault="008F7DC2" w:rsidP="008F7DC2">
            <w:pPr>
              <w:rPr>
                <w:b/>
                <w:bCs/>
                <w:sz w:val="20"/>
                <w:szCs w:val="20"/>
              </w:rPr>
            </w:pPr>
          </w:p>
        </w:tc>
        <w:tc>
          <w:tcPr>
            <w:tcW w:w="431" w:type="pct"/>
            <w:vMerge/>
            <w:tcBorders>
              <w:left w:val="nil"/>
              <w:right w:val="single" w:sz="4" w:space="0" w:color="800000"/>
            </w:tcBorders>
            <w:shd w:val="clear" w:color="000000" w:fill="FFFFCC"/>
          </w:tcPr>
          <w:p w14:paraId="3BDCFCAD" w14:textId="77777777" w:rsidR="008F7DC2" w:rsidRPr="00385F1E" w:rsidRDefault="008F7DC2" w:rsidP="008F7DC2">
            <w:pPr>
              <w:rPr>
                <w:b/>
                <w:bCs/>
                <w:sz w:val="20"/>
                <w:szCs w:val="20"/>
              </w:rPr>
            </w:pPr>
          </w:p>
        </w:tc>
      </w:tr>
      <w:tr w:rsidR="008F7DC2" w:rsidRPr="00385F1E" w14:paraId="62FDAFA4" w14:textId="77777777" w:rsidTr="008F7DC2">
        <w:trPr>
          <w:trHeight w:val="264"/>
          <w:jc w:val="center"/>
        </w:trPr>
        <w:tc>
          <w:tcPr>
            <w:tcW w:w="1537" w:type="pct"/>
            <w:tcBorders>
              <w:top w:val="nil"/>
              <w:left w:val="double" w:sz="6" w:space="0" w:color="800000"/>
              <w:bottom w:val="nil"/>
              <w:right w:val="single" w:sz="4" w:space="0" w:color="800000"/>
            </w:tcBorders>
            <w:shd w:val="clear" w:color="000000" w:fill="FFFFCC"/>
            <w:hideMark/>
          </w:tcPr>
          <w:p w14:paraId="648537BA" w14:textId="77777777" w:rsidR="008F7DC2" w:rsidRPr="00385F1E" w:rsidRDefault="008F7DC2" w:rsidP="008F7DC2">
            <w:pPr>
              <w:rPr>
                <w:b/>
                <w:bCs/>
                <w:sz w:val="20"/>
                <w:szCs w:val="20"/>
              </w:rPr>
            </w:pPr>
            <w:r w:rsidRPr="00385F1E">
              <w:rPr>
                <w:b/>
                <w:bCs/>
                <w:sz w:val="20"/>
                <w:szCs w:val="20"/>
              </w:rPr>
              <w:t>Общо нелихвени разходи</w:t>
            </w:r>
          </w:p>
        </w:tc>
        <w:tc>
          <w:tcPr>
            <w:tcW w:w="455" w:type="pct"/>
            <w:tcBorders>
              <w:top w:val="nil"/>
              <w:left w:val="nil"/>
              <w:bottom w:val="nil"/>
              <w:right w:val="single" w:sz="4" w:space="0" w:color="800000"/>
            </w:tcBorders>
            <w:shd w:val="clear" w:color="000000" w:fill="FFFFCC"/>
            <w:vAlign w:val="center"/>
          </w:tcPr>
          <w:p w14:paraId="65B7D1C7" w14:textId="77777777" w:rsidR="008F7DC2" w:rsidRPr="00385F1E" w:rsidRDefault="008F7DC2" w:rsidP="008F7DC2">
            <w:pPr>
              <w:jc w:val="right"/>
              <w:rPr>
                <w:b/>
                <w:bCs/>
                <w:sz w:val="20"/>
                <w:szCs w:val="20"/>
              </w:rPr>
            </w:pPr>
            <w:r w:rsidRPr="00385F1E">
              <w:rPr>
                <w:b/>
                <w:bCs/>
                <w:sz w:val="20"/>
                <w:szCs w:val="20"/>
              </w:rPr>
              <w:t>45 931,1</w:t>
            </w:r>
          </w:p>
        </w:tc>
        <w:tc>
          <w:tcPr>
            <w:tcW w:w="344" w:type="pct"/>
            <w:tcBorders>
              <w:top w:val="nil"/>
              <w:left w:val="nil"/>
              <w:bottom w:val="nil"/>
              <w:right w:val="single" w:sz="4" w:space="0" w:color="800000"/>
            </w:tcBorders>
            <w:shd w:val="clear" w:color="000000" w:fill="FFFFCC"/>
            <w:vAlign w:val="bottom"/>
          </w:tcPr>
          <w:p w14:paraId="57F7BF1F" w14:textId="77777777" w:rsidR="008F7DC2" w:rsidRPr="00385F1E" w:rsidRDefault="008F7DC2" w:rsidP="008F7DC2">
            <w:pPr>
              <w:jc w:val="right"/>
              <w:rPr>
                <w:b/>
                <w:bCs/>
                <w:sz w:val="20"/>
                <w:szCs w:val="20"/>
              </w:rPr>
            </w:pPr>
            <w:r w:rsidRPr="00A61DD3">
              <w:rPr>
                <w:b/>
                <w:bCs/>
                <w:sz w:val="20"/>
                <w:szCs w:val="20"/>
              </w:rPr>
              <w:t>38,1</w:t>
            </w:r>
            <w:r w:rsidRPr="00385F1E">
              <w:rPr>
                <w:b/>
                <w:bCs/>
                <w:sz w:val="20"/>
                <w:szCs w:val="20"/>
              </w:rPr>
              <w:t>%</w:t>
            </w:r>
          </w:p>
        </w:tc>
        <w:tc>
          <w:tcPr>
            <w:tcW w:w="422" w:type="pct"/>
            <w:tcBorders>
              <w:top w:val="nil"/>
              <w:left w:val="nil"/>
              <w:bottom w:val="nil"/>
              <w:right w:val="single" w:sz="4" w:space="0" w:color="800000"/>
            </w:tcBorders>
            <w:shd w:val="clear" w:color="000000" w:fill="FFFFCC"/>
            <w:vAlign w:val="center"/>
          </w:tcPr>
          <w:p w14:paraId="566BDD74" w14:textId="77777777" w:rsidR="008F7DC2" w:rsidRPr="00385F1E" w:rsidRDefault="008F7DC2" w:rsidP="008F7DC2">
            <w:pPr>
              <w:jc w:val="right"/>
              <w:rPr>
                <w:b/>
                <w:bCs/>
                <w:sz w:val="20"/>
                <w:szCs w:val="20"/>
              </w:rPr>
            </w:pPr>
            <w:r w:rsidRPr="00385F1E">
              <w:rPr>
                <w:b/>
                <w:bCs/>
                <w:sz w:val="20"/>
                <w:szCs w:val="20"/>
              </w:rPr>
              <w:t>53 943,7</w:t>
            </w:r>
          </w:p>
        </w:tc>
        <w:tc>
          <w:tcPr>
            <w:tcW w:w="344" w:type="pct"/>
            <w:tcBorders>
              <w:top w:val="nil"/>
              <w:left w:val="nil"/>
              <w:bottom w:val="nil"/>
              <w:right w:val="single" w:sz="4" w:space="0" w:color="800000"/>
            </w:tcBorders>
            <w:shd w:val="clear" w:color="000000" w:fill="FFFFCC"/>
            <w:vAlign w:val="bottom"/>
          </w:tcPr>
          <w:p w14:paraId="031B9924" w14:textId="77777777" w:rsidR="008F7DC2" w:rsidRPr="00385F1E" w:rsidRDefault="008F7DC2" w:rsidP="008F7DC2">
            <w:pPr>
              <w:jc w:val="right"/>
              <w:rPr>
                <w:b/>
                <w:bCs/>
                <w:sz w:val="20"/>
                <w:szCs w:val="20"/>
              </w:rPr>
            </w:pPr>
            <w:r w:rsidRPr="00A61DD3">
              <w:rPr>
                <w:b/>
                <w:bCs/>
                <w:sz w:val="20"/>
                <w:szCs w:val="20"/>
              </w:rPr>
              <w:t>38</w:t>
            </w:r>
            <w:r w:rsidRPr="00385F1E">
              <w:rPr>
                <w:b/>
                <w:bCs/>
                <w:sz w:val="20"/>
                <w:szCs w:val="20"/>
              </w:rPr>
              <w:t>,</w:t>
            </w:r>
            <w:r w:rsidRPr="00A61DD3">
              <w:rPr>
                <w:b/>
                <w:bCs/>
                <w:sz w:val="20"/>
                <w:szCs w:val="20"/>
              </w:rPr>
              <w:t>8</w:t>
            </w:r>
            <w:r w:rsidRPr="00385F1E">
              <w:rPr>
                <w:b/>
                <w:bCs/>
                <w:sz w:val="20"/>
                <w:szCs w:val="20"/>
              </w:rPr>
              <w:t>%</w:t>
            </w:r>
          </w:p>
        </w:tc>
        <w:tc>
          <w:tcPr>
            <w:tcW w:w="481" w:type="pct"/>
            <w:tcBorders>
              <w:top w:val="nil"/>
              <w:left w:val="nil"/>
              <w:bottom w:val="nil"/>
              <w:right w:val="single" w:sz="4" w:space="0" w:color="800000"/>
            </w:tcBorders>
            <w:shd w:val="clear" w:color="000000" w:fill="FFFFCC"/>
            <w:vAlign w:val="center"/>
          </w:tcPr>
          <w:p w14:paraId="54CEA011" w14:textId="21BE6996" w:rsidR="008F7DC2" w:rsidRPr="00A81650" w:rsidRDefault="008F7DC2" w:rsidP="00A81650">
            <w:pPr>
              <w:jc w:val="right"/>
              <w:rPr>
                <w:b/>
                <w:bCs/>
                <w:sz w:val="20"/>
                <w:szCs w:val="20"/>
                <w:lang w:val="en-US"/>
              </w:rPr>
            </w:pPr>
            <w:r>
              <w:rPr>
                <w:b/>
                <w:bCs/>
                <w:sz w:val="20"/>
                <w:szCs w:val="20"/>
              </w:rPr>
              <w:t>63 755,</w:t>
            </w:r>
            <w:r w:rsidR="00A81650">
              <w:rPr>
                <w:b/>
                <w:bCs/>
                <w:sz w:val="20"/>
                <w:szCs w:val="20"/>
                <w:lang w:val="en-US"/>
              </w:rPr>
              <w:t>5</w:t>
            </w:r>
          </w:p>
        </w:tc>
        <w:tc>
          <w:tcPr>
            <w:tcW w:w="353" w:type="pct"/>
            <w:tcBorders>
              <w:top w:val="nil"/>
              <w:left w:val="nil"/>
              <w:bottom w:val="nil"/>
              <w:right w:val="single" w:sz="4" w:space="0" w:color="800000"/>
            </w:tcBorders>
            <w:shd w:val="clear" w:color="000000" w:fill="FFFFCC"/>
            <w:vAlign w:val="bottom"/>
          </w:tcPr>
          <w:p w14:paraId="15DF898B" w14:textId="77777777" w:rsidR="008F7DC2" w:rsidRPr="00385F1E" w:rsidRDefault="008F7DC2" w:rsidP="008F7DC2">
            <w:pPr>
              <w:jc w:val="right"/>
              <w:rPr>
                <w:b/>
                <w:bCs/>
                <w:sz w:val="20"/>
                <w:szCs w:val="20"/>
              </w:rPr>
            </w:pPr>
            <w:r w:rsidRPr="00A61DD3">
              <w:rPr>
                <w:b/>
                <w:bCs/>
                <w:sz w:val="20"/>
                <w:szCs w:val="20"/>
              </w:rPr>
              <w:t>38,6%</w:t>
            </w:r>
          </w:p>
        </w:tc>
        <w:tc>
          <w:tcPr>
            <w:tcW w:w="633" w:type="pct"/>
            <w:vMerge/>
            <w:tcBorders>
              <w:left w:val="nil"/>
              <w:right w:val="single" w:sz="4" w:space="0" w:color="800000"/>
            </w:tcBorders>
            <w:shd w:val="clear" w:color="000000" w:fill="FFFFCC"/>
          </w:tcPr>
          <w:p w14:paraId="3BAC4A0D" w14:textId="77777777" w:rsidR="008F7DC2" w:rsidRPr="00A61DD3" w:rsidRDefault="008F7DC2" w:rsidP="008F7DC2">
            <w:pPr>
              <w:jc w:val="right"/>
              <w:rPr>
                <w:b/>
                <w:bCs/>
                <w:sz w:val="20"/>
                <w:szCs w:val="20"/>
              </w:rPr>
            </w:pPr>
          </w:p>
        </w:tc>
        <w:tc>
          <w:tcPr>
            <w:tcW w:w="431" w:type="pct"/>
            <w:vMerge/>
            <w:tcBorders>
              <w:left w:val="nil"/>
              <w:right w:val="single" w:sz="4" w:space="0" w:color="800000"/>
            </w:tcBorders>
            <w:shd w:val="clear" w:color="000000" w:fill="FFFFCC"/>
          </w:tcPr>
          <w:p w14:paraId="5BA1A32C" w14:textId="77777777" w:rsidR="008F7DC2" w:rsidRPr="00A61DD3" w:rsidRDefault="008F7DC2" w:rsidP="008F7DC2">
            <w:pPr>
              <w:jc w:val="right"/>
              <w:rPr>
                <w:b/>
                <w:bCs/>
                <w:sz w:val="20"/>
                <w:szCs w:val="20"/>
              </w:rPr>
            </w:pPr>
          </w:p>
        </w:tc>
      </w:tr>
      <w:tr w:rsidR="008F7DC2" w:rsidRPr="00385F1E" w14:paraId="3F7675F0" w14:textId="77777777" w:rsidTr="008F7DC2">
        <w:trPr>
          <w:trHeight w:val="105"/>
          <w:jc w:val="center"/>
        </w:trPr>
        <w:tc>
          <w:tcPr>
            <w:tcW w:w="1537" w:type="pct"/>
            <w:tcBorders>
              <w:top w:val="nil"/>
              <w:left w:val="double" w:sz="6" w:space="0" w:color="800000"/>
              <w:bottom w:val="nil"/>
              <w:right w:val="single" w:sz="4" w:space="0" w:color="800000"/>
            </w:tcBorders>
            <w:shd w:val="clear" w:color="000000" w:fill="FFFFCC"/>
            <w:hideMark/>
          </w:tcPr>
          <w:p w14:paraId="39480C8E" w14:textId="77777777" w:rsidR="008F7DC2" w:rsidRPr="00385F1E" w:rsidRDefault="008F7DC2" w:rsidP="008F7DC2">
            <w:pPr>
              <w:rPr>
                <w:bCs/>
                <w:sz w:val="4"/>
                <w:szCs w:val="4"/>
              </w:rPr>
            </w:pPr>
            <w:r w:rsidRPr="00385F1E">
              <w:rPr>
                <w:bCs/>
                <w:sz w:val="4"/>
                <w:szCs w:val="4"/>
              </w:rPr>
              <w:t xml:space="preserve">      </w:t>
            </w:r>
          </w:p>
        </w:tc>
        <w:tc>
          <w:tcPr>
            <w:tcW w:w="455" w:type="pct"/>
            <w:tcBorders>
              <w:top w:val="nil"/>
              <w:left w:val="nil"/>
              <w:bottom w:val="nil"/>
              <w:right w:val="single" w:sz="4" w:space="0" w:color="800000"/>
            </w:tcBorders>
            <w:shd w:val="clear" w:color="000000" w:fill="FFFFCC"/>
            <w:vAlign w:val="bottom"/>
          </w:tcPr>
          <w:p w14:paraId="1C168598" w14:textId="77777777" w:rsidR="008F7DC2" w:rsidRPr="00385F1E" w:rsidRDefault="008F7DC2" w:rsidP="008F7DC2">
            <w:pPr>
              <w:rPr>
                <w:bCs/>
                <w:sz w:val="20"/>
                <w:szCs w:val="20"/>
              </w:rPr>
            </w:pPr>
            <w:r w:rsidRPr="00385F1E">
              <w:rPr>
                <w:bCs/>
                <w:sz w:val="20"/>
                <w:szCs w:val="20"/>
              </w:rPr>
              <w:t> </w:t>
            </w:r>
          </w:p>
        </w:tc>
        <w:tc>
          <w:tcPr>
            <w:tcW w:w="344" w:type="pct"/>
            <w:tcBorders>
              <w:top w:val="nil"/>
              <w:left w:val="nil"/>
              <w:bottom w:val="nil"/>
              <w:right w:val="single" w:sz="4" w:space="0" w:color="800000"/>
            </w:tcBorders>
            <w:shd w:val="clear" w:color="000000" w:fill="FFFFCC"/>
            <w:vAlign w:val="bottom"/>
          </w:tcPr>
          <w:p w14:paraId="270FE22D" w14:textId="77777777" w:rsidR="008F7DC2" w:rsidRPr="00385F1E" w:rsidRDefault="008F7DC2" w:rsidP="008F7DC2">
            <w:pPr>
              <w:rPr>
                <w:bCs/>
                <w:sz w:val="20"/>
                <w:szCs w:val="20"/>
              </w:rPr>
            </w:pPr>
            <w:r w:rsidRPr="00385F1E">
              <w:rPr>
                <w:bCs/>
                <w:sz w:val="20"/>
                <w:szCs w:val="20"/>
              </w:rPr>
              <w:t> </w:t>
            </w:r>
          </w:p>
        </w:tc>
        <w:tc>
          <w:tcPr>
            <w:tcW w:w="422" w:type="pct"/>
            <w:tcBorders>
              <w:top w:val="nil"/>
              <w:left w:val="nil"/>
              <w:bottom w:val="nil"/>
              <w:right w:val="single" w:sz="4" w:space="0" w:color="800000"/>
            </w:tcBorders>
            <w:shd w:val="clear" w:color="000000" w:fill="FFFFCC"/>
            <w:vAlign w:val="bottom"/>
          </w:tcPr>
          <w:p w14:paraId="2764968A" w14:textId="77777777" w:rsidR="008F7DC2" w:rsidRPr="00385F1E" w:rsidRDefault="008F7DC2" w:rsidP="008F7DC2">
            <w:pPr>
              <w:rPr>
                <w:bCs/>
                <w:sz w:val="20"/>
                <w:szCs w:val="20"/>
              </w:rPr>
            </w:pPr>
          </w:p>
        </w:tc>
        <w:tc>
          <w:tcPr>
            <w:tcW w:w="344" w:type="pct"/>
            <w:tcBorders>
              <w:top w:val="nil"/>
              <w:left w:val="nil"/>
              <w:bottom w:val="nil"/>
              <w:right w:val="single" w:sz="4" w:space="0" w:color="800000"/>
            </w:tcBorders>
            <w:shd w:val="clear" w:color="000000" w:fill="FFFFCC"/>
            <w:vAlign w:val="bottom"/>
          </w:tcPr>
          <w:p w14:paraId="58EFFCD4" w14:textId="77777777" w:rsidR="008F7DC2" w:rsidRPr="00385F1E" w:rsidRDefault="008F7DC2" w:rsidP="008F7DC2">
            <w:pPr>
              <w:rPr>
                <w:bCs/>
                <w:sz w:val="20"/>
                <w:szCs w:val="20"/>
              </w:rPr>
            </w:pPr>
          </w:p>
        </w:tc>
        <w:tc>
          <w:tcPr>
            <w:tcW w:w="481" w:type="pct"/>
            <w:tcBorders>
              <w:top w:val="nil"/>
              <w:left w:val="nil"/>
              <w:bottom w:val="nil"/>
              <w:right w:val="single" w:sz="4" w:space="0" w:color="800000"/>
            </w:tcBorders>
            <w:shd w:val="clear" w:color="000000" w:fill="FFFFCC"/>
            <w:vAlign w:val="center"/>
          </w:tcPr>
          <w:p w14:paraId="09C342E9" w14:textId="4C0A17BB" w:rsidR="008F7DC2" w:rsidRPr="00385F1E" w:rsidRDefault="008F7DC2" w:rsidP="008F7DC2">
            <w:pPr>
              <w:rPr>
                <w:bCs/>
                <w:sz w:val="20"/>
                <w:szCs w:val="20"/>
              </w:rPr>
            </w:pPr>
            <w:r>
              <w:rPr>
                <w:b/>
                <w:bCs/>
                <w:sz w:val="20"/>
                <w:szCs w:val="20"/>
              </w:rPr>
              <w:t> </w:t>
            </w:r>
          </w:p>
        </w:tc>
        <w:tc>
          <w:tcPr>
            <w:tcW w:w="353" w:type="pct"/>
            <w:tcBorders>
              <w:top w:val="nil"/>
              <w:left w:val="nil"/>
              <w:bottom w:val="nil"/>
              <w:right w:val="single" w:sz="4" w:space="0" w:color="800000"/>
            </w:tcBorders>
            <w:shd w:val="clear" w:color="000000" w:fill="FFFFCC"/>
            <w:vAlign w:val="bottom"/>
          </w:tcPr>
          <w:p w14:paraId="22EA9BB8" w14:textId="77777777" w:rsidR="008F7DC2" w:rsidRPr="00385F1E" w:rsidRDefault="008F7DC2" w:rsidP="008F7DC2">
            <w:pPr>
              <w:rPr>
                <w:bCs/>
                <w:sz w:val="20"/>
                <w:szCs w:val="20"/>
              </w:rPr>
            </w:pPr>
          </w:p>
        </w:tc>
        <w:tc>
          <w:tcPr>
            <w:tcW w:w="633" w:type="pct"/>
            <w:vMerge/>
            <w:tcBorders>
              <w:left w:val="nil"/>
              <w:right w:val="single" w:sz="4" w:space="0" w:color="800000"/>
            </w:tcBorders>
            <w:shd w:val="clear" w:color="000000" w:fill="FFFFCC"/>
          </w:tcPr>
          <w:p w14:paraId="1D64A8BA" w14:textId="77777777" w:rsidR="008F7DC2" w:rsidRPr="00385F1E" w:rsidRDefault="008F7DC2" w:rsidP="008F7DC2">
            <w:pPr>
              <w:rPr>
                <w:bCs/>
                <w:sz w:val="20"/>
                <w:szCs w:val="20"/>
              </w:rPr>
            </w:pPr>
          </w:p>
        </w:tc>
        <w:tc>
          <w:tcPr>
            <w:tcW w:w="431" w:type="pct"/>
            <w:vMerge/>
            <w:tcBorders>
              <w:left w:val="nil"/>
              <w:right w:val="single" w:sz="4" w:space="0" w:color="800000"/>
            </w:tcBorders>
            <w:shd w:val="clear" w:color="000000" w:fill="FFFFCC"/>
          </w:tcPr>
          <w:p w14:paraId="39A9BAF7" w14:textId="77777777" w:rsidR="008F7DC2" w:rsidRPr="00385F1E" w:rsidRDefault="008F7DC2" w:rsidP="008F7DC2">
            <w:pPr>
              <w:rPr>
                <w:bCs/>
                <w:sz w:val="20"/>
                <w:szCs w:val="20"/>
              </w:rPr>
            </w:pPr>
          </w:p>
        </w:tc>
      </w:tr>
      <w:tr w:rsidR="008F7DC2" w:rsidRPr="00385F1E" w14:paraId="697CB816" w14:textId="77777777" w:rsidTr="008F7DC2">
        <w:trPr>
          <w:trHeight w:val="276"/>
          <w:jc w:val="center"/>
        </w:trPr>
        <w:tc>
          <w:tcPr>
            <w:tcW w:w="1537" w:type="pct"/>
            <w:tcBorders>
              <w:top w:val="nil"/>
              <w:left w:val="double" w:sz="6" w:space="0" w:color="800000"/>
              <w:bottom w:val="nil"/>
              <w:right w:val="single" w:sz="4" w:space="0" w:color="800000"/>
            </w:tcBorders>
            <w:shd w:val="clear" w:color="000000" w:fill="FFFFCC"/>
            <w:hideMark/>
          </w:tcPr>
          <w:p w14:paraId="3E975AB8" w14:textId="77777777" w:rsidR="008F7DC2" w:rsidRPr="00385F1E" w:rsidRDefault="008F7DC2" w:rsidP="008F7DC2">
            <w:pPr>
              <w:rPr>
                <w:bCs/>
                <w:i/>
                <w:iCs/>
                <w:sz w:val="20"/>
                <w:szCs w:val="20"/>
              </w:rPr>
            </w:pPr>
            <w:r w:rsidRPr="00385F1E">
              <w:rPr>
                <w:bCs/>
                <w:i/>
                <w:iCs/>
                <w:sz w:val="20"/>
                <w:szCs w:val="20"/>
              </w:rPr>
              <w:t>Текущи нелихвени разходи</w:t>
            </w:r>
          </w:p>
        </w:tc>
        <w:tc>
          <w:tcPr>
            <w:tcW w:w="455" w:type="pct"/>
            <w:tcBorders>
              <w:top w:val="nil"/>
              <w:left w:val="single" w:sz="4" w:space="0" w:color="800000"/>
              <w:bottom w:val="nil"/>
              <w:right w:val="single" w:sz="4" w:space="0" w:color="800000"/>
            </w:tcBorders>
            <w:shd w:val="clear" w:color="000000" w:fill="FFFFCC"/>
            <w:vAlign w:val="center"/>
          </w:tcPr>
          <w:p w14:paraId="4F801936" w14:textId="77777777" w:rsidR="008F7DC2" w:rsidRPr="00385F1E" w:rsidRDefault="008F7DC2" w:rsidP="008F7DC2">
            <w:pPr>
              <w:jc w:val="right"/>
              <w:rPr>
                <w:bCs/>
                <w:i/>
                <w:sz w:val="20"/>
                <w:szCs w:val="20"/>
              </w:rPr>
            </w:pPr>
            <w:r w:rsidRPr="00385F1E">
              <w:rPr>
                <w:bCs/>
                <w:i/>
                <w:sz w:val="20"/>
                <w:szCs w:val="20"/>
              </w:rPr>
              <w:t>40 781,6</w:t>
            </w:r>
          </w:p>
        </w:tc>
        <w:tc>
          <w:tcPr>
            <w:tcW w:w="344" w:type="pct"/>
            <w:tcBorders>
              <w:top w:val="nil"/>
              <w:left w:val="nil"/>
              <w:bottom w:val="nil"/>
              <w:right w:val="single" w:sz="4" w:space="0" w:color="800000"/>
            </w:tcBorders>
            <w:shd w:val="clear" w:color="000000" w:fill="FFFFCC"/>
            <w:vAlign w:val="bottom"/>
          </w:tcPr>
          <w:p w14:paraId="00541AB1" w14:textId="77777777" w:rsidR="008F7DC2" w:rsidRPr="00385F1E" w:rsidRDefault="008F7DC2" w:rsidP="008F7DC2">
            <w:pPr>
              <w:jc w:val="right"/>
              <w:rPr>
                <w:bCs/>
                <w:i/>
                <w:sz w:val="20"/>
                <w:szCs w:val="20"/>
              </w:rPr>
            </w:pPr>
            <w:r w:rsidRPr="00A61DD3">
              <w:rPr>
                <w:bCs/>
                <w:i/>
                <w:sz w:val="20"/>
                <w:szCs w:val="20"/>
              </w:rPr>
              <w:t>33,8</w:t>
            </w:r>
            <w:r w:rsidRPr="00385F1E">
              <w:rPr>
                <w:bCs/>
                <w:i/>
                <w:sz w:val="20"/>
                <w:szCs w:val="20"/>
              </w:rPr>
              <w:t>%</w:t>
            </w:r>
          </w:p>
        </w:tc>
        <w:tc>
          <w:tcPr>
            <w:tcW w:w="422" w:type="pct"/>
            <w:tcBorders>
              <w:top w:val="nil"/>
              <w:left w:val="single" w:sz="4" w:space="0" w:color="800000"/>
              <w:bottom w:val="nil"/>
              <w:right w:val="single" w:sz="4" w:space="0" w:color="800000"/>
            </w:tcBorders>
            <w:shd w:val="clear" w:color="000000" w:fill="FFFFCC"/>
            <w:vAlign w:val="center"/>
          </w:tcPr>
          <w:p w14:paraId="3590A542" w14:textId="77777777" w:rsidR="008F7DC2" w:rsidRPr="00385F1E" w:rsidRDefault="008F7DC2" w:rsidP="008F7DC2">
            <w:pPr>
              <w:jc w:val="right"/>
              <w:rPr>
                <w:bCs/>
                <w:sz w:val="20"/>
                <w:szCs w:val="20"/>
              </w:rPr>
            </w:pPr>
            <w:r w:rsidRPr="00385F1E">
              <w:rPr>
                <w:bCs/>
                <w:sz w:val="20"/>
                <w:szCs w:val="20"/>
              </w:rPr>
              <w:t>50 025,5</w:t>
            </w:r>
          </w:p>
        </w:tc>
        <w:tc>
          <w:tcPr>
            <w:tcW w:w="344" w:type="pct"/>
            <w:tcBorders>
              <w:top w:val="nil"/>
              <w:left w:val="nil"/>
              <w:bottom w:val="nil"/>
              <w:right w:val="single" w:sz="4" w:space="0" w:color="800000"/>
            </w:tcBorders>
            <w:shd w:val="clear" w:color="000000" w:fill="FFFFCC"/>
            <w:vAlign w:val="bottom"/>
          </w:tcPr>
          <w:p w14:paraId="0920AE39" w14:textId="77777777" w:rsidR="008F7DC2" w:rsidRPr="00385F1E" w:rsidRDefault="008F7DC2" w:rsidP="008F7DC2">
            <w:pPr>
              <w:jc w:val="right"/>
              <w:rPr>
                <w:bCs/>
                <w:i/>
                <w:sz w:val="20"/>
                <w:szCs w:val="20"/>
              </w:rPr>
            </w:pPr>
            <w:r w:rsidRPr="00A61DD3">
              <w:rPr>
                <w:bCs/>
                <w:i/>
                <w:sz w:val="20"/>
                <w:szCs w:val="20"/>
              </w:rPr>
              <w:t>36,0</w:t>
            </w:r>
            <w:r w:rsidRPr="00385F1E">
              <w:rPr>
                <w:bCs/>
                <w:i/>
                <w:sz w:val="20"/>
                <w:szCs w:val="20"/>
              </w:rPr>
              <w:t>%</w:t>
            </w:r>
          </w:p>
        </w:tc>
        <w:tc>
          <w:tcPr>
            <w:tcW w:w="481" w:type="pct"/>
            <w:tcBorders>
              <w:top w:val="nil"/>
              <w:left w:val="single" w:sz="4" w:space="0" w:color="800000"/>
              <w:bottom w:val="nil"/>
              <w:right w:val="single" w:sz="4" w:space="0" w:color="800000"/>
            </w:tcBorders>
            <w:shd w:val="clear" w:color="000000" w:fill="FFFFCC"/>
            <w:vAlign w:val="center"/>
          </w:tcPr>
          <w:p w14:paraId="45C86905" w14:textId="58BFBE37" w:rsidR="008F7DC2" w:rsidRPr="00385F1E" w:rsidRDefault="008F7DC2" w:rsidP="008F7DC2">
            <w:pPr>
              <w:jc w:val="right"/>
              <w:rPr>
                <w:bCs/>
                <w:i/>
                <w:sz w:val="20"/>
                <w:szCs w:val="20"/>
              </w:rPr>
            </w:pPr>
            <w:r>
              <w:rPr>
                <w:sz w:val="20"/>
                <w:szCs w:val="20"/>
              </w:rPr>
              <w:t>58 001,5</w:t>
            </w:r>
          </w:p>
        </w:tc>
        <w:tc>
          <w:tcPr>
            <w:tcW w:w="353" w:type="pct"/>
            <w:tcBorders>
              <w:top w:val="nil"/>
              <w:left w:val="nil"/>
              <w:bottom w:val="nil"/>
              <w:right w:val="single" w:sz="4" w:space="0" w:color="800000"/>
            </w:tcBorders>
            <w:shd w:val="clear" w:color="000000" w:fill="FFFFCC"/>
            <w:vAlign w:val="bottom"/>
          </w:tcPr>
          <w:p w14:paraId="3471B404" w14:textId="77777777" w:rsidR="008F7DC2" w:rsidRPr="00385F1E" w:rsidRDefault="008F7DC2" w:rsidP="008F7DC2">
            <w:pPr>
              <w:jc w:val="right"/>
              <w:rPr>
                <w:bCs/>
                <w:i/>
                <w:sz w:val="20"/>
                <w:szCs w:val="20"/>
              </w:rPr>
            </w:pPr>
            <w:r w:rsidRPr="00A61DD3">
              <w:rPr>
                <w:bCs/>
                <w:i/>
                <w:sz w:val="20"/>
                <w:szCs w:val="20"/>
              </w:rPr>
              <w:t>35,1%</w:t>
            </w:r>
          </w:p>
        </w:tc>
        <w:tc>
          <w:tcPr>
            <w:tcW w:w="633" w:type="pct"/>
            <w:vMerge/>
            <w:tcBorders>
              <w:left w:val="nil"/>
              <w:right w:val="single" w:sz="4" w:space="0" w:color="800000"/>
            </w:tcBorders>
            <w:shd w:val="clear" w:color="000000" w:fill="FFFFCC"/>
          </w:tcPr>
          <w:p w14:paraId="0913D712" w14:textId="77777777" w:rsidR="008F7DC2" w:rsidRPr="00A61DD3" w:rsidRDefault="008F7DC2" w:rsidP="008F7DC2">
            <w:pPr>
              <w:jc w:val="right"/>
              <w:rPr>
                <w:bCs/>
                <w:i/>
                <w:sz w:val="20"/>
                <w:szCs w:val="20"/>
              </w:rPr>
            </w:pPr>
          </w:p>
        </w:tc>
        <w:tc>
          <w:tcPr>
            <w:tcW w:w="431" w:type="pct"/>
            <w:vMerge/>
            <w:tcBorders>
              <w:left w:val="nil"/>
              <w:right w:val="single" w:sz="4" w:space="0" w:color="800000"/>
            </w:tcBorders>
            <w:shd w:val="clear" w:color="000000" w:fill="FFFFCC"/>
          </w:tcPr>
          <w:p w14:paraId="592E8A4E" w14:textId="77777777" w:rsidR="008F7DC2" w:rsidRPr="00A61DD3" w:rsidRDefault="008F7DC2" w:rsidP="008F7DC2">
            <w:pPr>
              <w:jc w:val="right"/>
              <w:rPr>
                <w:bCs/>
                <w:i/>
                <w:sz w:val="20"/>
                <w:szCs w:val="20"/>
              </w:rPr>
            </w:pPr>
          </w:p>
        </w:tc>
      </w:tr>
      <w:tr w:rsidR="008F7DC2" w:rsidRPr="00385F1E" w14:paraId="36D0E845" w14:textId="77777777" w:rsidTr="008F7DC2">
        <w:trPr>
          <w:trHeight w:val="270"/>
          <w:jc w:val="center"/>
        </w:trPr>
        <w:tc>
          <w:tcPr>
            <w:tcW w:w="1537" w:type="pct"/>
            <w:tcBorders>
              <w:top w:val="nil"/>
              <w:left w:val="double" w:sz="6" w:space="0" w:color="800000"/>
              <w:bottom w:val="nil"/>
              <w:right w:val="single" w:sz="4" w:space="0" w:color="800000"/>
            </w:tcBorders>
            <w:shd w:val="clear" w:color="000000" w:fill="FFFFCC"/>
            <w:hideMark/>
          </w:tcPr>
          <w:p w14:paraId="70AF1774" w14:textId="77777777" w:rsidR="008F7DC2" w:rsidRPr="00385F1E" w:rsidRDefault="008F7DC2" w:rsidP="008F7DC2">
            <w:pPr>
              <w:rPr>
                <w:sz w:val="20"/>
                <w:szCs w:val="20"/>
              </w:rPr>
            </w:pPr>
            <w:r w:rsidRPr="00385F1E">
              <w:rPr>
                <w:sz w:val="20"/>
                <w:szCs w:val="20"/>
              </w:rPr>
              <w:t xml:space="preserve">    Разходи за персонал</w:t>
            </w:r>
          </w:p>
        </w:tc>
        <w:tc>
          <w:tcPr>
            <w:tcW w:w="455" w:type="pct"/>
            <w:tcBorders>
              <w:top w:val="nil"/>
              <w:left w:val="nil"/>
              <w:bottom w:val="nil"/>
              <w:right w:val="single" w:sz="4" w:space="0" w:color="800000"/>
            </w:tcBorders>
            <w:shd w:val="clear" w:color="000000" w:fill="FFFFCC"/>
            <w:vAlign w:val="bottom"/>
          </w:tcPr>
          <w:p w14:paraId="0823B9D3" w14:textId="77777777" w:rsidR="008F7DC2" w:rsidRPr="00385F1E" w:rsidRDefault="008F7DC2" w:rsidP="008F7DC2">
            <w:pPr>
              <w:jc w:val="right"/>
              <w:rPr>
                <w:iCs/>
                <w:sz w:val="20"/>
                <w:szCs w:val="20"/>
              </w:rPr>
            </w:pPr>
            <w:r w:rsidRPr="00385F1E">
              <w:rPr>
                <w:iCs/>
                <w:sz w:val="20"/>
                <w:szCs w:val="20"/>
              </w:rPr>
              <w:t>11 371,3</w:t>
            </w:r>
          </w:p>
        </w:tc>
        <w:tc>
          <w:tcPr>
            <w:tcW w:w="344" w:type="pct"/>
            <w:tcBorders>
              <w:top w:val="nil"/>
              <w:left w:val="nil"/>
              <w:bottom w:val="nil"/>
              <w:right w:val="single" w:sz="4" w:space="0" w:color="800000"/>
            </w:tcBorders>
            <w:shd w:val="clear" w:color="000000" w:fill="FFFFCC"/>
            <w:vAlign w:val="bottom"/>
          </w:tcPr>
          <w:p w14:paraId="5D9C90B8" w14:textId="77777777" w:rsidR="008F7DC2" w:rsidRPr="00385F1E" w:rsidRDefault="008F7DC2" w:rsidP="008F7DC2">
            <w:pPr>
              <w:jc w:val="right"/>
              <w:rPr>
                <w:iCs/>
                <w:sz w:val="20"/>
                <w:szCs w:val="20"/>
              </w:rPr>
            </w:pPr>
            <w:r w:rsidRPr="00A61DD3">
              <w:rPr>
                <w:iCs/>
                <w:sz w:val="20"/>
                <w:szCs w:val="20"/>
              </w:rPr>
              <w:t>9,4</w:t>
            </w:r>
            <w:r w:rsidRPr="00385F1E">
              <w:rPr>
                <w:iCs/>
                <w:sz w:val="20"/>
                <w:szCs w:val="20"/>
              </w:rPr>
              <w:t>%</w:t>
            </w:r>
          </w:p>
        </w:tc>
        <w:tc>
          <w:tcPr>
            <w:tcW w:w="422" w:type="pct"/>
            <w:tcBorders>
              <w:top w:val="nil"/>
              <w:left w:val="nil"/>
              <w:bottom w:val="nil"/>
              <w:right w:val="single" w:sz="4" w:space="0" w:color="800000"/>
            </w:tcBorders>
            <w:shd w:val="clear" w:color="000000" w:fill="FFFFCC"/>
            <w:vAlign w:val="bottom"/>
          </w:tcPr>
          <w:p w14:paraId="5A68BE1B" w14:textId="77777777" w:rsidR="008F7DC2" w:rsidRPr="00385F1E" w:rsidRDefault="008F7DC2" w:rsidP="008F7DC2">
            <w:pPr>
              <w:jc w:val="right"/>
              <w:rPr>
                <w:iCs/>
                <w:sz w:val="20"/>
                <w:szCs w:val="20"/>
              </w:rPr>
            </w:pPr>
            <w:r w:rsidRPr="00385F1E">
              <w:rPr>
                <w:iCs/>
                <w:sz w:val="20"/>
                <w:szCs w:val="20"/>
              </w:rPr>
              <w:t>13 292,2</w:t>
            </w:r>
          </w:p>
        </w:tc>
        <w:tc>
          <w:tcPr>
            <w:tcW w:w="344" w:type="pct"/>
            <w:tcBorders>
              <w:top w:val="nil"/>
              <w:left w:val="nil"/>
              <w:bottom w:val="nil"/>
              <w:right w:val="single" w:sz="4" w:space="0" w:color="800000"/>
            </w:tcBorders>
            <w:shd w:val="clear" w:color="000000" w:fill="FFFFCC"/>
            <w:vAlign w:val="bottom"/>
          </w:tcPr>
          <w:p w14:paraId="7F51F4C9" w14:textId="77777777" w:rsidR="008F7DC2" w:rsidRPr="00385F1E" w:rsidRDefault="008F7DC2" w:rsidP="008F7DC2">
            <w:pPr>
              <w:jc w:val="right"/>
              <w:rPr>
                <w:iCs/>
                <w:sz w:val="20"/>
                <w:szCs w:val="20"/>
              </w:rPr>
            </w:pPr>
            <w:r w:rsidRPr="00A61DD3">
              <w:rPr>
                <w:iCs/>
                <w:sz w:val="20"/>
                <w:szCs w:val="20"/>
              </w:rPr>
              <w:t>9</w:t>
            </w:r>
            <w:r w:rsidRPr="00385F1E">
              <w:rPr>
                <w:iCs/>
                <w:sz w:val="20"/>
                <w:szCs w:val="20"/>
              </w:rPr>
              <w:t>,</w:t>
            </w:r>
            <w:r w:rsidRPr="00A61DD3">
              <w:rPr>
                <w:iCs/>
                <w:sz w:val="20"/>
                <w:szCs w:val="20"/>
              </w:rPr>
              <w:t>6</w:t>
            </w:r>
            <w:r w:rsidRPr="00385F1E">
              <w:rPr>
                <w:iCs/>
                <w:sz w:val="20"/>
                <w:szCs w:val="20"/>
              </w:rPr>
              <w:t>%</w:t>
            </w:r>
          </w:p>
        </w:tc>
        <w:tc>
          <w:tcPr>
            <w:tcW w:w="481" w:type="pct"/>
            <w:tcBorders>
              <w:top w:val="nil"/>
              <w:left w:val="nil"/>
              <w:bottom w:val="nil"/>
              <w:right w:val="single" w:sz="4" w:space="0" w:color="800000"/>
            </w:tcBorders>
            <w:shd w:val="clear" w:color="000000" w:fill="FFFFCC"/>
            <w:vAlign w:val="center"/>
          </w:tcPr>
          <w:p w14:paraId="0628C134" w14:textId="13CCAA8F" w:rsidR="008F7DC2" w:rsidRPr="00385F1E" w:rsidRDefault="008F7DC2" w:rsidP="008F7DC2">
            <w:pPr>
              <w:jc w:val="right"/>
              <w:rPr>
                <w:iCs/>
                <w:sz w:val="20"/>
                <w:szCs w:val="20"/>
              </w:rPr>
            </w:pPr>
            <w:r>
              <w:rPr>
                <w:sz w:val="20"/>
                <w:szCs w:val="20"/>
              </w:rPr>
              <w:t>14 640,6</w:t>
            </w:r>
          </w:p>
        </w:tc>
        <w:tc>
          <w:tcPr>
            <w:tcW w:w="353" w:type="pct"/>
            <w:tcBorders>
              <w:top w:val="nil"/>
              <w:left w:val="nil"/>
              <w:bottom w:val="nil"/>
              <w:right w:val="single" w:sz="4" w:space="0" w:color="800000"/>
            </w:tcBorders>
            <w:shd w:val="clear" w:color="000000" w:fill="FFFFCC"/>
            <w:vAlign w:val="bottom"/>
          </w:tcPr>
          <w:p w14:paraId="648896DE" w14:textId="77777777" w:rsidR="008F7DC2" w:rsidRPr="00385F1E" w:rsidRDefault="008F7DC2" w:rsidP="008F7DC2">
            <w:pPr>
              <w:jc w:val="right"/>
              <w:rPr>
                <w:iCs/>
                <w:sz w:val="20"/>
                <w:szCs w:val="20"/>
              </w:rPr>
            </w:pPr>
            <w:r w:rsidRPr="00A61DD3">
              <w:rPr>
                <w:iCs/>
                <w:sz w:val="20"/>
                <w:szCs w:val="20"/>
              </w:rPr>
              <w:t>8,9%</w:t>
            </w:r>
          </w:p>
        </w:tc>
        <w:tc>
          <w:tcPr>
            <w:tcW w:w="633" w:type="pct"/>
            <w:vMerge/>
            <w:tcBorders>
              <w:left w:val="nil"/>
              <w:right w:val="single" w:sz="4" w:space="0" w:color="800000"/>
            </w:tcBorders>
            <w:shd w:val="clear" w:color="000000" w:fill="FFFFCC"/>
          </w:tcPr>
          <w:p w14:paraId="6710BE94" w14:textId="77777777" w:rsidR="008F7DC2" w:rsidRPr="00A61DD3" w:rsidRDefault="008F7DC2" w:rsidP="008F7DC2">
            <w:pPr>
              <w:jc w:val="right"/>
              <w:rPr>
                <w:iCs/>
                <w:sz w:val="20"/>
                <w:szCs w:val="20"/>
              </w:rPr>
            </w:pPr>
          </w:p>
        </w:tc>
        <w:tc>
          <w:tcPr>
            <w:tcW w:w="431" w:type="pct"/>
            <w:vMerge/>
            <w:tcBorders>
              <w:left w:val="nil"/>
              <w:right w:val="single" w:sz="4" w:space="0" w:color="800000"/>
            </w:tcBorders>
            <w:shd w:val="clear" w:color="000000" w:fill="FFFFCC"/>
          </w:tcPr>
          <w:p w14:paraId="086C1E3E" w14:textId="77777777" w:rsidR="008F7DC2" w:rsidRPr="00A61DD3" w:rsidRDefault="008F7DC2" w:rsidP="008F7DC2">
            <w:pPr>
              <w:jc w:val="right"/>
              <w:rPr>
                <w:iCs/>
                <w:sz w:val="20"/>
                <w:szCs w:val="20"/>
              </w:rPr>
            </w:pPr>
          </w:p>
        </w:tc>
      </w:tr>
      <w:tr w:rsidR="008F7DC2" w:rsidRPr="00385F1E" w14:paraId="3B2BA030" w14:textId="77777777" w:rsidTr="008F7DC2">
        <w:trPr>
          <w:trHeight w:val="240"/>
          <w:jc w:val="center"/>
        </w:trPr>
        <w:tc>
          <w:tcPr>
            <w:tcW w:w="1537" w:type="pct"/>
            <w:tcBorders>
              <w:top w:val="nil"/>
              <w:left w:val="double" w:sz="6" w:space="0" w:color="800000"/>
              <w:bottom w:val="nil"/>
              <w:right w:val="single" w:sz="4" w:space="0" w:color="800000"/>
            </w:tcBorders>
            <w:shd w:val="clear" w:color="000000" w:fill="FFFFCC"/>
            <w:hideMark/>
          </w:tcPr>
          <w:p w14:paraId="076B7E4E" w14:textId="77777777" w:rsidR="008F7DC2" w:rsidRPr="00385F1E" w:rsidRDefault="008F7DC2" w:rsidP="008F7DC2">
            <w:pPr>
              <w:rPr>
                <w:sz w:val="20"/>
                <w:szCs w:val="20"/>
              </w:rPr>
            </w:pPr>
            <w:r w:rsidRPr="00385F1E">
              <w:rPr>
                <w:sz w:val="20"/>
                <w:szCs w:val="20"/>
              </w:rPr>
              <w:t xml:space="preserve">    Стипендии</w:t>
            </w:r>
          </w:p>
        </w:tc>
        <w:tc>
          <w:tcPr>
            <w:tcW w:w="455" w:type="pct"/>
            <w:tcBorders>
              <w:top w:val="nil"/>
              <w:left w:val="nil"/>
              <w:bottom w:val="nil"/>
              <w:right w:val="single" w:sz="4" w:space="0" w:color="800000"/>
            </w:tcBorders>
            <w:shd w:val="clear" w:color="000000" w:fill="FFFFCC"/>
            <w:vAlign w:val="bottom"/>
          </w:tcPr>
          <w:p w14:paraId="41D924A4" w14:textId="77777777" w:rsidR="008F7DC2" w:rsidRPr="00385F1E" w:rsidRDefault="008F7DC2" w:rsidP="008F7DC2">
            <w:pPr>
              <w:jc w:val="right"/>
              <w:rPr>
                <w:sz w:val="20"/>
                <w:szCs w:val="20"/>
              </w:rPr>
            </w:pPr>
            <w:r w:rsidRPr="00385F1E">
              <w:rPr>
                <w:sz w:val="20"/>
                <w:szCs w:val="20"/>
              </w:rPr>
              <w:t>100,4</w:t>
            </w:r>
          </w:p>
        </w:tc>
        <w:tc>
          <w:tcPr>
            <w:tcW w:w="344" w:type="pct"/>
            <w:tcBorders>
              <w:top w:val="nil"/>
              <w:left w:val="nil"/>
              <w:bottom w:val="nil"/>
              <w:right w:val="single" w:sz="4" w:space="0" w:color="800000"/>
            </w:tcBorders>
            <w:shd w:val="clear" w:color="000000" w:fill="FFFFCC"/>
            <w:vAlign w:val="bottom"/>
          </w:tcPr>
          <w:p w14:paraId="425F8B28" w14:textId="77777777" w:rsidR="008F7DC2" w:rsidRPr="00385F1E" w:rsidRDefault="008F7DC2" w:rsidP="008F7DC2">
            <w:pPr>
              <w:jc w:val="right"/>
              <w:rPr>
                <w:sz w:val="20"/>
                <w:szCs w:val="20"/>
              </w:rPr>
            </w:pPr>
            <w:r w:rsidRPr="00385F1E">
              <w:rPr>
                <w:sz w:val="20"/>
                <w:szCs w:val="20"/>
              </w:rPr>
              <w:t>0,1%</w:t>
            </w:r>
          </w:p>
        </w:tc>
        <w:tc>
          <w:tcPr>
            <w:tcW w:w="422" w:type="pct"/>
            <w:tcBorders>
              <w:top w:val="nil"/>
              <w:left w:val="nil"/>
              <w:bottom w:val="nil"/>
              <w:right w:val="single" w:sz="4" w:space="0" w:color="800000"/>
            </w:tcBorders>
            <w:shd w:val="clear" w:color="000000" w:fill="FFFFCC"/>
            <w:vAlign w:val="bottom"/>
          </w:tcPr>
          <w:p w14:paraId="666A66BB" w14:textId="77777777" w:rsidR="008F7DC2" w:rsidRPr="00385F1E" w:rsidRDefault="008F7DC2" w:rsidP="008F7DC2">
            <w:pPr>
              <w:jc w:val="right"/>
              <w:rPr>
                <w:sz w:val="20"/>
                <w:szCs w:val="20"/>
              </w:rPr>
            </w:pPr>
            <w:r w:rsidRPr="00385F1E">
              <w:rPr>
                <w:sz w:val="20"/>
                <w:szCs w:val="20"/>
              </w:rPr>
              <w:t>116,3</w:t>
            </w:r>
          </w:p>
        </w:tc>
        <w:tc>
          <w:tcPr>
            <w:tcW w:w="344" w:type="pct"/>
            <w:tcBorders>
              <w:top w:val="nil"/>
              <w:left w:val="nil"/>
              <w:bottom w:val="nil"/>
              <w:right w:val="single" w:sz="4" w:space="0" w:color="800000"/>
            </w:tcBorders>
            <w:shd w:val="clear" w:color="000000" w:fill="FFFFCC"/>
            <w:vAlign w:val="bottom"/>
          </w:tcPr>
          <w:p w14:paraId="1AF3EEAD" w14:textId="77777777" w:rsidR="008F7DC2" w:rsidRPr="00385F1E" w:rsidRDefault="008F7DC2" w:rsidP="008F7DC2">
            <w:pPr>
              <w:jc w:val="right"/>
              <w:rPr>
                <w:sz w:val="20"/>
                <w:szCs w:val="20"/>
              </w:rPr>
            </w:pPr>
            <w:r w:rsidRPr="00385F1E">
              <w:rPr>
                <w:sz w:val="20"/>
                <w:szCs w:val="20"/>
              </w:rPr>
              <w:t>0,1%</w:t>
            </w:r>
          </w:p>
        </w:tc>
        <w:tc>
          <w:tcPr>
            <w:tcW w:w="481" w:type="pct"/>
            <w:tcBorders>
              <w:top w:val="nil"/>
              <w:left w:val="nil"/>
              <w:bottom w:val="nil"/>
              <w:right w:val="single" w:sz="4" w:space="0" w:color="800000"/>
            </w:tcBorders>
            <w:shd w:val="clear" w:color="000000" w:fill="FFFFCC"/>
            <w:vAlign w:val="center"/>
          </w:tcPr>
          <w:p w14:paraId="1B18150D" w14:textId="02A53DE3" w:rsidR="008F7DC2" w:rsidRPr="00385F1E" w:rsidRDefault="008F7DC2" w:rsidP="008F7DC2">
            <w:pPr>
              <w:jc w:val="right"/>
              <w:rPr>
                <w:sz w:val="20"/>
                <w:szCs w:val="20"/>
              </w:rPr>
            </w:pPr>
            <w:r>
              <w:rPr>
                <w:sz w:val="20"/>
                <w:szCs w:val="20"/>
              </w:rPr>
              <w:t>132,4</w:t>
            </w:r>
          </w:p>
        </w:tc>
        <w:tc>
          <w:tcPr>
            <w:tcW w:w="353" w:type="pct"/>
            <w:tcBorders>
              <w:top w:val="nil"/>
              <w:left w:val="nil"/>
              <w:bottom w:val="nil"/>
              <w:right w:val="single" w:sz="4" w:space="0" w:color="800000"/>
            </w:tcBorders>
            <w:shd w:val="clear" w:color="000000" w:fill="FFFFCC"/>
            <w:vAlign w:val="bottom"/>
          </w:tcPr>
          <w:p w14:paraId="05EC6207" w14:textId="77777777" w:rsidR="008F7DC2" w:rsidRPr="00385F1E" w:rsidRDefault="008F7DC2" w:rsidP="008F7DC2">
            <w:pPr>
              <w:jc w:val="right"/>
              <w:rPr>
                <w:sz w:val="20"/>
                <w:szCs w:val="20"/>
              </w:rPr>
            </w:pPr>
            <w:r w:rsidRPr="00A61DD3">
              <w:rPr>
                <w:sz w:val="20"/>
                <w:szCs w:val="20"/>
              </w:rPr>
              <w:t>0,1%</w:t>
            </w:r>
          </w:p>
        </w:tc>
        <w:tc>
          <w:tcPr>
            <w:tcW w:w="633" w:type="pct"/>
            <w:vMerge/>
            <w:tcBorders>
              <w:left w:val="nil"/>
              <w:right w:val="single" w:sz="4" w:space="0" w:color="800000"/>
            </w:tcBorders>
            <w:shd w:val="clear" w:color="000000" w:fill="FFFFCC"/>
          </w:tcPr>
          <w:p w14:paraId="587952E6" w14:textId="77777777" w:rsidR="008F7DC2" w:rsidRPr="00A61DD3" w:rsidRDefault="008F7DC2" w:rsidP="008F7DC2">
            <w:pPr>
              <w:jc w:val="right"/>
              <w:rPr>
                <w:sz w:val="20"/>
                <w:szCs w:val="20"/>
              </w:rPr>
            </w:pPr>
          </w:p>
        </w:tc>
        <w:tc>
          <w:tcPr>
            <w:tcW w:w="431" w:type="pct"/>
            <w:vMerge/>
            <w:tcBorders>
              <w:left w:val="nil"/>
              <w:right w:val="single" w:sz="4" w:space="0" w:color="800000"/>
            </w:tcBorders>
            <w:shd w:val="clear" w:color="000000" w:fill="FFFFCC"/>
          </w:tcPr>
          <w:p w14:paraId="416E2FC6" w14:textId="77777777" w:rsidR="008F7DC2" w:rsidRPr="00A61DD3" w:rsidRDefault="008F7DC2" w:rsidP="008F7DC2">
            <w:pPr>
              <w:jc w:val="right"/>
              <w:rPr>
                <w:sz w:val="20"/>
                <w:szCs w:val="20"/>
              </w:rPr>
            </w:pPr>
          </w:p>
        </w:tc>
      </w:tr>
      <w:tr w:rsidR="008F7DC2" w:rsidRPr="00385F1E" w14:paraId="7E7738AC" w14:textId="77777777" w:rsidTr="008F7DC2">
        <w:trPr>
          <w:trHeight w:val="255"/>
          <w:jc w:val="center"/>
        </w:trPr>
        <w:tc>
          <w:tcPr>
            <w:tcW w:w="1537" w:type="pct"/>
            <w:tcBorders>
              <w:top w:val="nil"/>
              <w:left w:val="double" w:sz="6" w:space="0" w:color="800000"/>
              <w:bottom w:val="nil"/>
              <w:right w:val="single" w:sz="4" w:space="0" w:color="800000"/>
            </w:tcBorders>
            <w:shd w:val="clear" w:color="000000" w:fill="FFFFCC"/>
            <w:vAlign w:val="bottom"/>
            <w:hideMark/>
          </w:tcPr>
          <w:p w14:paraId="13AD2270" w14:textId="77777777" w:rsidR="008F7DC2" w:rsidRPr="00385F1E" w:rsidRDefault="008F7DC2" w:rsidP="008F7DC2">
            <w:r w:rsidRPr="00385F1E">
              <w:t xml:space="preserve">   </w:t>
            </w:r>
            <w:r w:rsidRPr="00385F1E">
              <w:rPr>
                <w:sz w:val="20"/>
                <w:szCs w:val="20"/>
              </w:rPr>
              <w:t>Издръжка*</w:t>
            </w:r>
          </w:p>
        </w:tc>
        <w:tc>
          <w:tcPr>
            <w:tcW w:w="455" w:type="pct"/>
            <w:tcBorders>
              <w:top w:val="nil"/>
              <w:left w:val="nil"/>
              <w:bottom w:val="nil"/>
              <w:right w:val="single" w:sz="4" w:space="0" w:color="800000"/>
            </w:tcBorders>
            <w:shd w:val="clear" w:color="000000" w:fill="FFFFCC"/>
            <w:vAlign w:val="center"/>
          </w:tcPr>
          <w:p w14:paraId="740EE3B9" w14:textId="77777777" w:rsidR="008F7DC2" w:rsidRPr="00385F1E" w:rsidRDefault="008F7DC2" w:rsidP="008F7DC2">
            <w:pPr>
              <w:jc w:val="right"/>
              <w:rPr>
                <w:sz w:val="20"/>
                <w:szCs w:val="20"/>
              </w:rPr>
            </w:pPr>
            <w:r w:rsidRPr="00385F1E">
              <w:rPr>
                <w:sz w:val="20"/>
                <w:szCs w:val="20"/>
              </w:rPr>
              <w:t>5 102,5</w:t>
            </w:r>
          </w:p>
        </w:tc>
        <w:tc>
          <w:tcPr>
            <w:tcW w:w="344" w:type="pct"/>
            <w:tcBorders>
              <w:top w:val="nil"/>
              <w:left w:val="nil"/>
              <w:bottom w:val="nil"/>
              <w:right w:val="single" w:sz="4" w:space="0" w:color="800000"/>
            </w:tcBorders>
            <w:shd w:val="clear" w:color="000000" w:fill="FFFFCC"/>
            <w:vAlign w:val="bottom"/>
          </w:tcPr>
          <w:p w14:paraId="7A432385" w14:textId="77777777" w:rsidR="008F7DC2" w:rsidRPr="00385F1E" w:rsidRDefault="008F7DC2" w:rsidP="008F7DC2">
            <w:pPr>
              <w:jc w:val="right"/>
              <w:rPr>
                <w:sz w:val="20"/>
                <w:szCs w:val="20"/>
              </w:rPr>
            </w:pPr>
            <w:r w:rsidRPr="00A61DD3">
              <w:rPr>
                <w:sz w:val="20"/>
                <w:szCs w:val="20"/>
              </w:rPr>
              <w:t>4,2</w:t>
            </w:r>
            <w:r w:rsidRPr="00385F1E">
              <w:rPr>
                <w:sz w:val="20"/>
                <w:szCs w:val="20"/>
              </w:rPr>
              <w:t>%</w:t>
            </w:r>
          </w:p>
        </w:tc>
        <w:tc>
          <w:tcPr>
            <w:tcW w:w="422" w:type="pct"/>
            <w:tcBorders>
              <w:top w:val="nil"/>
              <w:left w:val="nil"/>
              <w:bottom w:val="nil"/>
              <w:right w:val="single" w:sz="4" w:space="0" w:color="800000"/>
            </w:tcBorders>
            <w:shd w:val="clear" w:color="000000" w:fill="FFFFCC"/>
            <w:vAlign w:val="center"/>
          </w:tcPr>
          <w:p w14:paraId="7CB69422" w14:textId="77777777" w:rsidR="008F7DC2" w:rsidRPr="00385F1E" w:rsidRDefault="008F7DC2" w:rsidP="008F7DC2">
            <w:pPr>
              <w:jc w:val="right"/>
              <w:rPr>
                <w:sz w:val="20"/>
                <w:szCs w:val="20"/>
              </w:rPr>
            </w:pPr>
            <w:r w:rsidRPr="00385F1E">
              <w:rPr>
                <w:sz w:val="20"/>
                <w:szCs w:val="20"/>
              </w:rPr>
              <w:t>5 463,7</w:t>
            </w:r>
          </w:p>
        </w:tc>
        <w:tc>
          <w:tcPr>
            <w:tcW w:w="344" w:type="pct"/>
            <w:tcBorders>
              <w:top w:val="nil"/>
              <w:left w:val="nil"/>
              <w:bottom w:val="nil"/>
              <w:right w:val="single" w:sz="4" w:space="0" w:color="800000"/>
            </w:tcBorders>
            <w:shd w:val="clear" w:color="000000" w:fill="FFFFCC"/>
            <w:vAlign w:val="bottom"/>
          </w:tcPr>
          <w:p w14:paraId="035DCF12" w14:textId="77777777" w:rsidR="008F7DC2" w:rsidRPr="00385F1E" w:rsidRDefault="008F7DC2" w:rsidP="008F7DC2">
            <w:pPr>
              <w:jc w:val="right"/>
              <w:rPr>
                <w:sz w:val="20"/>
                <w:szCs w:val="20"/>
              </w:rPr>
            </w:pPr>
            <w:r w:rsidRPr="00A61DD3">
              <w:rPr>
                <w:sz w:val="20"/>
                <w:szCs w:val="20"/>
              </w:rPr>
              <w:t>3</w:t>
            </w:r>
            <w:r w:rsidRPr="00385F1E">
              <w:rPr>
                <w:sz w:val="20"/>
                <w:szCs w:val="20"/>
              </w:rPr>
              <w:t>,</w:t>
            </w:r>
            <w:r w:rsidRPr="00A61DD3">
              <w:rPr>
                <w:sz w:val="20"/>
                <w:szCs w:val="20"/>
              </w:rPr>
              <w:t>9</w:t>
            </w:r>
            <w:r w:rsidRPr="00385F1E">
              <w:rPr>
                <w:sz w:val="20"/>
                <w:szCs w:val="20"/>
              </w:rPr>
              <w:t>%</w:t>
            </w:r>
          </w:p>
        </w:tc>
        <w:tc>
          <w:tcPr>
            <w:tcW w:w="481" w:type="pct"/>
            <w:tcBorders>
              <w:top w:val="nil"/>
              <w:left w:val="nil"/>
              <w:bottom w:val="nil"/>
              <w:right w:val="single" w:sz="4" w:space="0" w:color="800000"/>
            </w:tcBorders>
            <w:shd w:val="clear" w:color="000000" w:fill="FFFFCC"/>
            <w:vAlign w:val="center"/>
          </w:tcPr>
          <w:p w14:paraId="40DD9C9D" w14:textId="7D2DC556" w:rsidR="008F7DC2" w:rsidRPr="00385F1E" w:rsidRDefault="008F7DC2" w:rsidP="008F7DC2">
            <w:pPr>
              <w:jc w:val="right"/>
              <w:rPr>
                <w:sz w:val="20"/>
                <w:szCs w:val="20"/>
              </w:rPr>
            </w:pPr>
            <w:r>
              <w:rPr>
                <w:sz w:val="20"/>
                <w:szCs w:val="20"/>
              </w:rPr>
              <w:t>7 108,6</w:t>
            </w:r>
          </w:p>
        </w:tc>
        <w:tc>
          <w:tcPr>
            <w:tcW w:w="353" w:type="pct"/>
            <w:tcBorders>
              <w:top w:val="nil"/>
              <w:left w:val="nil"/>
              <w:bottom w:val="nil"/>
              <w:right w:val="single" w:sz="4" w:space="0" w:color="800000"/>
            </w:tcBorders>
            <w:shd w:val="clear" w:color="000000" w:fill="FFFFCC"/>
            <w:vAlign w:val="bottom"/>
          </w:tcPr>
          <w:p w14:paraId="10CDF9EC" w14:textId="77777777" w:rsidR="008F7DC2" w:rsidRPr="00385F1E" w:rsidRDefault="008F7DC2" w:rsidP="008F7DC2">
            <w:pPr>
              <w:jc w:val="right"/>
              <w:rPr>
                <w:sz w:val="20"/>
                <w:szCs w:val="20"/>
              </w:rPr>
            </w:pPr>
            <w:r w:rsidRPr="00A61DD3">
              <w:rPr>
                <w:sz w:val="20"/>
                <w:szCs w:val="20"/>
              </w:rPr>
              <w:t>4,3%</w:t>
            </w:r>
          </w:p>
        </w:tc>
        <w:tc>
          <w:tcPr>
            <w:tcW w:w="633" w:type="pct"/>
            <w:vMerge/>
            <w:tcBorders>
              <w:left w:val="nil"/>
              <w:right w:val="single" w:sz="4" w:space="0" w:color="800000"/>
            </w:tcBorders>
            <w:shd w:val="clear" w:color="000000" w:fill="FFFFCC"/>
          </w:tcPr>
          <w:p w14:paraId="48F97FC4" w14:textId="77777777" w:rsidR="008F7DC2" w:rsidRPr="00A61DD3" w:rsidRDefault="008F7DC2" w:rsidP="008F7DC2">
            <w:pPr>
              <w:jc w:val="right"/>
              <w:rPr>
                <w:sz w:val="20"/>
                <w:szCs w:val="20"/>
              </w:rPr>
            </w:pPr>
          </w:p>
        </w:tc>
        <w:tc>
          <w:tcPr>
            <w:tcW w:w="431" w:type="pct"/>
            <w:vMerge/>
            <w:tcBorders>
              <w:left w:val="nil"/>
              <w:right w:val="single" w:sz="4" w:space="0" w:color="800000"/>
            </w:tcBorders>
            <w:shd w:val="clear" w:color="000000" w:fill="FFFFCC"/>
          </w:tcPr>
          <w:p w14:paraId="26A7626A" w14:textId="77777777" w:rsidR="008F7DC2" w:rsidRPr="00A61DD3" w:rsidRDefault="008F7DC2" w:rsidP="008F7DC2">
            <w:pPr>
              <w:jc w:val="right"/>
              <w:rPr>
                <w:sz w:val="20"/>
                <w:szCs w:val="20"/>
              </w:rPr>
            </w:pPr>
          </w:p>
        </w:tc>
      </w:tr>
      <w:tr w:rsidR="008F7DC2" w:rsidRPr="00385F1E" w14:paraId="50400128" w14:textId="77777777" w:rsidTr="008F7DC2">
        <w:trPr>
          <w:trHeight w:val="270"/>
          <w:jc w:val="center"/>
        </w:trPr>
        <w:tc>
          <w:tcPr>
            <w:tcW w:w="1537" w:type="pct"/>
            <w:tcBorders>
              <w:top w:val="nil"/>
              <w:left w:val="double" w:sz="6" w:space="0" w:color="800000"/>
              <w:bottom w:val="nil"/>
              <w:right w:val="single" w:sz="4" w:space="0" w:color="800000"/>
            </w:tcBorders>
            <w:shd w:val="clear" w:color="000000" w:fill="FFFFCC"/>
            <w:hideMark/>
          </w:tcPr>
          <w:p w14:paraId="3EC61938" w14:textId="77777777" w:rsidR="008F7DC2" w:rsidRPr="00385F1E" w:rsidRDefault="008F7DC2" w:rsidP="008F7DC2">
            <w:pPr>
              <w:rPr>
                <w:bCs/>
                <w:sz w:val="20"/>
                <w:szCs w:val="20"/>
              </w:rPr>
            </w:pPr>
            <w:r w:rsidRPr="00385F1E">
              <w:rPr>
                <w:bCs/>
                <w:sz w:val="20"/>
                <w:szCs w:val="20"/>
              </w:rPr>
              <w:t xml:space="preserve">    </w:t>
            </w:r>
            <w:r w:rsidRPr="00385F1E">
              <w:rPr>
                <w:sz w:val="20"/>
                <w:szCs w:val="20"/>
              </w:rPr>
              <w:t>Субсидии</w:t>
            </w:r>
          </w:p>
        </w:tc>
        <w:tc>
          <w:tcPr>
            <w:tcW w:w="455" w:type="pct"/>
            <w:tcBorders>
              <w:top w:val="nil"/>
              <w:left w:val="nil"/>
              <w:bottom w:val="nil"/>
              <w:right w:val="single" w:sz="4" w:space="0" w:color="800000"/>
            </w:tcBorders>
            <w:shd w:val="clear" w:color="000000" w:fill="FFFFCC"/>
            <w:vAlign w:val="bottom"/>
          </w:tcPr>
          <w:p w14:paraId="50C24133" w14:textId="77777777" w:rsidR="008F7DC2" w:rsidRPr="00385F1E" w:rsidRDefault="008F7DC2" w:rsidP="008F7DC2">
            <w:pPr>
              <w:jc w:val="right"/>
              <w:rPr>
                <w:sz w:val="20"/>
                <w:szCs w:val="20"/>
              </w:rPr>
            </w:pPr>
            <w:r w:rsidRPr="00385F1E">
              <w:rPr>
                <w:sz w:val="20"/>
                <w:szCs w:val="20"/>
              </w:rPr>
              <w:t>5 032,7</w:t>
            </w:r>
          </w:p>
        </w:tc>
        <w:tc>
          <w:tcPr>
            <w:tcW w:w="344" w:type="pct"/>
            <w:tcBorders>
              <w:top w:val="nil"/>
              <w:left w:val="nil"/>
              <w:bottom w:val="nil"/>
              <w:right w:val="single" w:sz="4" w:space="0" w:color="800000"/>
            </w:tcBorders>
            <w:shd w:val="clear" w:color="000000" w:fill="FFFFCC"/>
            <w:vAlign w:val="bottom"/>
          </w:tcPr>
          <w:p w14:paraId="474C22C9" w14:textId="77777777" w:rsidR="008F7DC2" w:rsidRPr="00385F1E" w:rsidRDefault="008F7DC2" w:rsidP="008F7DC2">
            <w:pPr>
              <w:jc w:val="right"/>
              <w:rPr>
                <w:sz w:val="20"/>
                <w:szCs w:val="20"/>
              </w:rPr>
            </w:pPr>
            <w:r w:rsidRPr="00385F1E">
              <w:rPr>
                <w:sz w:val="20"/>
                <w:szCs w:val="20"/>
              </w:rPr>
              <w:t>4,2%</w:t>
            </w:r>
          </w:p>
        </w:tc>
        <w:tc>
          <w:tcPr>
            <w:tcW w:w="422" w:type="pct"/>
            <w:tcBorders>
              <w:top w:val="nil"/>
              <w:left w:val="nil"/>
              <w:bottom w:val="nil"/>
              <w:right w:val="single" w:sz="4" w:space="0" w:color="800000"/>
            </w:tcBorders>
            <w:shd w:val="clear" w:color="000000" w:fill="FFFFCC"/>
            <w:vAlign w:val="bottom"/>
          </w:tcPr>
          <w:p w14:paraId="4EDF4A04" w14:textId="77777777" w:rsidR="008F7DC2" w:rsidRPr="00385F1E" w:rsidRDefault="008F7DC2" w:rsidP="008F7DC2">
            <w:pPr>
              <w:jc w:val="right"/>
              <w:rPr>
                <w:sz w:val="20"/>
                <w:szCs w:val="20"/>
              </w:rPr>
            </w:pPr>
            <w:r w:rsidRPr="00385F1E">
              <w:rPr>
                <w:sz w:val="20"/>
                <w:szCs w:val="20"/>
              </w:rPr>
              <w:t>7 885,9</w:t>
            </w:r>
          </w:p>
        </w:tc>
        <w:tc>
          <w:tcPr>
            <w:tcW w:w="344" w:type="pct"/>
            <w:tcBorders>
              <w:top w:val="nil"/>
              <w:left w:val="nil"/>
              <w:bottom w:val="nil"/>
              <w:right w:val="single" w:sz="4" w:space="0" w:color="800000"/>
            </w:tcBorders>
            <w:shd w:val="clear" w:color="000000" w:fill="FFFFCC"/>
            <w:vAlign w:val="bottom"/>
          </w:tcPr>
          <w:p w14:paraId="672762DA" w14:textId="77777777" w:rsidR="008F7DC2" w:rsidRPr="00385F1E" w:rsidRDefault="008F7DC2" w:rsidP="008F7DC2">
            <w:pPr>
              <w:jc w:val="right"/>
              <w:rPr>
                <w:sz w:val="20"/>
                <w:szCs w:val="20"/>
              </w:rPr>
            </w:pPr>
            <w:r w:rsidRPr="00385F1E">
              <w:rPr>
                <w:sz w:val="20"/>
                <w:szCs w:val="20"/>
              </w:rPr>
              <w:t>5,</w:t>
            </w:r>
            <w:r w:rsidRPr="00A61DD3">
              <w:rPr>
                <w:sz w:val="20"/>
                <w:szCs w:val="20"/>
              </w:rPr>
              <w:t>7</w:t>
            </w:r>
            <w:r w:rsidRPr="00385F1E">
              <w:rPr>
                <w:sz w:val="20"/>
                <w:szCs w:val="20"/>
              </w:rPr>
              <w:t>%</w:t>
            </w:r>
          </w:p>
        </w:tc>
        <w:tc>
          <w:tcPr>
            <w:tcW w:w="481" w:type="pct"/>
            <w:tcBorders>
              <w:top w:val="nil"/>
              <w:left w:val="nil"/>
              <w:bottom w:val="nil"/>
              <w:right w:val="single" w:sz="4" w:space="0" w:color="800000"/>
            </w:tcBorders>
            <w:shd w:val="clear" w:color="000000" w:fill="FFFFCC"/>
            <w:vAlign w:val="center"/>
          </w:tcPr>
          <w:p w14:paraId="6D083882" w14:textId="5958CE01" w:rsidR="008F7DC2" w:rsidRPr="00385F1E" w:rsidRDefault="008F7DC2" w:rsidP="008F7DC2">
            <w:pPr>
              <w:jc w:val="right"/>
              <w:rPr>
                <w:sz w:val="20"/>
                <w:szCs w:val="20"/>
              </w:rPr>
            </w:pPr>
            <w:r>
              <w:rPr>
                <w:sz w:val="20"/>
                <w:szCs w:val="20"/>
              </w:rPr>
              <w:t>10 468,0</w:t>
            </w:r>
          </w:p>
        </w:tc>
        <w:tc>
          <w:tcPr>
            <w:tcW w:w="353" w:type="pct"/>
            <w:tcBorders>
              <w:top w:val="nil"/>
              <w:left w:val="nil"/>
              <w:bottom w:val="nil"/>
              <w:right w:val="single" w:sz="4" w:space="0" w:color="800000"/>
            </w:tcBorders>
            <w:shd w:val="clear" w:color="000000" w:fill="FFFFCC"/>
            <w:vAlign w:val="bottom"/>
          </w:tcPr>
          <w:p w14:paraId="6F6CC1F8" w14:textId="77777777" w:rsidR="008F7DC2" w:rsidRPr="00385F1E" w:rsidRDefault="008F7DC2" w:rsidP="008F7DC2">
            <w:pPr>
              <w:jc w:val="right"/>
              <w:rPr>
                <w:sz w:val="20"/>
                <w:szCs w:val="20"/>
              </w:rPr>
            </w:pPr>
            <w:r w:rsidRPr="00A61DD3">
              <w:rPr>
                <w:sz w:val="20"/>
                <w:szCs w:val="20"/>
              </w:rPr>
              <w:t>6,3%</w:t>
            </w:r>
          </w:p>
        </w:tc>
        <w:tc>
          <w:tcPr>
            <w:tcW w:w="633" w:type="pct"/>
            <w:vMerge/>
            <w:tcBorders>
              <w:left w:val="nil"/>
              <w:right w:val="single" w:sz="4" w:space="0" w:color="800000"/>
            </w:tcBorders>
            <w:shd w:val="clear" w:color="000000" w:fill="FFFFCC"/>
          </w:tcPr>
          <w:p w14:paraId="3A5A32EB" w14:textId="77777777" w:rsidR="008F7DC2" w:rsidRPr="00A61DD3" w:rsidRDefault="008F7DC2" w:rsidP="008F7DC2">
            <w:pPr>
              <w:jc w:val="right"/>
              <w:rPr>
                <w:sz w:val="20"/>
                <w:szCs w:val="20"/>
              </w:rPr>
            </w:pPr>
          </w:p>
        </w:tc>
        <w:tc>
          <w:tcPr>
            <w:tcW w:w="431" w:type="pct"/>
            <w:vMerge/>
            <w:tcBorders>
              <w:left w:val="nil"/>
              <w:right w:val="single" w:sz="4" w:space="0" w:color="800000"/>
            </w:tcBorders>
            <w:shd w:val="clear" w:color="000000" w:fill="FFFFCC"/>
          </w:tcPr>
          <w:p w14:paraId="31602389" w14:textId="77777777" w:rsidR="008F7DC2" w:rsidRPr="00A61DD3" w:rsidRDefault="008F7DC2" w:rsidP="008F7DC2">
            <w:pPr>
              <w:jc w:val="right"/>
              <w:rPr>
                <w:sz w:val="20"/>
                <w:szCs w:val="20"/>
              </w:rPr>
            </w:pPr>
          </w:p>
        </w:tc>
      </w:tr>
      <w:tr w:rsidR="008F7DC2" w:rsidRPr="00385F1E" w14:paraId="5121A3E6" w14:textId="77777777" w:rsidTr="008F7DC2">
        <w:trPr>
          <w:trHeight w:val="300"/>
          <w:jc w:val="center"/>
        </w:trPr>
        <w:tc>
          <w:tcPr>
            <w:tcW w:w="1537" w:type="pct"/>
            <w:tcBorders>
              <w:top w:val="nil"/>
              <w:left w:val="double" w:sz="6" w:space="0" w:color="800000"/>
              <w:bottom w:val="nil"/>
              <w:right w:val="single" w:sz="4" w:space="0" w:color="800000"/>
            </w:tcBorders>
            <w:shd w:val="clear" w:color="000000" w:fill="FFFFCC"/>
            <w:hideMark/>
          </w:tcPr>
          <w:p w14:paraId="427932D3" w14:textId="77777777" w:rsidR="008F7DC2" w:rsidRPr="00385F1E" w:rsidRDefault="008F7DC2" w:rsidP="008F7DC2">
            <w:pPr>
              <w:rPr>
                <w:sz w:val="20"/>
                <w:szCs w:val="20"/>
              </w:rPr>
            </w:pPr>
            <w:r w:rsidRPr="00385F1E">
              <w:rPr>
                <w:sz w:val="20"/>
                <w:szCs w:val="20"/>
              </w:rPr>
              <w:t xml:space="preserve">    Социални и здравноосигурителни разходи</w:t>
            </w:r>
          </w:p>
        </w:tc>
        <w:tc>
          <w:tcPr>
            <w:tcW w:w="455" w:type="pct"/>
            <w:tcBorders>
              <w:top w:val="nil"/>
              <w:left w:val="nil"/>
              <w:bottom w:val="nil"/>
              <w:right w:val="single" w:sz="4" w:space="0" w:color="800000"/>
            </w:tcBorders>
            <w:shd w:val="clear" w:color="000000" w:fill="FFFFCC"/>
            <w:vAlign w:val="center"/>
          </w:tcPr>
          <w:p w14:paraId="3E9F9395" w14:textId="77777777" w:rsidR="008F7DC2" w:rsidRPr="00385F1E" w:rsidRDefault="008F7DC2" w:rsidP="008F7DC2">
            <w:pPr>
              <w:jc w:val="right"/>
              <w:rPr>
                <w:sz w:val="20"/>
                <w:szCs w:val="20"/>
              </w:rPr>
            </w:pPr>
            <w:r w:rsidRPr="00385F1E">
              <w:rPr>
                <w:sz w:val="20"/>
                <w:szCs w:val="20"/>
              </w:rPr>
              <w:t>19 174,6</w:t>
            </w:r>
          </w:p>
        </w:tc>
        <w:tc>
          <w:tcPr>
            <w:tcW w:w="344" w:type="pct"/>
            <w:tcBorders>
              <w:top w:val="nil"/>
              <w:left w:val="nil"/>
              <w:bottom w:val="nil"/>
              <w:right w:val="single" w:sz="4" w:space="0" w:color="800000"/>
            </w:tcBorders>
            <w:shd w:val="clear" w:color="000000" w:fill="FFFFCC"/>
            <w:vAlign w:val="center"/>
          </w:tcPr>
          <w:p w14:paraId="0AED872F" w14:textId="77777777" w:rsidR="008F7DC2" w:rsidRPr="00385F1E" w:rsidRDefault="008F7DC2" w:rsidP="008F7DC2">
            <w:pPr>
              <w:jc w:val="right"/>
              <w:rPr>
                <w:sz w:val="20"/>
                <w:szCs w:val="20"/>
              </w:rPr>
            </w:pPr>
            <w:r w:rsidRPr="00A61DD3">
              <w:rPr>
                <w:sz w:val="20"/>
                <w:szCs w:val="20"/>
              </w:rPr>
              <w:t>15,9</w:t>
            </w:r>
            <w:r w:rsidRPr="00385F1E">
              <w:rPr>
                <w:sz w:val="20"/>
                <w:szCs w:val="20"/>
              </w:rPr>
              <w:t>%</w:t>
            </w:r>
          </w:p>
        </w:tc>
        <w:tc>
          <w:tcPr>
            <w:tcW w:w="422" w:type="pct"/>
            <w:tcBorders>
              <w:top w:val="nil"/>
              <w:left w:val="nil"/>
              <w:bottom w:val="nil"/>
              <w:right w:val="single" w:sz="4" w:space="0" w:color="800000"/>
            </w:tcBorders>
            <w:shd w:val="clear" w:color="000000" w:fill="FFFFCC"/>
            <w:vAlign w:val="center"/>
          </w:tcPr>
          <w:p w14:paraId="5567D790" w14:textId="77777777" w:rsidR="008F7DC2" w:rsidRPr="00385F1E" w:rsidRDefault="008F7DC2" w:rsidP="008F7DC2">
            <w:pPr>
              <w:jc w:val="right"/>
              <w:rPr>
                <w:sz w:val="20"/>
                <w:szCs w:val="20"/>
              </w:rPr>
            </w:pPr>
            <w:r w:rsidRPr="00385F1E">
              <w:rPr>
                <w:sz w:val="20"/>
                <w:szCs w:val="20"/>
              </w:rPr>
              <w:t>23 267,4</w:t>
            </w:r>
          </w:p>
        </w:tc>
        <w:tc>
          <w:tcPr>
            <w:tcW w:w="344" w:type="pct"/>
            <w:tcBorders>
              <w:top w:val="nil"/>
              <w:left w:val="nil"/>
              <w:bottom w:val="nil"/>
              <w:right w:val="single" w:sz="4" w:space="0" w:color="800000"/>
            </w:tcBorders>
            <w:shd w:val="clear" w:color="000000" w:fill="FFFFCC"/>
            <w:vAlign w:val="center"/>
          </w:tcPr>
          <w:p w14:paraId="0BC57FB7" w14:textId="77777777" w:rsidR="008F7DC2" w:rsidRPr="00385F1E" w:rsidRDefault="008F7DC2" w:rsidP="008F7DC2">
            <w:pPr>
              <w:jc w:val="right"/>
              <w:rPr>
                <w:sz w:val="20"/>
                <w:szCs w:val="20"/>
              </w:rPr>
            </w:pPr>
            <w:r w:rsidRPr="00385F1E">
              <w:rPr>
                <w:sz w:val="20"/>
                <w:szCs w:val="20"/>
              </w:rPr>
              <w:t>1</w:t>
            </w:r>
            <w:r w:rsidRPr="00A61DD3">
              <w:rPr>
                <w:sz w:val="20"/>
                <w:szCs w:val="20"/>
              </w:rPr>
              <w:t>6</w:t>
            </w:r>
            <w:r w:rsidRPr="00385F1E">
              <w:rPr>
                <w:sz w:val="20"/>
                <w:szCs w:val="20"/>
              </w:rPr>
              <w:t>,</w:t>
            </w:r>
            <w:r w:rsidRPr="00A61DD3">
              <w:rPr>
                <w:sz w:val="20"/>
                <w:szCs w:val="20"/>
              </w:rPr>
              <w:t>7</w:t>
            </w:r>
            <w:r w:rsidRPr="00385F1E">
              <w:rPr>
                <w:sz w:val="20"/>
                <w:szCs w:val="20"/>
              </w:rPr>
              <w:t>%</w:t>
            </w:r>
          </w:p>
        </w:tc>
        <w:tc>
          <w:tcPr>
            <w:tcW w:w="481" w:type="pct"/>
            <w:tcBorders>
              <w:top w:val="nil"/>
              <w:left w:val="nil"/>
              <w:bottom w:val="nil"/>
              <w:right w:val="single" w:sz="4" w:space="0" w:color="800000"/>
            </w:tcBorders>
            <w:shd w:val="clear" w:color="000000" w:fill="FFFFCC"/>
            <w:vAlign w:val="center"/>
          </w:tcPr>
          <w:p w14:paraId="32C13F23" w14:textId="6F85D1B6" w:rsidR="008F7DC2" w:rsidRPr="00385F1E" w:rsidRDefault="008F7DC2" w:rsidP="008F7DC2">
            <w:pPr>
              <w:jc w:val="right"/>
              <w:rPr>
                <w:sz w:val="20"/>
                <w:szCs w:val="20"/>
              </w:rPr>
            </w:pPr>
            <w:r>
              <w:rPr>
                <w:sz w:val="20"/>
                <w:szCs w:val="20"/>
              </w:rPr>
              <w:t>25 651,8</w:t>
            </w:r>
          </w:p>
        </w:tc>
        <w:tc>
          <w:tcPr>
            <w:tcW w:w="353" w:type="pct"/>
            <w:tcBorders>
              <w:top w:val="nil"/>
              <w:left w:val="nil"/>
              <w:bottom w:val="nil"/>
              <w:right w:val="single" w:sz="4" w:space="0" w:color="800000"/>
            </w:tcBorders>
            <w:shd w:val="clear" w:color="000000" w:fill="FFFFCC"/>
            <w:vAlign w:val="center"/>
          </w:tcPr>
          <w:p w14:paraId="3A9FE946" w14:textId="77777777" w:rsidR="008F7DC2" w:rsidRPr="00385F1E" w:rsidRDefault="008F7DC2" w:rsidP="008F7DC2">
            <w:pPr>
              <w:jc w:val="right"/>
              <w:rPr>
                <w:sz w:val="20"/>
                <w:szCs w:val="20"/>
              </w:rPr>
            </w:pPr>
            <w:r w:rsidRPr="00A61DD3">
              <w:rPr>
                <w:sz w:val="20"/>
                <w:szCs w:val="20"/>
              </w:rPr>
              <w:t>15,5%</w:t>
            </w:r>
          </w:p>
        </w:tc>
        <w:tc>
          <w:tcPr>
            <w:tcW w:w="633" w:type="pct"/>
            <w:vMerge/>
            <w:tcBorders>
              <w:left w:val="nil"/>
              <w:right w:val="single" w:sz="4" w:space="0" w:color="800000"/>
            </w:tcBorders>
            <w:shd w:val="clear" w:color="000000" w:fill="FFFFCC"/>
          </w:tcPr>
          <w:p w14:paraId="23C4E7D1" w14:textId="77777777" w:rsidR="008F7DC2" w:rsidRPr="00A61DD3" w:rsidRDefault="008F7DC2" w:rsidP="008F7DC2">
            <w:pPr>
              <w:jc w:val="right"/>
              <w:rPr>
                <w:sz w:val="20"/>
                <w:szCs w:val="20"/>
              </w:rPr>
            </w:pPr>
          </w:p>
        </w:tc>
        <w:tc>
          <w:tcPr>
            <w:tcW w:w="431" w:type="pct"/>
            <w:vMerge/>
            <w:tcBorders>
              <w:left w:val="nil"/>
              <w:right w:val="single" w:sz="4" w:space="0" w:color="800000"/>
            </w:tcBorders>
            <w:shd w:val="clear" w:color="000000" w:fill="FFFFCC"/>
          </w:tcPr>
          <w:p w14:paraId="53FDF80B" w14:textId="77777777" w:rsidR="008F7DC2" w:rsidRPr="00A61DD3" w:rsidRDefault="008F7DC2" w:rsidP="008F7DC2">
            <w:pPr>
              <w:jc w:val="right"/>
              <w:rPr>
                <w:sz w:val="20"/>
                <w:szCs w:val="20"/>
              </w:rPr>
            </w:pPr>
          </w:p>
        </w:tc>
      </w:tr>
      <w:tr w:rsidR="008F7DC2" w:rsidRPr="00385F1E" w14:paraId="4369DBD9" w14:textId="77777777" w:rsidTr="008F7DC2">
        <w:trPr>
          <w:trHeight w:val="285"/>
          <w:jc w:val="center"/>
        </w:trPr>
        <w:tc>
          <w:tcPr>
            <w:tcW w:w="1537" w:type="pct"/>
            <w:tcBorders>
              <w:top w:val="nil"/>
              <w:left w:val="double" w:sz="6" w:space="0" w:color="800000"/>
              <w:bottom w:val="nil"/>
              <w:right w:val="single" w:sz="4" w:space="0" w:color="800000"/>
            </w:tcBorders>
            <w:shd w:val="clear" w:color="000000" w:fill="FFFFCC"/>
            <w:hideMark/>
          </w:tcPr>
          <w:p w14:paraId="12998998" w14:textId="77777777" w:rsidR="008F7DC2" w:rsidRPr="00385F1E" w:rsidRDefault="008F7DC2" w:rsidP="008F7DC2">
            <w:pPr>
              <w:rPr>
                <w:bCs/>
                <w:sz w:val="20"/>
                <w:szCs w:val="20"/>
              </w:rPr>
            </w:pPr>
            <w:r w:rsidRPr="00385F1E">
              <w:rPr>
                <w:bCs/>
                <w:sz w:val="20"/>
                <w:szCs w:val="20"/>
              </w:rPr>
              <w:t xml:space="preserve">        в т.ч. п</w:t>
            </w:r>
            <w:r w:rsidRPr="00385F1E">
              <w:rPr>
                <w:sz w:val="20"/>
                <w:szCs w:val="20"/>
              </w:rPr>
              <w:t>енсии</w:t>
            </w:r>
          </w:p>
        </w:tc>
        <w:tc>
          <w:tcPr>
            <w:tcW w:w="455" w:type="pct"/>
            <w:tcBorders>
              <w:top w:val="nil"/>
              <w:left w:val="nil"/>
              <w:bottom w:val="nil"/>
              <w:right w:val="single" w:sz="4" w:space="0" w:color="800000"/>
            </w:tcBorders>
            <w:shd w:val="clear" w:color="000000" w:fill="FFFFCC"/>
            <w:vAlign w:val="center"/>
          </w:tcPr>
          <w:p w14:paraId="27405A4C" w14:textId="77777777" w:rsidR="008F7DC2" w:rsidRPr="00385F1E" w:rsidRDefault="008F7DC2" w:rsidP="008F7DC2">
            <w:pPr>
              <w:jc w:val="right"/>
              <w:rPr>
                <w:sz w:val="20"/>
                <w:szCs w:val="20"/>
              </w:rPr>
            </w:pPr>
            <w:r w:rsidRPr="00385F1E">
              <w:rPr>
                <w:sz w:val="20"/>
                <w:szCs w:val="20"/>
              </w:rPr>
              <w:t>11 184,0</w:t>
            </w:r>
          </w:p>
        </w:tc>
        <w:tc>
          <w:tcPr>
            <w:tcW w:w="344" w:type="pct"/>
            <w:tcBorders>
              <w:top w:val="nil"/>
              <w:left w:val="nil"/>
              <w:bottom w:val="nil"/>
              <w:right w:val="single" w:sz="4" w:space="0" w:color="800000"/>
            </w:tcBorders>
            <w:shd w:val="clear" w:color="000000" w:fill="FFFFCC"/>
            <w:vAlign w:val="center"/>
          </w:tcPr>
          <w:p w14:paraId="6AD4D36C" w14:textId="77777777" w:rsidR="008F7DC2" w:rsidRPr="00385F1E" w:rsidRDefault="008F7DC2" w:rsidP="008F7DC2">
            <w:pPr>
              <w:jc w:val="right"/>
              <w:rPr>
                <w:sz w:val="20"/>
                <w:szCs w:val="20"/>
              </w:rPr>
            </w:pPr>
            <w:r w:rsidRPr="00385F1E">
              <w:rPr>
                <w:sz w:val="20"/>
                <w:szCs w:val="20"/>
              </w:rPr>
              <w:t>9,3%</w:t>
            </w:r>
          </w:p>
        </w:tc>
        <w:tc>
          <w:tcPr>
            <w:tcW w:w="422" w:type="pct"/>
            <w:tcBorders>
              <w:top w:val="nil"/>
              <w:left w:val="nil"/>
              <w:bottom w:val="nil"/>
              <w:right w:val="single" w:sz="4" w:space="0" w:color="800000"/>
            </w:tcBorders>
            <w:shd w:val="clear" w:color="000000" w:fill="FFFFCC"/>
            <w:vAlign w:val="center"/>
          </w:tcPr>
          <w:p w14:paraId="01BFD0D2" w14:textId="77777777" w:rsidR="008F7DC2" w:rsidRPr="00385F1E" w:rsidRDefault="008F7DC2" w:rsidP="008F7DC2">
            <w:pPr>
              <w:jc w:val="right"/>
              <w:rPr>
                <w:sz w:val="20"/>
                <w:szCs w:val="20"/>
              </w:rPr>
            </w:pPr>
            <w:r w:rsidRPr="00385F1E">
              <w:rPr>
                <w:sz w:val="20"/>
                <w:szCs w:val="20"/>
              </w:rPr>
              <w:t>14 302,0</w:t>
            </w:r>
          </w:p>
        </w:tc>
        <w:tc>
          <w:tcPr>
            <w:tcW w:w="344" w:type="pct"/>
            <w:tcBorders>
              <w:top w:val="nil"/>
              <w:left w:val="nil"/>
              <w:bottom w:val="nil"/>
              <w:right w:val="single" w:sz="4" w:space="0" w:color="800000"/>
            </w:tcBorders>
            <w:shd w:val="clear" w:color="000000" w:fill="FFFFCC"/>
            <w:vAlign w:val="center"/>
          </w:tcPr>
          <w:p w14:paraId="36BAC20F" w14:textId="77777777" w:rsidR="008F7DC2" w:rsidRPr="00385F1E" w:rsidRDefault="008F7DC2" w:rsidP="008F7DC2">
            <w:pPr>
              <w:jc w:val="right"/>
              <w:rPr>
                <w:sz w:val="20"/>
                <w:szCs w:val="20"/>
              </w:rPr>
            </w:pPr>
            <w:r w:rsidRPr="00385F1E">
              <w:rPr>
                <w:sz w:val="20"/>
                <w:szCs w:val="20"/>
              </w:rPr>
              <w:t>10,</w:t>
            </w:r>
            <w:r w:rsidRPr="00A61DD3">
              <w:rPr>
                <w:sz w:val="20"/>
                <w:szCs w:val="20"/>
              </w:rPr>
              <w:t>3</w:t>
            </w:r>
            <w:r w:rsidRPr="00385F1E">
              <w:rPr>
                <w:sz w:val="20"/>
                <w:szCs w:val="20"/>
              </w:rPr>
              <w:t>%</w:t>
            </w:r>
          </w:p>
        </w:tc>
        <w:tc>
          <w:tcPr>
            <w:tcW w:w="481" w:type="pct"/>
            <w:tcBorders>
              <w:top w:val="nil"/>
              <w:left w:val="nil"/>
              <w:bottom w:val="nil"/>
              <w:right w:val="single" w:sz="4" w:space="0" w:color="800000"/>
            </w:tcBorders>
            <w:shd w:val="clear" w:color="000000" w:fill="FFFFCC"/>
            <w:vAlign w:val="center"/>
          </w:tcPr>
          <w:p w14:paraId="35B39504" w14:textId="3D34C5D8" w:rsidR="008F7DC2" w:rsidRPr="00385F1E" w:rsidRDefault="008F7DC2" w:rsidP="008F7DC2">
            <w:pPr>
              <w:jc w:val="right"/>
              <w:rPr>
                <w:sz w:val="20"/>
                <w:szCs w:val="20"/>
              </w:rPr>
            </w:pPr>
            <w:r>
              <w:rPr>
                <w:sz w:val="20"/>
                <w:szCs w:val="20"/>
              </w:rPr>
              <w:t>15 704,4</w:t>
            </w:r>
          </w:p>
        </w:tc>
        <w:tc>
          <w:tcPr>
            <w:tcW w:w="353" w:type="pct"/>
            <w:tcBorders>
              <w:top w:val="nil"/>
              <w:left w:val="nil"/>
              <w:bottom w:val="nil"/>
              <w:right w:val="single" w:sz="4" w:space="0" w:color="800000"/>
            </w:tcBorders>
            <w:shd w:val="clear" w:color="000000" w:fill="FFFFCC"/>
            <w:vAlign w:val="center"/>
          </w:tcPr>
          <w:p w14:paraId="45688395" w14:textId="77777777" w:rsidR="008F7DC2" w:rsidRPr="00385F1E" w:rsidRDefault="008F7DC2" w:rsidP="008F7DC2">
            <w:pPr>
              <w:jc w:val="right"/>
              <w:rPr>
                <w:sz w:val="20"/>
                <w:szCs w:val="20"/>
              </w:rPr>
            </w:pPr>
            <w:r w:rsidRPr="00A61DD3">
              <w:rPr>
                <w:sz w:val="20"/>
                <w:szCs w:val="20"/>
              </w:rPr>
              <w:t>9,5%</w:t>
            </w:r>
          </w:p>
        </w:tc>
        <w:tc>
          <w:tcPr>
            <w:tcW w:w="633" w:type="pct"/>
            <w:vMerge/>
            <w:tcBorders>
              <w:left w:val="nil"/>
              <w:right w:val="single" w:sz="4" w:space="0" w:color="800000"/>
            </w:tcBorders>
            <w:shd w:val="clear" w:color="000000" w:fill="FFFFCC"/>
          </w:tcPr>
          <w:p w14:paraId="558CCFC2" w14:textId="77777777" w:rsidR="008F7DC2" w:rsidRPr="00A61DD3" w:rsidRDefault="008F7DC2" w:rsidP="008F7DC2">
            <w:pPr>
              <w:jc w:val="right"/>
              <w:rPr>
                <w:sz w:val="20"/>
                <w:szCs w:val="20"/>
              </w:rPr>
            </w:pPr>
          </w:p>
        </w:tc>
        <w:tc>
          <w:tcPr>
            <w:tcW w:w="431" w:type="pct"/>
            <w:vMerge/>
            <w:tcBorders>
              <w:left w:val="nil"/>
              <w:right w:val="single" w:sz="4" w:space="0" w:color="800000"/>
            </w:tcBorders>
            <w:shd w:val="clear" w:color="000000" w:fill="FFFFCC"/>
          </w:tcPr>
          <w:p w14:paraId="160B1D25" w14:textId="77777777" w:rsidR="008F7DC2" w:rsidRPr="00A61DD3" w:rsidRDefault="008F7DC2" w:rsidP="008F7DC2">
            <w:pPr>
              <w:jc w:val="right"/>
              <w:rPr>
                <w:sz w:val="20"/>
                <w:szCs w:val="20"/>
              </w:rPr>
            </w:pPr>
          </w:p>
        </w:tc>
      </w:tr>
      <w:tr w:rsidR="0016182D" w:rsidRPr="00385F1E" w14:paraId="57ACD6DB" w14:textId="77777777" w:rsidTr="008F7DC2">
        <w:trPr>
          <w:trHeight w:val="336"/>
          <w:jc w:val="center"/>
        </w:trPr>
        <w:tc>
          <w:tcPr>
            <w:tcW w:w="1537" w:type="pct"/>
            <w:tcBorders>
              <w:top w:val="nil"/>
              <w:left w:val="double" w:sz="6" w:space="0" w:color="800000"/>
              <w:bottom w:val="nil"/>
              <w:right w:val="single" w:sz="4" w:space="0" w:color="800000"/>
            </w:tcBorders>
            <w:shd w:val="clear" w:color="000000" w:fill="FFFFCC"/>
            <w:hideMark/>
          </w:tcPr>
          <w:p w14:paraId="4F23F1A4" w14:textId="77777777" w:rsidR="0016182D" w:rsidRPr="00385F1E" w:rsidRDefault="0016182D" w:rsidP="00D337DB">
            <w:pPr>
              <w:rPr>
                <w:bCs/>
                <w:i/>
                <w:iCs/>
                <w:sz w:val="20"/>
                <w:szCs w:val="20"/>
              </w:rPr>
            </w:pPr>
            <w:r w:rsidRPr="00385F1E">
              <w:rPr>
                <w:bCs/>
                <w:i/>
                <w:iCs/>
                <w:sz w:val="20"/>
                <w:szCs w:val="20"/>
              </w:rPr>
              <w:t>Капиталови разходи и  прираст на държавния резерв</w:t>
            </w:r>
          </w:p>
        </w:tc>
        <w:tc>
          <w:tcPr>
            <w:tcW w:w="455" w:type="pct"/>
            <w:tcBorders>
              <w:top w:val="nil"/>
              <w:left w:val="nil"/>
              <w:bottom w:val="nil"/>
              <w:right w:val="single" w:sz="4" w:space="0" w:color="800000"/>
            </w:tcBorders>
            <w:shd w:val="clear" w:color="000000" w:fill="FFFFCC"/>
            <w:vAlign w:val="center"/>
          </w:tcPr>
          <w:p w14:paraId="30FA0A4E" w14:textId="77777777" w:rsidR="0016182D" w:rsidRPr="00385F1E" w:rsidRDefault="0016182D" w:rsidP="00D337DB">
            <w:pPr>
              <w:jc w:val="right"/>
              <w:rPr>
                <w:i/>
                <w:sz w:val="20"/>
                <w:szCs w:val="20"/>
              </w:rPr>
            </w:pPr>
            <w:r w:rsidRPr="00385F1E">
              <w:rPr>
                <w:i/>
                <w:sz w:val="20"/>
                <w:szCs w:val="20"/>
              </w:rPr>
              <w:t>5 089,4</w:t>
            </w:r>
          </w:p>
        </w:tc>
        <w:tc>
          <w:tcPr>
            <w:tcW w:w="344" w:type="pct"/>
            <w:tcBorders>
              <w:top w:val="nil"/>
              <w:left w:val="nil"/>
              <w:bottom w:val="nil"/>
              <w:right w:val="single" w:sz="4" w:space="0" w:color="800000"/>
            </w:tcBorders>
            <w:shd w:val="clear" w:color="000000" w:fill="FFFFCC"/>
            <w:vAlign w:val="center"/>
          </w:tcPr>
          <w:p w14:paraId="036A1121" w14:textId="77777777" w:rsidR="0016182D" w:rsidRPr="00385F1E" w:rsidRDefault="0016182D" w:rsidP="00D337DB">
            <w:pPr>
              <w:jc w:val="right"/>
              <w:rPr>
                <w:i/>
                <w:sz w:val="20"/>
                <w:szCs w:val="20"/>
              </w:rPr>
            </w:pPr>
            <w:r w:rsidRPr="00385F1E">
              <w:rPr>
                <w:i/>
                <w:sz w:val="20"/>
                <w:szCs w:val="20"/>
              </w:rPr>
              <w:t>4,2%</w:t>
            </w:r>
          </w:p>
        </w:tc>
        <w:tc>
          <w:tcPr>
            <w:tcW w:w="422" w:type="pct"/>
            <w:tcBorders>
              <w:top w:val="nil"/>
              <w:left w:val="nil"/>
              <w:bottom w:val="nil"/>
              <w:right w:val="single" w:sz="4" w:space="0" w:color="800000"/>
            </w:tcBorders>
            <w:shd w:val="clear" w:color="000000" w:fill="FFFFCC"/>
            <w:vAlign w:val="center"/>
          </w:tcPr>
          <w:p w14:paraId="171FDAB5" w14:textId="77777777" w:rsidR="0016182D" w:rsidRPr="00385F1E" w:rsidRDefault="0016182D" w:rsidP="00D337DB">
            <w:pPr>
              <w:jc w:val="right"/>
              <w:rPr>
                <w:i/>
                <w:sz w:val="20"/>
                <w:szCs w:val="20"/>
              </w:rPr>
            </w:pPr>
            <w:r w:rsidRPr="00385F1E">
              <w:rPr>
                <w:i/>
                <w:sz w:val="20"/>
                <w:szCs w:val="20"/>
              </w:rPr>
              <w:t>3 871,5</w:t>
            </w:r>
          </w:p>
        </w:tc>
        <w:tc>
          <w:tcPr>
            <w:tcW w:w="344" w:type="pct"/>
            <w:tcBorders>
              <w:top w:val="nil"/>
              <w:left w:val="nil"/>
              <w:bottom w:val="nil"/>
              <w:right w:val="single" w:sz="4" w:space="0" w:color="800000"/>
            </w:tcBorders>
            <w:shd w:val="clear" w:color="000000" w:fill="FFFFCC"/>
            <w:vAlign w:val="center"/>
          </w:tcPr>
          <w:p w14:paraId="3C1622AD" w14:textId="77777777" w:rsidR="0016182D" w:rsidRPr="00385F1E" w:rsidRDefault="0016182D" w:rsidP="00D337DB">
            <w:pPr>
              <w:jc w:val="right"/>
              <w:rPr>
                <w:i/>
                <w:sz w:val="20"/>
                <w:szCs w:val="20"/>
              </w:rPr>
            </w:pPr>
            <w:r w:rsidRPr="00385F1E">
              <w:rPr>
                <w:i/>
                <w:sz w:val="20"/>
                <w:szCs w:val="20"/>
              </w:rPr>
              <w:t>2,</w:t>
            </w:r>
            <w:r w:rsidRPr="00A61DD3">
              <w:rPr>
                <w:i/>
                <w:sz w:val="20"/>
                <w:szCs w:val="20"/>
              </w:rPr>
              <w:t>8</w:t>
            </w:r>
            <w:r w:rsidRPr="00385F1E">
              <w:rPr>
                <w:i/>
                <w:sz w:val="20"/>
                <w:szCs w:val="20"/>
              </w:rPr>
              <w:t>%</w:t>
            </w:r>
          </w:p>
        </w:tc>
        <w:tc>
          <w:tcPr>
            <w:tcW w:w="481" w:type="pct"/>
            <w:tcBorders>
              <w:top w:val="nil"/>
              <w:left w:val="nil"/>
              <w:bottom w:val="nil"/>
              <w:right w:val="single" w:sz="4" w:space="0" w:color="800000"/>
            </w:tcBorders>
            <w:shd w:val="clear" w:color="000000" w:fill="FFFFCC"/>
            <w:vAlign w:val="center"/>
          </w:tcPr>
          <w:p w14:paraId="383D2748" w14:textId="105B29C0" w:rsidR="0016182D" w:rsidRPr="00385F1E" w:rsidRDefault="0016182D" w:rsidP="00A81650">
            <w:pPr>
              <w:jc w:val="right"/>
              <w:rPr>
                <w:i/>
                <w:sz w:val="20"/>
                <w:szCs w:val="20"/>
              </w:rPr>
            </w:pPr>
            <w:r w:rsidRPr="00A61DD3">
              <w:rPr>
                <w:i/>
                <w:sz w:val="20"/>
                <w:szCs w:val="20"/>
              </w:rPr>
              <w:t>5 706,</w:t>
            </w:r>
            <w:r w:rsidR="00A81650">
              <w:rPr>
                <w:i/>
                <w:sz w:val="20"/>
                <w:szCs w:val="20"/>
              </w:rPr>
              <w:t>6</w:t>
            </w:r>
          </w:p>
        </w:tc>
        <w:tc>
          <w:tcPr>
            <w:tcW w:w="353" w:type="pct"/>
            <w:tcBorders>
              <w:top w:val="nil"/>
              <w:left w:val="nil"/>
              <w:bottom w:val="nil"/>
              <w:right w:val="single" w:sz="4" w:space="0" w:color="800000"/>
            </w:tcBorders>
            <w:shd w:val="clear" w:color="000000" w:fill="FFFFCC"/>
            <w:vAlign w:val="center"/>
          </w:tcPr>
          <w:p w14:paraId="1D18C63B" w14:textId="77777777" w:rsidR="0016182D" w:rsidRPr="00385F1E" w:rsidRDefault="0016182D" w:rsidP="00D337DB">
            <w:pPr>
              <w:jc w:val="right"/>
              <w:rPr>
                <w:i/>
                <w:sz w:val="20"/>
                <w:szCs w:val="20"/>
              </w:rPr>
            </w:pPr>
            <w:r w:rsidRPr="00A61DD3">
              <w:rPr>
                <w:i/>
                <w:sz w:val="20"/>
                <w:szCs w:val="20"/>
              </w:rPr>
              <w:t>3,5%</w:t>
            </w:r>
          </w:p>
        </w:tc>
        <w:tc>
          <w:tcPr>
            <w:tcW w:w="633" w:type="pct"/>
            <w:vMerge/>
            <w:tcBorders>
              <w:left w:val="nil"/>
              <w:right w:val="single" w:sz="4" w:space="0" w:color="800000"/>
            </w:tcBorders>
            <w:shd w:val="clear" w:color="000000" w:fill="FFFFCC"/>
          </w:tcPr>
          <w:p w14:paraId="5A798D70" w14:textId="77777777" w:rsidR="0016182D" w:rsidRPr="00A61DD3" w:rsidRDefault="0016182D" w:rsidP="00D337DB">
            <w:pPr>
              <w:jc w:val="right"/>
              <w:rPr>
                <w:i/>
                <w:sz w:val="20"/>
                <w:szCs w:val="20"/>
              </w:rPr>
            </w:pPr>
          </w:p>
        </w:tc>
        <w:tc>
          <w:tcPr>
            <w:tcW w:w="431" w:type="pct"/>
            <w:vMerge/>
            <w:tcBorders>
              <w:left w:val="nil"/>
              <w:right w:val="single" w:sz="4" w:space="0" w:color="800000"/>
            </w:tcBorders>
            <w:shd w:val="clear" w:color="000000" w:fill="FFFFCC"/>
          </w:tcPr>
          <w:p w14:paraId="0433F0E3" w14:textId="77777777" w:rsidR="0016182D" w:rsidRPr="00A61DD3" w:rsidRDefault="0016182D" w:rsidP="00D337DB">
            <w:pPr>
              <w:jc w:val="right"/>
              <w:rPr>
                <w:i/>
                <w:sz w:val="20"/>
                <w:szCs w:val="20"/>
              </w:rPr>
            </w:pPr>
          </w:p>
        </w:tc>
      </w:tr>
      <w:tr w:rsidR="0016182D" w:rsidRPr="00385F1E" w14:paraId="14569906" w14:textId="77777777" w:rsidTr="008F7DC2">
        <w:trPr>
          <w:trHeight w:val="345"/>
          <w:jc w:val="center"/>
        </w:trPr>
        <w:tc>
          <w:tcPr>
            <w:tcW w:w="1537" w:type="pct"/>
            <w:tcBorders>
              <w:top w:val="nil"/>
              <w:left w:val="double" w:sz="6" w:space="0" w:color="800000"/>
              <w:bottom w:val="nil"/>
              <w:right w:val="single" w:sz="4" w:space="0" w:color="800000"/>
            </w:tcBorders>
            <w:shd w:val="clear" w:color="000000" w:fill="FFFFCC"/>
            <w:hideMark/>
          </w:tcPr>
          <w:p w14:paraId="1CBB77B6" w14:textId="77777777" w:rsidR="0016182D" w:rsidRPr="00385F1E" w:rsidRDefault="0016182D" w:rsidP="00D337DB">
            <w:pPr>
              <w:rPr>
                <w:bCs/>
                <w:i/>
                <w:iCs/>
                <w:sz w:val="20"/>
                <w:szCs w:val="20"/>
              </w:rPr>
            </w:pPr>
            <w:r w:rsidRPr="00385F1E">
              <w:rPr>
                <w:bCs/>
                <w:i/>
                <w:iCs/>
                <w:sz w:val="20"/>
                <w:szCs w:val="20"/>
              </w:rPr>
              <w:t>Предоставени текущи и капиталови трансфери за чужбина</w:t>
            </w:r>
          </w:p>
        </w:tc>
        <w:tc>
          <w:tcPr>
            <w:tcW w:w="455" w:type="pct"/>
            <w:tcBorders>
              <w:top w:val="nil"/>
              <w:left w:val="nil"/>
              <w:bottom w:val="nil"/>
              <w:right w:val="single" w:sz="4" w:space="0" w:color="800000"/>
            </w:tcBorders>
            <w:shd w:val="clear" w:color="000000" w:fill="FFFFCC"/>
            <w:vAlign w:val="center"/>
          </w:tcPr>
          <w:p w14:paraId="5EEC4706" w14:textId="77777777" w:rsidR="0016182D" w:rsidRPr="00385F1E" w:rsidRDefault="0016182D" w:rsidP="00D337DB">
            <w:pPr>
              <w:spacing w:line="276" w:lineRule="auto"/>
              <w:jc w:val="right"/>
              <w:rPr>
                <w:i/>
                <w:sz w:val="20"/>
                <w:szCs w:val="20"/>
              </w:rPr>
            </w:pPr>
            <w:r w:rsidRPr="00385F1E">
              <w:rPr>
                <w:i/>
                <w:sz w:val="20"/>
                <w:szCs w:val="20"/>
              </w:rPr>
              <w:t>60,1</w:t>
            </w:r>
          </w:p>
        </w:tc>
        <w:tc>
          <w:tcPr>
            <w:tcW w:w="344" w:type="pct"/>
            <w:tcBorders>
              <w:top w:val="nil"/>
              <w:left w:val="nil"/>
              <w:bottom w:val="nil"/>
              <w:right w:val="single" w:sz="4" w:space="0" w:color="800000"/>
            </w:tcBorders>
            <w:shd w:val="clear" w:color="000000" w:fill="FFFFCC"/>
            <w:vAlign w:val="center"/>
          </w:tcPr>
          <w:p w14:paraId="296D9D14" w14:textId="77777777" w:rsidR="0016182D" w:rsidRPr="00385F1E" w:rsidRDefault="0016182D" w:rsidP="00D337DB">
            <w:pPr>
              <w:spacing w:line="276" w:lineRule="auto"/>
              <w:jc w:val="right"/>
              <w:rPr>
                <w:i/>
                <w:sz w:val="20"/>
                <w:szCs w:val="20"/>
              </w:rPr>
            </w:pPr>
            <w:r w:rsidRPr="00A61DD3">
              <w:rPr>
                <w:i/>
                <w:sz w:val="20"/>
                <w:szCs w:val="20"/>
              </w:rPr>
              <w:t>0,0</w:t>
            </w:r>
            <w:r w:rsidRPr="00385F1E">
              <w:rPr>
                <w:i/>
                <w:sz w:val="20"/>
                <w:szCs w:val="20"/>
              </w:rPr>
              <w:t>%</w:t>
            </w:r>
          </w:p>
        </w:tc>
        <w:tc>
          <w:tcPr>
            <w:tcW w:w="422" w:type="pct"/>
            <w:tcBorders>
              <w:top w:val="nil"/>
              <w:left w:val="nil"/>
              <w:bottom w:val="nil"/>
              <w:right w:val="single" w:sz="4" w:space="0" w:color="800000"/>
            </w:tcBorders>
            <w:shd w:val="clear" w:color="000000" w:fill="FFFFCC"/>
            <w:vAlign w:val="center"/>
          </w:tcPr>
          <w:p w14:paraId="6D2FD151" w14:textId="77777777" w:rsidR="0016182D" w:rsidRPr="00385F1E" w:rsidRDefault="0016182D" w:rsidP="00D337DB">
            <w:pPr>
              <w:spacing w:line="276" w:lineRule="auto"/>
              <w:jc w:val="right"/>
              <w:rPr>
                <w:i/>
                <w:sz w:val="20"/>
                <w:szCs w:val="20"/>
              </w:rPr>
            </w:pPr>
            <w:r w:rsidRPr="00385F1E">
              <w:rPr>
                <w:i/>
                <w:sz w:val="20"/>
                <w:szCs w:val="20"/>
              </w:rPr>
              <w:t>46,8</w:t>
            </w:r>
          </w:p>
        </w:tc>
        <w:tc>
          <w:tcPr>
            <w:tcW w:w="344" w:type="pct"/>
            <w:tcBorders>
              <w:top w:val="nil"/>
              <w:left w:val="nil"/>
              <w:bottom w:val="nil"/>
              <w:right w:val="single" w:sz="4" w:space="0" w:color="800000"/>
            </w:tcBorders>
            <w:shd w:val="clear" w:color="000000" w:fill="FFFFCC"/>
            <w:vAlign w:val="center"/>
          </w:tcPr>
          <w:p w14:paraId="5E7E1473" w14:textId="77777777" w:rsidR="0016182D" w:rsidRPr="00385F1E" w:rsidRDefault="0016182D" w:rsidP="00D337DB">
            <w:pPr>
              <w:spacing w:line="276" w:lineRule="auto"/>
              <w:jc w:val="right"/>
              <w:rPr>
                <w:i/>
                <w:sz w:val="20"/>
                <w:szCs w:val="20"/>
              </w:rPr>
            </w:pPr>
            <w:r w:rsidRPr="00385F1E">
              <w:rPr>
                <w:i/>
                <w:sz w:val="20"/>
                <w:szCs w:val="20"/>
              </w:rPr>
              <w:t>0,0%</w:t>
            </w:r>
          </w:p>
        </w:tc>
        <w:tc>
          <w:tcPr>
            <w:tcW w:w="481" w:type="pct"/>
            <w:tcBorders>
              <w:top w:val="nil"/>
              <w:left w:val="nil"/>
              <w:bottom w:val="nil"/>
              <w:right w:val="single" w:sz="4" w:space="0" w:color="800000"/>
            </w:tcBorders>
            <w:shd w:val="clear" w:color="000000" w:fill="FFFFCC"/>
            <w:vAlign w:val="center"/>
          </w:tcPr>
          <w:p w14:paraId="25E35BB7" w14:textId="77777777" w:rsidR="0016182D" w:rsidRPr="00385F1E" w:rsidRDefault="0016182D" w:rsidP="00D337DB">
            <w:pPr>
              <w:spacing w:line="276" w:lineRule="auto"/>
              <w:jc w:val="right"/>
              <w:rPr>
                <w:i/>
                <w:sz w:val="20"/>
                <w:szCs w:val="20"/>
              </w:rPr>
            </w:pPr>
            <w:r w:rsidRPr="00A61DD3">
              <w:rPr>
                <w:i/>
                <w:sz w:val="20"/>
                <w:szCs w:val="20"/>
              </w:rPr>
              <w:t>47,3</w:t>
            </w:r>
          </w:p>
        </w:tc>
        <w:tc>
          <w:tcPr>
            <w:tcW w:w="353" w:type="pct"/>
            <w:tcBorders>
              <w:top w:val="nil"/>
              <w:left w:val="nil"/>
              <w:bottom w:val="nil"/>
              <w:right w:val="single" w:sz="4" w:space="0" w:color="800000"/>
            </w:tcBorders>
            <w:shd w:val="clear" w:color="000000" w:fill="FFFFCC"/>
            <w:vAlign w:val="center"/>
          </w:tcPr>
          <w:p w14:paraId="1E425074" w14:textId="77777777" w:rsidR="0016182D" w:rsidRPr="00385F1E" w:rsidRDefault="0016182D" w:rsidP="00D337DB">
            <w:pPr>
              <w:spacing w:line="276" w:lineRule="auto"/>
              <w:jc w:val="right"/>
              <w:rPr>
                <w:i/>
                <w:sz w:val="20"/>
                <w:szCs w:val="20"/>
              </w:rPr>
            </w:pPr>
            <w:r w:rsidRPr="00A61DD3">
              <w:rPr>
                <w:i/>
                <w:sz w:val="20"/>
                <w:szCs w:val="20"/>
              </w:rPr>
              <w:t>0,0%</w:t>
            </w:r>
          </w:p>
        </w:tc>
        <w:tc>
          <w:tcPr>
            <w:tcW w:w="633" w:type="pct"/>
            <w:vMerge/>
            <w:tcBorders>
              <w:left w:val="nil"/>
              <w:right w:val="single" w:sz="4" w:space="0" w:color="800000"/>
            </w:tcBorders>
            <w:shd w:val="clear" w:color="000000" w:fill="FFFFCC"/>
          </w:tcPr>
          <w:p w14:paraId="711524DD" w14:textId="77777777" w:rsidR="0016182D" w:rsidRPr="00A61DD3" w:rsidRDefault="0016182D" w:rsidP="00D337DB">
            <w:pPr>
              <w:jc w:val="right"/>
              <w:rPr>
                <w:i/>
                <w:sz w:val="20"/>
                <w:szCs w:val="20"/>
              </w:rPr>
            </w:pPr>
          </w:p>
        </w:tc>
        <w:tc>
          <w:tcPr>
            <w:tcW w:w="431" w:type="pct"/>
            <w:vMerge/>
            <w:tcBorders>
              <w:left w:val="nil"/>
              <w:right w:val="single" w:sz="4" w:space="0" w:color="800000"/>
            </w:tcBorders>
            <w:shd w:val="clear" w:color="000000" w:fill="FFFFCC"/>
          </w:tcPr>
          <w:p w14:paraId="5334315D" w14:textId="77777777" w:rsidR="0016182D" w:rsidRPr="00A61DD3" w:rsidRDefault="0016182D" w:rsidP="00D337DB">
            <w:pPr>
              <w:jc w:val="right"/>
              <w:rPr>
                <w:i/>
                <w:sz w:val="20"/>
                <w:szCs w:val="20"/>
              </w:rPr>
            </w:pPr>
          </w:p>
        </w:tc>
      </w:tr>
      <w:tr w:rsidR="0016182D" w:rsidRPr="00385F1E" w14:paraId="62F25590" w14:textId="77777777" w:rsidTr="008F7DC2">
        <w:trPr>
          <w:trHeight w:val="264"/>
          <w:jc w:val="center"/>
        </w:trPr>
        <w:tc>
          <w:tcPr>
            <w:tcW w:w="1537" w:type="pct"/>
            <w:tcBorders>
              <w:top w:val="nil"/>
              <w:left w:val="double" w:sz="6" w:space="0" w:color="800000"/>
              <w:bottom w:val="nil"/>
              <w:right w:val="single" w:sz="4" w:space="0" w:color="800000"/>
            </w:tcBorders>
            <w:shd w:val="clear" w:color="000000" w:fill="FFFFCC"/>
            <w:hideMark/>
          </w:tcPr>
          <w:p w14:paraId="593945A8" w14:textId="77777777" w:rsidR="0016182D" w:rsidRPr="00385F1E" w:rsidRDefault="0016182D" w:rsidP="00D337DB">
            <w:pPr>
              <w:spacing w:line="360" w:lineRule="auto"/>
              <w:rPr>
                <w:b/>
                <w:bCs/>
                <w:sz w:val="20"/>
                <w:szCs w:val="20"/>
              </w:rPr>
            </w:pPr>
            <w:r w:rsidRPr="00385F1E">
              <w:rPr>
                <w:b/>
                <w:bCs/>
                <w:sz w:val="20"/>
                <w:szCs w:val="20"/>
              </w:rPr>
              <w:t>Лихвени разходи</w:t>
            </w:r>
          </w:p>
        </w:tc>
        <w:tc>
          <w:tcPr>
            <w:tcW w:w="455" w:type="pct"/>
            <w:tcBorders>
              <w:top w:val="nil"/>
              <w:left w:val="nil"/>
              <w:bottom w:val="nil"/>
              <w:right w:val="single" w:sz="4" w:space="0" w:color="800000"/>
            </w:tcBorders>
            <w:shd w:val="clear" w:color="000000" w:fill="FFFFCC"/>
            <w:vAlign w:val="bottom"/>
          </w:tcPr>
          <w:p w14:paraId="05322D01" w14:textId="77777777" w:rsidR="0016182D" w:rsidRPr="00385F1E" w:rsidRDefault="0016182D" w:rsidP="00D337DB">
            <w:pPr>
              <w:spacing w:line="360" w:lineRule="auto"/>
              <w:jc w:val="right"/>
              <w:rPr>
                <w:b/>
                <w:bCs/>
                <w:sz w:val="20"/>
                <w:szCs w:val="20"/>
              </w:rPr>
            </w:pPr>
            <w:r w:rsidRPr="00385F1E">
              <w:rPr>
                <w:b/>
                <w:bCs/>
                <w:sz w:val="20"/>
                <w:szCs w:val="20"/>
              </w:rPr>
              <w:t>623,9</w:t>
            </w:r>
          </w:p>
        </w:tc>
        <w:tc>
          <w:tcPr>
            <w:tcW w:w="344" w:type="pct"/>
            <w:tcBorders>
              <w:top w:val="nil"/>
              <w:left w:val="nil"/>
              <w:bottom w:val="nil"/>
              <w:right w:val="single" w:sz="4" w:space="0" w:color="800000"/>
            </w:tcBorders>
            <w:shd w:val="clear" w:color="000000" w:fill="FFFFCC"/>
            <w:vAlign w:val="bottom"/>
          </w:tcPr>
          <w:p w14:paraId="70F53336" w14:textId="77777777" w:rsidR="0016182D" w:rsidRPr="00385F1E" w:rsidRDefault="0016182D" w:rsidP="00D337DB">
            <w:pPr>
              <w:spacing w:line="360" w:lineRule="auto"/>
              <w:jc w:val="right"/>
              <w:rPr>
                <w:b/>
                <w:bCs/>
                <w:sz w:val="20"/>
                <w:szCs w:val="20"/>
              </w:rPr>
            </w:pPr>
            <w:r w:rsidRPr="00385F1E">
              <w:rPr>
                <w:b/>
                <w:bCs/>
                <w:sz w:val="20"/>
                <w:szCs w:val="20"/>
              </w:rPr>
              <w:t>0,5%</w:t>
            </w:r>
          </w:p>
        </w:tc>
        <w:tc>
          <w:tcPr>
            <w:tcW w:w="422" w:type="pct"/>
            <w:tcBorders>
              <w:top w:val="nil"/>
              <w:left w:val="nil"/>
              <w:bottom w:val="nil"/>
              <w:right w:val="single" w:sz="4" w:space="0" w:color="800000"/>
            </w:tcBorders>
            <w:shd w:val="clear" w:color="000000" w:fill="FFFFCC"/>
            <w:vAlign w:val="bottom"/>
          </w:tcPr>
          <w:p w14:paraId="09BA9322" w14:textId="77777777" w:rsidR="0016182D" w:rsidRPr="00385F1E" w:rsidRDefault="0016182D" w:rsidP="00D337DB">
            <w:pPr>
              <w:spacing w:line="360" w:lineRule="auto"/>
              <w:jc w:val="right"/>
              <w:rPr>
                <w:b/>
                <w:bCs/>
                <w:sz w:val="20"/>
                <w:szCs w:val="20"/>
              </w:rPr>
            </w:pPr>
            <w:r w:rsidRPr="00385F1E">
              <w:rPr>
                <w:b/>
                <w:bCs/>
                <w:sz w:val="20"/>
                <w:szCs w:val="20"/>
              </w:rPr>
              <w:t>628,6</w:t>
            </w:r>
          </w:p>
        </w:tc>
        <w:tc>
          <w:tcPr>
            <w:tcW w:w="344" w:type="pct"/>
            <w:tcBorders>
              <w:top w:val="nil"/>
              <w:left w:val="nil"/>
              <w:bottom w:val="nil"/>
              <w:right w:val="single" w:sz="4" w:space="0" w:color="800000"/>
            </w:tcBorders>
            <w:shd w:val="clear" w:color="000000" w:fill="FFFFCC"/>
            <w:vAlign w:val="bottom"/>
          </w:tcPr>
          <w:p w14:paraId="55AB4436" w14:textId="77777777" w:rsidR="0016182D" w:rsidRPr="00385F1E" w:rsidRDefault="0016182D" w:rsidP="00D337DB">
            <w:pPr>
              <w:spacing w:line="360" w:lineRule="auto"/>
              <w:jc w:val="right"/>
              <w:rPr>
                <w:b/>
                <w:bCs/>
                <w:sz w:val="20"/>
                <w:szCs w:val="20"/>
              </w:rPr>
            </w:pPr>
            <w:r w:rsidRPr="00385F1E">
              <w:rPr>
                <w:b/>
                <w:bCs/>
                <w:sz w:val="20"/>
                <w:szCs w:val="20"/>
              </w:rPr>
              <w:t>0,5%</w:t>
            </w:r>
          </w:p>
        </w:tc>
        <w:tc>
          <w:tcPr>
            <w:tcW w:w="481" w:type="pct"/>
            <w:tcBorders>
              <w:top w:val="nil"/>
              <w:left w:val="nil"/>
              <w:bottom w:val="nil"/>
              <w:right w:val="single" w:sz="4" w:space="0" w:color="800000"/>
            </w:tcBorders>
            <w:shd w:val="clear" w:color="000000" w:fill="FFFFCC"/>
            <w:vAlign w:val="bottom"/>
          </w:tcPr>
          <w:p w14:paraId="2664A2B0" w14:textId="77777777" w:rsidR="0016182D" w:rsidRPr="00385F1E" w:rsidRDefault="0016182D" w:rsidP="00D337DB">
            <w:pPr>
              <w:spacing w:line="360" w:lineRule="auto"/>
              <w:jc w:val="right"/>
              <w:rPr>
                <w:b/>
                <w:bCs/>
                <w:sz w:val="20"/>
                <w:szCs w:val="20"/>
              </w:rPr>
            </w:pPr>
            <w:r w:rsidRPr="00A61DD3">
              <w:rPr>
                <w:b/>
                <w:bCs/>
                <w:sz w:val="20"/>
                <w:szCs w:val="20"/>
              </w:rPr>
              <w:t>651,8</w:t>
            </w:r>
          </w:p>
        </w:tc>
        <w:tc>
          <w:tcPr>
            <w:tcW w:w="353" w:type="pct"/>
            <w:tcBorders>
              <w:top w:val="nil"/>
              <w:left w:val="nil"/>
              <w:bottom w:val="nil"/>
              <w:right w:val="single" w:sz="4" w:space="0" w:color="800000"/>
            </w:tcBorders>
            <w:shd w:val="clear" w:color="000000" w:fill="FFFFCC"/>
            <w:vAlign w:val="bottom"/>
          </w:tcPr>
          <w:p w14:paraId="7DC1EFF5" w14:textId="77777777" w:rsidR="0016182D" w:rsidRPr="00385F1E" w:rsidRDefault="0016182D" w:rsidP="00D337DB">
            <w:pPr>
              <w:spacing w:line="360" w:lineRule="auto"/>
              <w:jc w:val="right"/>
              <w:rPr>
                <w:b/>
                <w:bCs/>
                <w:sz w:val="20"/>
                <w:szCs w:val="20"/>
              </w:rPr>
            </w:pPr>
            <w:r w:rsidRPr="00A61DD3">
              <w:rPr>
                <w:b/>
                <w:bCs/>
                <w:sz w:val="20"/>
                <w:szCs w:val="20"/>
              </w:rPr>
              <w:t>0,4%</w:t>
            </w:r>
          </w:p>
        </w:tc>
        <w:tc>
          <w:tcPr>
            <w:tcW w:w="633" w:type="pct"/>
            <w:vMerge/>
            <w:tcBorders>
              <w:left w:val="nil"/>
              <w:right w:val="single" w:sz="4" w:space="0" w:color="800000"/>
            </w:tcBorders>
            <w:shd w:val="clear" w:color="000000" w:fill="FFFFCC"/>
          </w:tcPr>
          <w:p w14:paraId="141F88C9" w14:textId="77777777" w:rsidR="0016182D" w:rsidRPr="00A61DD3" w:rsidRDefault="0016182D" w:rsidP="00D337DB">
            <w:pPr>
              <w:jc w:val="right"/>
              <w:rPr>
                <w:b/>
                <w:bCs/>
                <w:sz w:val="20"/>
                <w:szCs w:val="20"/>
              </w:rPr>
            </w:pPr>
          </w:p>
        </w:tc>
        <w:tc>
          <w:tcPr>
            <w:tcW w:w="431" w:type="pct"/>
            <w:vMerge/>
            <w:tcBorders>
              <w:left w:val="nil"/>
              <w:right w:val="single" w:sz="4" w:space="0" w:color="800000"/>
            </w:tcBorders>
            <w:shd w:val="clear" w:color="000000" w:fill="FFFFCC"/>
          </w:tcPr>
          <w:p w14:paraId="18CF4763" w14:textId="77777777" w:rsidR="0016182D" w:rsidRPr="00A61DD3" w:rsidRDefault="0016182D" w:rsidP="00D337DB">
            <w:pPr>
              <w:jc w:val="right"/>
              <w:rPr>
                <w:b/>
                <w:bCs/>
                <w:sz w:val="20"/>
                <w:szCs w:val="20"/>
              </w:rPr>
            </w:pPr>
          </w:p>
        </w:tc>
      </w:tr>
      <w:tr w:rsidR="0016182D" w:rsidRPr="00385F1E" w14:paraId="2E4F2705" w14:textId="77777777" w:rsidTr="008F7DC2">
        <w:trPr>
          <w:trHeight w:val="276"/>
          <w:jc w:val="center"/>
        </w:trPr>
        <w:tc>
          <w:tcPr>
            <w:tcW w:w="1537" w:type="pct"/>
            <w:tcBorders>
              <w:top w:val="nil"/>
              <w:left w:val="double" w:sz="6" w:space="0" w:color="800000"/>
              <w:bottom w:val="double" w:sz="6" w:space="0" w:color="800000"/>
              <w:right w:val="single" w:sz="4" w:space="0" w:color="800000"/>
            </w:tcBorders>
            <w:shd w:val="clear" w:color="000000" w:fill="FFFFCC"/>
            <w:hideMark/>
          </w:tcPr>
          <w:p w14:paraId="05C962C9" w14:textId="77777777" w:rsidR="0016182D" w:rsidRPr="00385F1E" w:rsidRDefault="0016182D" w:rsidP="00D337DB">
            <w:pPr>
              <w:spacing w:line="360" w:lineRule="auto"/>
              <w:rPr>
                <w:b/>
                <w:bCs/>
                <w:sz w:val="20"/>
                <w:szCs w:val="20"/>
              </w:rPr>
            </w:pPr>
            <w:r w:rsidRPr="00385F1E">
              <w:rPr>
                <w:b/>
                <w:bCs/>
                <w:sz w:val="20"/>
                <w:szCs w:val="20"/>
              </w:rPr>
              <w:t>Вноска в общия бюджет на ЕС</w:t>
            </w:r>
          </w:p>
        </w:tc>
        <w:tc>
          <w:tcPr>
            <w:tcW w:w="455" w:type="pct"/>
            <w:tcBorders>
              <w:top w:val="nil"/>
              <w:left w:val="nil"/>
              <w:bottom w:val="double" w:sz="6" w:space="0" w:color="800000"/>
              <w:right w:val="single" w:sz="4" w:space="0" w:color="800000"/>
            </w:tcBorders>
            <w:shd w:val="clear" w:color="000000" w:fill="FFFFCC"/>
            <w:vAlign w:val="center"/>
          </w:tcPr>
          <w:p w14:paraId="19DF7AF6" w14:textId="77777777" w:rsidR="0016182D" w:rsidRPr="00385F1E" w:rsidRDefault="0016182D" w:rsidP="00D337DB">
            <w:pPr>
              <w:spacing w:line="360" w:lineRule="auto"/>
              <w:jc w:val="right"/>
              <w:rPr>
                <w:b/>
                <w:bCs/>
                <w:sz w:val="20"/>
                <w:szCs w:val="20"/>
              </w:rPr>
            </w:pPr>
            <w:r w:rsidRPr="00385F1E">
              <w:rPr>
                <w:b/>
                <w:bCs/>
                <w:sz w:val="20"/>
                <w:szCs w:val="20"/>
              </w:rPr>
              <w:t>1 295,5</w:t>
            </w:r>
          </w:p>
        </w:tc>
        <w:tc>
          <w:tcPr>
            <w:tcW w:w="344" w:type="pct"/>
            <w:tcBorders>
              <w:top w:val="nil"/>
              <w:left w:val="nil"/>
              <w:bottom w:val="double" w:sz="6" w:space="0" w:color="800000"/>
              <w:right w:val="single" w:sz="4" w:space="0" w:color="800000"/>
            </w:tcBorders>
            <w:shd w:val="clear" w:color="000000" w:fill="FFFFCC"/>
            <w:vAlign w:val="center"/>
          </w:tcPr>
          <w:p w14:paraId="2D7CDCDA" w14:textId="77777777" w:rsidR="0016182D" w:rsidRPr="00385F1E" w:rsidRDefault="0016182D" w:rsidP="00D337DB">
            <w:pPr>
              <w:spacing w:line="360" w:lineRule="auto"/>
              <w:jc w:val="right"/>
              <w:rPr>
                <w:b/>
                <w:bCs/>
                <w:sz w:val="20"/>
                <w:szCs w:val="20"/>
              </w:rPr>
            </w:pPr>
            <w:r w:rsidRPr="00385F1E">
              <w:rPr>
                <w:b/>
                <w:bCs/>
                <w:sz w:val="20"/>
                <w:szCs w:val="20"/>
              </w:rPr>
              <w:t>1,1%</w:t>
            </w:r>
          </w:p>
        </w:tc>
        <w:tc>
          <w:tcPr>
            <w:tcW w:w="422" w:type="pct"/>
            <w:tcBorders>
              <w:top w:val="nil"/>
              <w:left w:val="nil"/>
              <w:bottom w:val="double" w:sz="6" w:space="0" w:color="800000"/>
              <w:right w:val="single" w:sz="4" w:space="0" w:color="800000"/>
            </w:tcBorders>
            <w:shd w:val="clear" w:color="000000" w:fill="FFFFCC"/>
            <w:vAlign w:val="center"/>
          </w:tcPr>
          <w:p w14:paraId="2A31547D" w14:textId="77777777" w:rsidR="0016182D" w:rsidRPr="00385F1E" w:rsidRDefault="0016182D" w:rsidP="00D337DB">
            <w:pPr>
              <w:spacing w:line="360" w:lineRule="auto"/>
              <w:jc w:val="right"/>
              <w:rPr>
                <w:b/>
                <w:bCs/>
                <w:sz w:val="20"/>
                <w:szCs w:val="20"/>
              </w:rPr>
            </w:pPr>
            <w:r w:rsidRPr="00385F1E">
              <w:rPr>
                <w:b/>
                <w:bCs/>
                <w:sz w:val="20"/>
                <w:szCs w:val="20"/>
              </w:rPr>
              <w:t>1 681,0</w:t>
            </w:r>
          </w:p>
        </w:tc>
        <w:tc>
          <w:tcPr>
            <w:tcW w:w="344" w:type="pct"/>
            <w:tcBorders>
              <w:top w:val="nil"/>
              <w:left w:val="nil"/>
              <w:bottom w:val="double" w:sz="6" w:space="0" w:color="800000"/>
              <w:right w:val="single" w:sz="4" w:space="0" w:color="800000"/>
            </w:tcBorders>
            <w:shd w:val="clear" w:color="000000" w:fill="FFFFCC"/>
            <w:vAlign w:val="center"/>
          </w:tcPr>
          <w:p w14:paraId="41830937" w14:textId="77777777" w:rsidR="0016182D" w:rsidRPr="00385F1E" w:rsidRDefault="0016182D" w:rsidP="00D337DB">
            <w:pPr>
              <w:spacing w:line="360" w:lineRule="auto"/>
              <w:jc w:val="right"/>
              <w:rPr>
                <w:b/>
                <w:bCs/>
                <w:sz w:val="20"/>
                <w:szCs w:val="20"/>
              </w:rPr>
            </w:pPr>
            <w:r w:rsidRPr="00385F1E">
              <w:rPr>
                <w:b/>
                <w:bCs/>
                <w:sz w:val="20"/>
                <w:szCs w:val="20"/>
              </w:rPr>
              <w:t>1,</w:t>
            </w:r>
            <w:r w:rsidRPr="00A61DD3">
              <w:rPr>
                <w:b/>
                <w:bCs/>
                <w:sz w:val="20"/>
                <w:szCs w:val="20"/>
              </w:rPr>
              <w:t>2</w:t>
            </w:r>
            <w:r w:rsidRPr="00385F1E">
              <w:rPr>
                <w:b/>
                <w:bCs/>
                <w:sz w:val="20"/>
                <w:szCs w:val="20"/>
              </w:rPr>
              <w:t>%</w:t>
            </w:r>
          </w:p>
        </w:tc>
        <w:tc>
          <w:tcPr>
            <w:tcW w:w="481" w:type="pct"/>
            <w:tcBorders>
              <w:top w:val="nil"/>
              <w:left w:val="nil"/>
              <w:bottom w:val="double" w:sz="6" w:space="0" w:color="800000"/>
              <w:right w:val="single" w:sz="4" w:space="0" w:color="800000"/>
            </w:tcBorders>
            <w:shd w:val="clear" w:color="000000" w:fill="FFFFCC"/>
            <w:vAlign w:val="center"/>
          </w:tcPr>
          <w:p w14:paraId="5B055999" w14:textId="77777777" w:rsidR="0016182D" w:rsidRPr="00385F1E" w:rsidRDefault="0016182D" w:rsidP="00D337DB">
            <w:pPr>
              <w:spacing w:line="360" w:lineRule="auto"/>
              <w:jc w:val="right"/>
              <w:rPr>
                <w:b/>
                <w:bCs/>
                <w:sz w:val="20"/>
                <w:szCs w:val="20"/>
              </w:rPr>
            </w:pPr>
            <w:r w:rsidRPr="00A61DD3">
              <w:rPr>
                <w:b/>
                <w:bCs/>
                <w:sz w:val="20"/>
                <w:szCs w:val="20"/>
              </w:rPr>
              <w:t>1 705,0</w:t>
            </w:r>
          </w:p>
        </w:tc>
        <w:tc>
          <w:tcPr>
            <w:tcW w:w="353" w:type="pct"/>
            <w:tcBorders>
              <w:top w:val="nil"/>
              <w:left w:val="nil"/>
              <w:bottom w:val="double" w:sz="6" w:space="0" w:color="800000"/>
              <w:right w:val="single" w:sz="4" w:space="0" w:color="800000"/>
            </w:tcBorders>
            <w:shd w:val="clear" w:color="000000" w:fill="FFFFCC"/>
            <w:vAlign w:val="center"/>
          </w:tcPr>
          <w:p w14:paraId="774B1B85" w14:textId="77777777" w:rsidR="0016182D" w:rsidRPr="00385F1E" w:rsidRDefault="0016182D" w:rsidP="00D337DB">
            <w:pPr>
              <w:spacing w:line="360" w:lineRule="auto"/>
              <w:jc w:val="right"/>
              <w:rPr>
                <w:b/>
                <w:bCs/>
                <w:sz w:val="20"/>
                <w:szCs w:val="20"/>
              </w:rPr>
            </w:pPr>
            <w:r w:rsidRPr="00A61DD3">
              <w:rPr>
                <w:b/>
                <w:bCs/>
                <w:sz w:val="20"/>
                <w:szCs w:val="20"/>
              </w:rPr>
              <w:t>1,0%</w:t>
            </w:r>
          </w:p>
        </w:tc>
        <w:tc>
          <w:tcPr>
            <w:tcW w:w="633" w:type="pct"/>
            <w:vMerge/>
            <w:tcBorders>
              <w:left w:val="nil"/>
              <w:bottom w:val="double" w:sz="6" w:space="0" w:color="800000"/>
              <w:right w:val="single" w:sz="4" w:space="0" w:color="800000"/>
            </w:tcBorders>
            <w:shd w:val="clear" w:color="000000" w:fill="FFFFCC"/>
          </w:tcPr>
          <w:p w14:paraId="176BAE76" w14:textId="77777777" w:rsidR="0016182D" w:rsidRPr="00A61DD3" w:rsidRDefault="0016182D" w:rsidP="00D337DB">
            <w:pPr>
              <w:jc w:val="right"/>
              <w:rPr>
                <w:b/>
                <w:bCs/>
                <w:sz w:val="20"/>
                <w:szCs w:val="20"/>
              </w:rPr>
            </w:pPr>
          </w:p>
        </w:tc>
        <w:tc>
          <w:tcPr>
            <w:tcW w:w="431" w:type="pct"/>
            <w:vMerge/>
            <w:tcBorders>
              <w:left w:val="nil"/>
              <w:bottom w:val="double" w:sz="6" w:space="0" w:color="800000"/>
              <w:right w:val="single" w:sz="4" w:space="0" w:color="800000"/>
            </w:tcBorders>
            <w:shd w:val="clear" w:color="000000" w:fill="FFFFCC"/>
          </w:tcPr>
          <w:p w14:paraId="1910A323" w14:textId="77777777" w:rsidR="0016182D" w:rsidRPr="00A61DD3" w:rsidRDefault="0016182D" w:rsidP="00D337DB">
            <w:pPr>
              <w:jc w:val="right"/>
              <w:rPr>
                <w:b/>
                <w:bCs/>
                <w:sz w:val="20"/>
                <w:szCs w:val="20"/>
              </w:rPr>
            </w:pPr>
          </w:p>
        </w:tc>
      </w:tr>
    </w:tbl>
    <w:p w14:paraId="2D98B239" w14:textId="77777777" w:rsidR="0016182D" w:rsidRPr="00385F1E" w:rsidRDefault="0016182D" w:rsidP="0016182D">
      <w:pPr>
        <w:tabs>
          <w:tab w:val="left" w:pos="0"/>
        </w:tabs>
        <w:ind w:right="72" w:firstLine="720"/>
        <w:jc w:val="both"/>
      </w:pPr>
    </w:p>
    <w:p w14:paraId="55FA1284" w14:textId="77777777" w:rsidR="0016182D" w:rsidRPr="00385F1E" w:rsidRDefault="0016182D" w:rsidP="0016182D">
      <w:pPr>
        <w:autoSpaceDE w:val="0"/>
        <w:autoSpaceDN w:val="0"/>
        <w:adjustRightInd w:val="0"/>
        <w:jc w:val="both"/>
        <w:rPr>
          <w:sz w:val="18"/>
          <w:szCs w:val="18"/>
        </w:rPr>
      </w:pPr>
      <w:r w:rsidRPr="00385F1E">
        <w:rPr>
          <w:sz w:val="18"/>
          <w:szCs w:val="18"/>
        </w:rPr>
        <w:t>* вкл. разходите за членски внос, участия в нетърговски организации и дейности и платени данъци, такси и административни санкции</w:t>
      </w:r>
    </w:p>
    <w:p w14:paraId="75A53BAD" w14:textId="77777777" w:rsidR="0016182D" w:rsidRPr="00385F1E" w:rsidRDefault="0016182D" w:rsidP="0016182D">
      <w:pPr>
        <w:tabs>
          <w:tab w:val="left" w:pos="0"/>
        </w:tabs>
        <w:ind w:right="72" w:firstLine="720"/>
        <w:jc w:val="both"/>
        <w:rPr>
          <w:color w:val="0070C0"/>
        </w:rPr>
      </w:pPr>
    </w:p>
    <w:p w14:paraId="5EEF4100" w14:textId="11ECC064" w:rsidR="0016182D" w:rsidRPr="00A83C59" w:rsidRDefault="0016182D" w:rsidP="0016182D">
      <w:pPr>
        <w:tabs>
          <w:tab w:val="left" w:pos="6840"/>
          <w:tab w:val="left" w:pos="8280"/>
        </w:tabs>
        <w:ind w:firstLine="709"/>
        <w:jc w:val="both"/>
        <w:rPr>
          <w:rFonts w:eastAsia="Calibri"/>
          <w:bCs/>
        </w:rPr>
      </w:pPr>
      <w:r w:rsidRPr="00385F1E">
        <w:rPr>
          <w:bCs/>
        </w:rPr>
        <w:t>Разходите</w:t>
      </w:r>
      <w:r w:rsidRPr="00385F1E">
        <w:t xml:space="preserve"> (вкл. вноската в бюджета на ЕС) по КФП за </w:t>
      </w:r>
      <w:r w:rsidRPr="00DF647F">
        <w:t>2022</w:t>
      </w:r>
      <w:r w:rsidRPr="00385F1E">
        <w:t xml:space="preserve"> г. са в размер на </w:t>
      </w:r>
      <w:r w:rsidRPr="00DF647F">
        <w:t>66 112</w:t>
      </w:r>
      <w:r w:rsidRPr="00385F1E">
        <w:t>,</w:t>
      </w:r>
      <w:r w:rsidR="00A81650">
        <w:t>3</w:t>
      </w:r>
      <w:r w:rsidRPr="00DF647F">
        <w:t xml:space="preserve"> млн. лв. </w:t>
      </w:r>
      <w:r w:rsidRPr="00DF647F">
        <w:rPr>
          <w:rFonts w:eastAsia="Calibri"/>
          <w:b/>
          <w:szCs w:val="23"/>
        </w:rPr>
        <w:t>вкл. 3 181,0 млн. лв. разходи с еднократен извънреден характер, които не са включени в разчетите към ЗДБРБ за 2022 г.</w:t>
      </w:r>
      <w:r w:rsidRPr="00DF647F">
        <w:rPr>
          <w:rFonts w:eastAsia="Calibri"/>
        </w:rPr>
        <w:t xml:space="preserve"> </w:t>
      </w:r>
      <w:r w:rsidR="00A81650" w:rsidRPr="00385F1E">
        <w:t>Общите разходи, отнесени като процент от БВП, представляват 4</w:t>
      </w:r>
      <w:r w:rsidR="00A81650" w:rsidRPr="00BC46E5">
        <w:rPr>
          <w:lang w:val="ru-RU"/>
        </w:rPr>
        <w:t>0</w:t>
      </w:r>
      <w:r w:rsidR="00A81650" w:rsidRPr="00385F1E">
        <w:t>,</w:t>
      </w:r>
      <w:r w:rsidR="00A81650" w:rsidRPr="00BC46E5">
        <w:rPr>
          <w:lang w:val="ru-RU"/>
        </w:rPr>
        <w:t>0</w:t>
      </w:r>
      <w:r w:rsidR="00A81650" w:rsidRPr="00BC46E5">
        <w:t xml:space="preserve"> % от БВП и отбелязват намаление с</w:t>
      </w:r>
      <w:r w:rsidR="00A81650" w:rsidRPr="00385F1E">
        <w:t xml:space="preserve"> </w:t>
      </w:r>
      <w:r w:rsidR="00A81650" w:rsidRPr="00BC46E5">
        <w:rPr>
          <w:lang w:val="ru-RU"/>
        </w:rPr>
        <w:t>0</w:t>
      </w:r>
      <w:r w:rsidR="00A81650" w:rsidRPr="00385F1E">
        <w:t>,</w:t>
      </w:r>
      <w:r w:rsidR="00A81650" w:rsidRPr="00385F1E">
        <w:rPr>
          <w:lang w:val="ru-RU"/>
        </w:rPr>
        <w:t>5</w:t>
      </w:r>
      <w:r w:rsidR="00A81650" w:rsidRPr="00385F1E">
        <w:t xml:space="preserve"> пр. п. спрямо отчетените за 20</w:t>
      </w:r>
      <w:r w:rsidR="00A81650" w:rsidRPr="00BC46E5">
        <w:t>21</w:t>
      </w:r>
      <w:r w:rsidR="00A81650">
        <w:t> </w:t>
      </w:r>
      <w:r w:rsidR="00A81650" w:rsidRPr="00BC46E5">
        <w:t>г. (40,5</w:t>
      </w:r>
      <w:r w:rsidR="00A81650" w:rsidRPr="00385F1E">
        <w:t xml:space="preserve"> %).</w:t>
      </w:r>
      <w:r w:rsidR="00A81650">
        <w:t xml:space="preserve"> </w:t>
      </w:r>
      <w:r w:rsidRPr="00DF647F">
        <w:rPr>
          <w:rFonts w:eastAsia="Calibri"/>
          <w:bCs/>
        </w:rPr>
        <w:t xml:space="preserve">На съпоставима база с разчетите към ЗДБРБ за 2022 г. разходите по КФП са в размер на </w:t>
      </w:r>
      <w:r w:rsidR="00A81650">
        <w:rPr>
          <w:rFonts w:eastAsia="Calibri"/>
          <w:b/>
          <w:bCs/>
        </w:rPr>
        <w:t>62 931,3</w:t>
      </w:r>
      <w:r w:rsidRPr="00DF647F">
        <w:rPr>
          <w:rFonts w:eastAsia="Calibri"/>
          <w:b/>
          <w:bCs/>
        </w:rPr>
        <w:t> млн. лв., което представлява</w:t>
      </w:r>
      <w:r w:rsidRPr="00DF647F">
        <w:rPr>
          <w:rFonts w:eastAsia="Calibri"/>
          <w:bCs/>
        </w:rPr>
        <w:t xml:space="preserve"> </w:t>
      </w:r>
      <w:r w:rsidRPr="00DF647F">
        <w:rPr>
          <w:rFonts w:eastAsia="Calibri"/>
          <w:b/>
          <w:bCs/>
        </w:rPr>
        <w:t>95,5 % от разчета към ЗДБРБ за 2022 г</w:t>
      </w:r>
      <w:r w:rsidRPr="00DF647F">
        <w:rPr>
          <w:bCs/>
          <w:szCs w:val="20"/>
        </w:rPr>
        <w:t xml:space="preserve">. </w:t>
      </w:r>
      <w:r w:rsidRPr="00A83C59">
        <w:rPr>
          <w:rFonts w:eastAsia="Calibri"/>
          <w:bCs/>
        </w:rPr>
        <w:t>Разходите по КФП са по-ниски от планираните, като най-съществено забавяне при усвояването има при разходите по сметките за средства от ЕС. Основна причина за това е ниското усвояване на разходите по Плана за възстановяване и устойчивост (ПВУ) и някои оперативни програми от програмния период 2021-2027 г., като по-ниски от планираните са и разходите и предоставените трансфери по държавния бюджет. По-ниско от планираното е и усвояването на капиталовите разходи по държавния бюджет. Забавянето при изпълнението на проектите и програмите измества голяма част от планираните за 2022 г. разходи в 2023 г. и следващите години, което от една страна подобрява касовото салдо за 2022 г., но от друга води до натиск върху бюджета за 2023 година.</w:t>
      </w:r>
    </w:p>
    <w:p w14:paraId="1B9D7F3C" w14:textId="77777777" w:rsidR="0016182D" w:rsidRPr="0016182D" w:rsidRDefault="0016182D" w:rsidP="0016182D">
      <w:pPr>
        <w:pStyle w:val="Heading3"/>
        <w:numPr>
          <w:ilvl w:val="2"/>
          <w:numId w:val="8"/>
        </w:numPr>
        <w:ind w:left="1276" w:hanging="556"/>
        <w:jc w:val="both"/>
        <w:rPr>
          <w:rFonts w:ascii="Times New Roman" w:hAnsi="Times New Roman" w:cs="Times New Roman"/>
          <w:sz w:val="24"/>
          <w:szCs w:val="24"/>
          <w:lang w:val="bg-BG"/>
        </w:rPr>
      </w:pPr>
      <w:bookmarkStart w:id="247" w:name="_Toc494102634"/>
      <w:bookmarkStart w:id="248" w:name="_Toc525125591"/>
      <w:bookmarkStart w:id="249" w:name="_Toc18316947"/>
      <w:bookmarkStart w:id="250" w:name="_Toc51339826"/>
      <w:bookmarkStart w:id="251" w:name="_Toc83045490"/>
      <w:bookmarkStart w:id="252" w:name="_Toc136967015"/>
      <w:bookmarkStart w:id="253" w:name="_Toc146037902"/>
      <w:bookmarkEnd w:id="223"/>
      <w:bookmarkEnd w:id="224"/>
      <w:bookmarkEnd w:id="225"/>
      <w:bookmarkEnd w:id="226"/>
      <w:bookmarkEnd w:id="227"/>
      <w:bookmarkEnd w:id="228"/>
      <w:bookmarkEnd w:id="229"/>
      <w:bookmarkEnd w:id="230"/>
      <w:bookmarkEnd w:id="231"/>
      <w:bookmarkEnd w:id="232"/>
      <w:bookmarkEnd w:id="233"/>
      <w:r w:rsidRPr="0016182D">
        <w:rPr>
          <w:rFonts w:ascii="Times New Roman" w:hAnsi="Times New Roman" w:cs="Times New Roman"/>
          <w:sz w:val="24"/>
          <w:szCs w:val="24"/>
          <w:lang w:val="bg-BG"/>
        </w:rPr>
        <w:t>Текущи нелихвени разходи</w:t>
      </w:r>
      <w:bookmarkEnd w:id="247"/>
      <w:bookmarkEnd w:id="248"/>
      <w:bookmarkEnd w:id="249"/>
      <w:bookmarkEnd w:id="250"/>
      <w:bookmarkEnd w:id="251"/>
      <w:bookmarkEnd w:id="252"/>
      <w:bookmarkEnd w:id="253"/>
    </w:p>
    <w:p w14:paraId="616AEA6F" w14:textId="6C86CA52" w:rsidR="0016182D" w:rsidRPr="00385F1E" w:rsidRDefault="0016182D" w:rsidP="0016182D">
      <w:pPr>
        <w:ind w:firstLine="720"/>
        <w:jc w:val="both"/>
      </w:pPr>
      <w:r w:rsidRPr="00385F1E">
        <w:t xml:space="preserve">Отчетените текущи нелихвени разходи по консолидираната фискална програма за </w:t>
      </w:r>
      <w:r w:rsidRPr="00DF647F">
        <w:t>2022 г. са в размер на 58</w:t>
      </w:r>
      <w:r w:rsidR="005F2649">
        <w:t> 001,5</w:t>
      </w:r>
      <w:r w:rsidRPr="00DF647F">
        <w:t xml:space="preserve"> млн. лв. или 35</w:t>
      </w:r>
      <w:r w:rsidRPr="00385F1E">
        <w:rPr>
          <w:lang w:val="ru-RU"/>
        </w:rPr>
        <w:t>,</w:t>
      </w:r>
      <w:r w:rsidRPr="00DF647F">
        <w:t>1</w:t>
      </w:r>
      <w:r w:rsidRPr="00385F1E">
        <w:t xml:space="preserve"> % от БВП. </w:t>
      </w:r>
      <w:r w:rsidRPr="00EC3DC2">
        <w:rPr>
          <w:lang w:val="ru-RU"/>
        </w:rPr>
        <w:t xml:space="preserve">вкл. </w:t>
      </w:r>
      <w:r w:rsidRPr="004E717B">
        <w:rPr>
          <w:rFonts w:eastAsia="Calibri"/>
          <w:szCs w:val="23"/>
        </w:rPr>
        <w:t>3 181,0 млн. лв. разходи</w:t>
      </w:r>
      <w:r w:rsidRPr="00EC3DC2">
        <w:rPr>
          <w:lang w:val="ru-RU"/>
        </w:rPr>
        <w:t xml:space="preserve"> с еднократен извънреден характер, които не са включени в разчетите към ЗДБРБ за 2022</w:t>
      </w:r>
      <w:r>
        <w:t> </w:t>
      </w:r>
      <w:r w:rsidRPr="00EC3DC2">
        <w:rPr>
          <w:lang w:val="ru-RU"/>
        </w:rPr>
        <w:t xml:space="preserve">г. На съпоставима база с разчетите към ЗДБРБ за 2022 г. </w:t>
      </w:r>
      <w:r>
        <w:t xml:space="preserve">текущите </w:t>
      </w:r>
      <w:r>
        <w:rPr>
          <w:lang w:val="ru-RU"/>
        </w:rPr>
        <w:t>нелихвени разходи са в размер на 54</w:t>
      </w:r>
      <w:r w:rsidR="002E6D69">
        <w:rPr>
          <w:lang w:val="ru-RU"/>
        </w:rPr>
        <w:t> 820,5</w:t>
      </w:r>
      <w:r>
        <w:rPr>
          <w:lang w:val="ru-RU"/>
        </w:rPr>
        <w:t xml:space="preserve"> млн. лв., което представлява </w:t>
      </w:r>
      <w:r w:rsidR="002E6D69">
        <w:rPr>
          <w:lang w:val="ru-RU"/>
        </w:rPr>
        <w:t>99,8</w:t>
      </w:r>
      <w:r w:rsidRPr="00EC3DC2">
        <w:rPr>
          <w:lang w:val="ru-RU"/>
        </w:rPr>
        <w:t xml:space="preserve"> % от годишния разчет</w:t>
      </w:r>
      <w:r>
        <w:rPr>
          <w:lang w:val="ru-RU"/>
        </w:rPr>
        <w:t xml:space="preserve"> и 33,1 % от БВП</w:t>
      </w:r>
      <w:r w:rsidRPr="00EC3DC2">
        <w:rPr>
          <w:lang w:val="ru-RU"/>
        </w:rPr>
        <w:t>.</w:t>
      </w:r>
    </w:p>
    <w:p w14:paraId="5DB09C82" w14:textId="77777777" w:rsidR="0016182D" w:rsidRPr="00385F1E" w:rsidRDefault="0016182D" w:rsidP="002C58BC">
      <w:pPr>
        <w:keepNext/>
        <w:spacing w:before="240"/>
        <w:ind w:firstLine="360"/>
        <w:outlineLvl w:val="3"/>
        <w:rPr>
          <w:b/>
          <w:bCs/>
          <w:i/>
        </w:rPr>
      </w:pPr>
      <w:r w:rsidRPr="00385F1E">
        <w:rPr>
          <w:b/>
          <w:bCs/>
          <w:i/>
        </w:rPr>
        <w:t xml:space="preserve">      Разходи за персонал </w:t>
      </w:r>
    </w:p>
    <w:p w14:paraId="1B482392" w14:textId="77777777" w:rsidR="0016182D" w:rsidRPr="00385F1E" w:rsidRDefault="0016182D" w:rsidP="002C58BC">
      <w:pPr>
        <w:autoSpaceDE w:val="0"/>
        <w:autoSpaceDN w:val="0"/>
        <w:adjustRightInd w:val="0"/>
        <w:rPr>
          <w:b/>
          <w:bCs/>
          <w:color w:val="0070C0"/>
          <w:sz w:val="2"/>
          <w:szCs w:val="2"/>
        </w:rPr>
      </w:pPr>
    </w:p>
    <w:p w14:paraId="3989648B" w14:textId="6BD076B1" w:rsidR="0016182D" w:rsidRPr="00385F1E" w:rsidRDefault="0016182D" w:rsidP="002C58BC">
      <w:pPr>
        <w:jc w:val="both"/>
        <w:rPr>
          <w:color w:val="0070C0"/>
        </w:rPr>
      </w:pPr>
      <w:r w:rsidRPr="00385F1E">
        <w:t xml:space="preserve">През </w:t>
      </w:r>
      <w:r w:rsidRPr="00457DE6">
        <w:t>2022</w:t>
      </w:r>
      <w:r w:rsidRPr="00385F1E">
        <w:t xml:space="preserve"> г. разходите за персонал на конс</w:t>
      </w:r>
      <w:r w:rsidRPr="00457DE6">
        <w:t>олидир</w:t>
      </w:r>
      <w:r w:rsidR="00A81650">
        <w:t>ано ниво са в размер на 14 640,6</w:t>
      </w:r>
      <w:r w:rsidRPr="00457DE6">
        <w:t xml:space="preserve"> млн. лв., което представлява 8</w:t>
      </w:r>
      <w:r w:rsidRPr="00385F1E">
        <w:t>,</w:t>
      </w:r>
      <w:r w:rsidRPr="00457DE6">
        <w:rPr>
          <w:lang w:val="ru-RU"/>
        </w:rPr>
        <w:t>9</w:t>
      </w:r>
      <w:r w:rsidRPr="00385F1E">
        <w:t xml:space="preserve"> % от БВП. Разходите за персонал включват заплатите и възнагражденията на персонала, нает по трудови и служебни правоотношения и осигурителните вноски. </w:t>
      </w:r>
      <w:r w:rsidRPr="00385F1E">
        <w:rPr>
          <w:rFonts w:cs="Arial"/>
          <w:bCs/>
          <w:szCs w:val="26"/>
        </w:rPr>
        <w:t xml:space="preserve">През </w:t>
      </w:r>
      <w:r w:rsidRPr="00CD7AF7">
        <w:rPr>
          <w:rFonts w:cs="Arial"/>
          <w:bCs/>
          <w:szCs w:val="26"/>
        </w:rPr>
        <w:t>2022</w:t>
      </w:r>
      <w:r w:rsidRPr="00385F1E">
        <w:rPr>
          <w:rFonts w:cs="Arial"/>
          <w:bCs/>
          <w:szCs w:val="26"/>
        </w:rPr>
        <w:t xml:space="preserve"> г. номиналното годишно увеличение на общите разходи за заплати и възнаграждения на персонала в</w:t>
      </w:r>
      <w:r w:rsidRPr="00CD7AF7">
        <w:rPr>
          <w:rFonts w:cs="Arial"/>
          <w:bCs/>
          <w:szCs w:val="26"/>
        </w:rPr>
        <w:t>ъзлиза на 10,1</w:t>
      </w:r>
      <w:r w:rsidRPr="00385F1E">
        <w:rPr>
          <w:rFonts w:cs="Arial"/>
          <w:bCs/>
          <w:szCs w:val="26"/>
        </w:rPr>
        <w:t xml:space="preserve"> %. </w:t>
      </w:r>
      <w:r w:rsidRPr="00567A1E">
        <w:t>Увеличението на разходите за персонал през 2022</w:t>
      </w:r>
      <w:r w:rsidRPr="00567A1E">
        <w:rPr>
          <w:lang w:val="ru-RU"/>
        </w:rPr>
        <w:t xml:space="preserve"> </w:t>
      </w:r>
      <w:r w:rsidRPr="00567A1E">
        <w:t>г. е във връзка с</w:t>
      </w:r>
      <w:r w:rsidRPr="00567A1E">
        <w:rPr>
          <w:rFonts w:eastAsia="Calibri"/>
          <w:color w:val="000000"/>
        </w:rPr>
        <w:t xml:space="preserve"> увеличението на възнагражденията в сферата на образ</w:t>
      </w:r>
      <w:r>
        <w:rPr>
          <w:rFonts w:eastAsia="Calibri"/>
          <w:color w:val="000000"/>
        </w:rPr>
        <w:t>ованието</w:t>
      </w:r>
      <w:r w:rsidRPr="00567A1E">
        <w:rPr>
          <w:rFonts w:eastAsia="Calibri"/>
          <w:color w:val="000000"/>
        </w:rPr>
        <w:t xml:space="preserve"> през 2022 г. и с увеличение на разходите за персонал на органи и администрации, които са натоварени с дейности по овладяване на пандемията и последствията от COVID 19, в т.ч. за служители на първа линия.</w:t>
      </w:r>
    </w:p>
    <w:p w14:paraId="66E2ED6E" w14:textId="77777777" w:rsidR="0016182D" w:rsidRPr="00385F1E" w:rsidRDefault="0016182D" w:rsidP="0016182D">
      <w:pPr>
        <w:autoSpaceDE w:val="0"/>
        <w:autoSpaceDN w:val="0"/>
        <w:adjustRightInd w:val="0"/>
        <w:ind w:firstLine="720"/>
        <w:jc w:val="both"/>
      </w:pPr>
      <w:r w:rsidRPr="00385F1E">
        <w:t xml:space="preserve">В структурно отношение с най-голям относителен дял от съставните бюджети са разходите за персонал по държавния бюджет и по бюджетите на общините, свързано с обхвата и спецификата на делегираните им функции. </w:t>
      </w:r>
    </w:p>
    <w:p w14:paraId="2ABB72FF" w14:textId="77777777" w:rsidR="0016182D" w:rsidRPr="00385F1E" w:rsidRDefault="0016182D" w:rsidP="0016182D">
      <w:pPr>
        <w:keepNext/>
        <w:spacing w:before="240" w:after="60"/>
        <w:ind w:firstLine="720"/>
        <w:outlineLvl w:val="3"/>
        <w:rPr>
          <w:b/>
          <w:bCs/>
          <w:i/>
        </w:rPr>
      </w:pPr>
      <w:r w:rsidRPr="00385F1E">
        <w:rPr>
          <w:b/>
          <w:bCs/>
          <w:i/>
        </w:rPr>
        <w:t>Издръжка</w:t>
      </w:r>
    </w:p>
    <w:p w14:paraId="0F260EB6" w14:textId="7CC702A5" w:rsidR="0016182D" w:rsidRPr="00385F1E" w:rsidRDefault="0016182D" w:rsidP="0016182D">
      <w:pPr>
        <w:ind w:firstLine="720"/>
        <w:jc w:val="both"/>
        <w:rPr>
          <w:bCs/>
          <w:color w:val="0070C0"/>
          <w:sz w:val="8"/>
          <w:szCs w:val="8"/>
        </w:rPr>
      </w:pPr>
      <w:r w:rsidRPr="00385F1E">
        <w:t xml:space="preserve">Разходите за издръжка по КФП за </w:t>
      </w:r>
      <w:r w:rsidRPr="00323B29">
        <w:t>2022</w:t>
      </w:r>
      <w:r w:rsidRPr="00385F1E">
        <w:t xml:space="preserve"> г. са в размер на </w:t>
      </w:r>
      <w:r w:rsidRPr="00323B29">
        <w:t>7 10</w:t>
      </w:r>
      <w:r w:rsidR="00A81650">
        <w:t>8</w:t>
      </w:r>
      <w:r w:rsidRPr="00385F1E">
        <w:t>,</w:t>
      </w:r>
      <w:r w:rsidR="00A81650">
        <w:t>6</w:t>
      </w:r>
      <w:r w:rsidRPr="00323B29">
        <w:t xml:space="preserve"> млн. лв., което представлява 74</w:t>
      </w:r>
      <w:r w:rsidRPr="00385F1E">
        <w:t>,</w:t>
      </w:r>
      <w:r w:rsidR="00A81650">
        <w:t>1</w:t>
      </w:r>
      <w:r w:rsidRPr="00385F1E">
        <w:t xml:space="preserve"> % спрямо годишните разчети. Като относителен дял от БВП разходите за издръжка </w:t>
      </w:r>
      <w:r w:rsidRPr="00323B29">
        <w:t>представляват 4,3</w:t>
      </w:r>
      <w:r w:rsidRPr="00385F1E">
        <w:t xml:space="preserve"> % от БВП.</w:t>
      </w:r>
    </w:p>
    <w:p w14:paraId="58403B98" w14:textId="77777777" w:rsidR="0016182D" w:rsidRPr="00385F1E" w:rsidRDefault="0016182D" w:rsidP="0016182D">
      <w:pPr>
        <w:autoSpaceDE w:val="0"/>
        <w:autoSpaceDN w:val="0"/>
        <w:adjustRightInd w:val="0"/>
        <w:ind w:firstLine="720"/>
        <w:jc w:val="both"/>
        <w:rPr>
          <w:color w:val="0070C0"/>
        </w:rPr>
      </w:pPr>
      <w:r w:rsidRPr="00385F1E">
        <w:t>В разходите за издръжка се включват текущата издръжка, разходите за членски внос и участие в нетърговски организации и дейности и платените от първостепенните разпоредители с бюджет данъци, такси и административни санкции. Разходите за текуща издръжка обхващат разходите за храна, медикаменти, научно-изследователски разходи и книги, горива и енергия, външни услуги, текущ ремонт и други разходи. В структурно отношение разходите за издръжка са с висок относителен дял в общите разхо</w:t>
      </w:r>
      <w:r w:rsidRPr="00323B29">
        <w:t>ди по КФП (10,8</w:t>
      </w:r>
      <w:r w:rsidRPr="00385F1E">
        <w:t xml:space="preserve"> %). При разходите за текуща издръжка и през </w:t>
      </w:r>
      <w:r w:rsidRPr="00323B29">
        <w:t>2022</w:t>
      </w:r>
      <w:r w:rsidRPr="00385F1E">
        <w:t xml:space="preserve"> г. се запазва тенденцията с най-висок относителен дял </w:t>
      </w:r>
      <w:r w:rsidRPr="00AC3FD7">
        <w:t>(32,6</w:t>
      </w:r>
      <w:r w:rsidRPr="00385F1E">
        <w:t xml:space="preserve"> %) да са разходите за външни услуги (за ползване на външни услуги, разходи за консултантски и транспортни услуги, за поддръжка и ремонт на хардуер и софтуер и др.), следвани от </w:t>
      </w:r>
      <w:r w:rsidRPr="00AC3FD7">
        <w:t>разходите за текущ ремонт – 27</w:t>
      </w:r>
      <w:r w:rsidRPr="00385F1E">
        <w:t>,</w:t>
      </w:r>
      <w:r w:rsidRPr="00AC3FD7">
        <w:t>6</w:t>
      </w:r>
      <w:r w:rsidRPr="00385F1E">
        <w:t xml:space="preserve"> %</w:t>
      </w:r>
      <w:r w:rsidRPr="00AC3FD7">
        <w:rPr>
          <w:lang w:val="ru-RU"/>
        </w:rPr>
        <w:t xml:space="preserve"> </w:t>
      </w:r>
      <w:r w:rsidRPr="00AC3FD7">
        <w:t xml:space="preserve">и </w:t>
      </w:r>
      <w:r w:rsidRPr="00385F1E">
        <w:t>разходите за м</w:t>
      </w:r>
      <w:r w:rsidRPr="00AC3FD7">
        <w:t>атериали, горива и енергия  - 21,8</w:t>
      </w:r>
      <w:r w:rsidRPr="00385F1E">
        <w:rPr>
          <w:lang w:val="ru-RU"/>
        </w:rPr>
        <w:t xml:space="preserve"> </w:t>
      </w:r>
      <w:r w:rsidRPr="00385F1E">
        <w:t xml:space="preserve">%  и др. </w:t>
      </w:r>
    </w:p>
    <w:p w14:paraId="333B2171" w14:textId="77777777" w:rsidR="0016182D" w:rsidRPr="00385F1E" w:rsidRDefault="0016182D" w:rsidP="0016182D">
      <w:pPr>
        <w:autoSpaceDE w:val="0"/>
        <w:autoSpaceDN w:val="0"/>
        <w:adjustRightInd w:val="0"/>
        <w:ind w:firstLine="720"/>
        <w:jc w:val="both"/>
        <w:rPr>
          <w:bCs/>
        </w:rPr>
      </w:pPr>
      <w:r w:rsidRPr="00385F1E">
        <w:rPr>
          <w:bCs/>
        </w:rPr>
        <w:t>Средствата за компенсиране на транспорта на деца и ученици, съгласно чл. 283, ал. 2 от Закона</w:t>
      </w:r>
      <w:r w:rsidRPr="00385F1E">
        <w:t xml:space="preserve"> </w:t>
      </w:r>
      <w:r w:rsidRPr="00385F1E">
        <w:rPr>
          <w:bCs/>
        </w:rPr>
        <w:t>за предучилищното и училищното образование и на безплатните и по намалени цени превози на определени категории пътници, ползващи обществен автомобилен и железопътен транспорт, се планират като разходи за външни услуги в частта на издръжката. По пътя на изпълнението на бюджета предоставените по бюджетите на общините</w:t>
      </w:r>
      <w:r>
        <w:rPr>
          <w:bCs/>
        </w:rPr>
        <w:t xml:space="preserve"> средства за безплатни и по нама</w:t>
      </w:r>
      <w:r w:rsidRPr="00385F1E">
        <w:rPr>
          <w:bCs/>
        </w:rPr>
        <w:t>лени цени пътувания се отчитат от тях като текущи трансфери, обезщетения и помощи.</w:t>
      </w:r>
    </w:p>
    <w:p w14:paraId="7E7EC31D" w14:textId="77777777" w:rsidR="0016182D" w:rsidRPr="005B1716" w:rsidRDefault="0016182D" w:rsidP="0016182D">
      <w:pPr>
        <w:ind w:firstLine="720"/>
        <w:jc w:val="both"/>
        <w:rPr>
          <w:bCs/>
        </w:rPr>
      </w:pPr>
      <w:r w:rsidRPr="005B1716">
        <w:rPr>
          <w:bCs/>
        </w:rPr>
        <w:t>Компенсирането на намалените приходи от прилагането на цени за пътуване, предвидени в нормативни актове за определени категории пътници, по железопътния и автомобилния транспорт, със средства от държавния бюджет е регламентирано с чл. 52 от Закона за железопътния транспорт, с § 4, ал. 1, т. 2 от заключителните разпоредби към Закона за автомобилните превози, с чл. 283, ал. 2 от Закона за предучилищното и училищното образование и с разпоредбите на Закона за Министерството на вътрешните работи, Закона за изпълнение на наказанията и задържането под стража, Закона за съдебната власт, Закона за защита на лица, застрашени във връзка с наказателно производство, Закона за Държавна агенция „Национална сигурност“, Закона за специалните разузнавателни средства, Закона за защита на класифицираната информация и Закона за противодействие на корупцията и за отнемане на незаконно придобитото имущество. Предоставянето на права за пътуване с намаление спрямо редовната цена по железопътния и автомобилния транспорт на определени категории пътници - ветерани от войните, военноинвалиди, военнопострадали, многодетни майки, инвалиди, лица, получаващи пенсия, учащи се и деца, е елемент на провежданата социална политика.</w:t>
      </w:r>
      <w:r w:rsidRPr="005B1716" w:rsidDel="00DB5287">
        <w:rPr>
          <w:bCs/>
        </w:rPr>
        <w:t xml:space="preserve"> </w:t>
      </w:r>
      <w:r w:rsidRPr="005B1716">
        <w:rPr>
          <w:bCs/>
        </w:rPr>
        <w:t>Средствата за компенсиране се предоставят на транспортните дружества, въз основа на издадени превозни документи и реално извършени превози, до размера на направените намаления, съгласно редовните цени в действащите тарифи на превозвачите. По този начин се осигурява изразходване на средствата по предназначение.</w:t>
      </w:r>
    </w:p>
    <w:p w14:paraId="60103249" w14:textId="77777777" w:rsidR="0016182D" w:rsidRPr="005B1716" w:rsidRDefault="0016182D" w:rsidP="0016182D">
      <w:pPr>
        <w:ind w:firstLine="720"/>
        <w:jc w:val="both"/>
        <w:rPr>
          <w:bCs/>
        </w:rPr>
      </w:pPr>
      <w:r w:rsidRPr="005B1716">
        <w:rPr>
          <w:bCs/>
        </w:rPr>
        <w:t>Държавното финансово подпомагане е съгласувано с Европейската комисия.</w:t>
      </w:r>
    </w:p>
    <w:p w14:paraId="6865F302" w14:textId="77777777" w:rsidR="0016182D" w:rsidRPr="005B1716" w:rsidRDefault="0016182D" w:rsidP="0016182D">
      <w:pPr>
        <w:ind w:firstLine="720"/>
        <w:jc w:val="both"/>
        <w:rPr>
          <w:bCs/>
        </w:rPr>
      </w:pPr>
      <w:r w:rsidRPr="005B1716">
        <w:rPr>
          <w:bCs/>
        </w:rPr>
        <w:t>Утвърдените със Закона за държавния бюджет на Република България за 2022 г. (Oбн., ДВ, бр. 18 от 4.03.2022 г., в сила от 1.01.2022 г., изм. и доп., бр. 52 от 5.07.2022 г., в сила от 1.07.2022 г.) и Постановление № 31 на Министерския съвет от 17 март 2022 г. за изпълнението на държавния бюджет на Република България за 2022 г. (Oбн., ДВ, бр. 23 от 22.03.2022 г., в сила от 1.01.2022 г., изм. и доп., бр. 62 от 5.08.2022 г., в сила от 5.08.2022 г.) (ПМС № 31/2022 г.) средства за компенсиране на намалените приходи от прилагането на цени за пътуване, предвидени в нормативните актове за определени категории пътници, са в общ размер на 146,5 млн. лв. За пътнически превози по вътрешноградския транспорт и междуселищния автомобилен транспорт, за транспорт на деца и ученици по чл. 283, ал. 2 от Закона за предучилищното и училищното образование, за превоз на служители, ползващи право на безплатно пътуване при изпълнение на служебните си задължения, тези средства са 133,5 млн. лв., а за пътнически превози по железопътния транспорт – 13,0 млн. лв. Допълнително са предоставени средства за транспорт на деца и ученици, в размер 1,6 млн. лв., в съответствие с ПМС № 414/2022 г. С това общият размер на средствата за компенсиране на намалените приходи от прилагането на цени за пътуване, предвидени в нормативни актове за определени категории пътници, е увеличен на 148,1 млн. лв. за 2022</w:t>
      </w:r>
      <w:r>
        <w:rPr>
          <w:bCs/>
        </w:rPr>
        <w:t> </w:t>
      </w:r>
      <w:r w:rsidRPr="005B1716">
        <w:rPr>
          <w:bCs/>
        </w:rPr>
        <w:t>г. Предоставените средства за 2022 г. са общо в размер на 143,4 млн. лв., в т.ч. за вътрешноградския транспорт, междуселищния автомобилен транспорт и железопътния транспорт, или 96,8 на сто от уточнения годишен план.</w:t>
      </w:r>
    </w:p>
    <w:p w14:paraId="2A28816C" w14:textId="77777777" w:rsidR="0016182D" w:rsidRPr="005B1716" w:rsidRDefault="0016182D" w:rsidP="0016182D">
      <w:pPr>
        <w:ind w:firstLine="720"/>
        <w:jc w:val="both"/>
        <w:rPr>
          <w:bCs/>
        </w:rPr>
      </w:pPr>
      <w:r w:rsidRPr="005B1716">
        <w:rPr>
          <w:bCs/>
        </w:rPr>
        <w:t xml:space="preserve">През 2022 г. са предоставени средства за пътнически превози по железопътния транспорт на „БДЖ-Пътнически превози“ ЕООД в размер на 9,7 млн. лв. Изпълнението спрямо годишния план е 74,7 на сто, което е резултат от обема на предоставените услуги, съответно размера на направените намаления спрямо редовната тарифа, подлежащи на компенсиране.   </w:t>
      </w:r>
    </w:p>
    <w:p w14:paraId="6EF9E313" w14:textId="77777777" w:rsidR="0016182D" w:rsidRPr="005B1716" w:rsidRDefault="0016182D" w:rsidP="0016182D">
      <w:pPr>
        <w:ind w:firstLine="720"/>
        <w:jc w:val="both"/>
        <w:rPr>
          <w:bCs/>
        </w:rPr>
      </w:pPr>
      <w:r w:rsidRPr="005B1716">
        <w:rPr>
          <w:bCs/>
        </w:rPr>
        <w:t>Предоставените на общините чрез Системата за електронни бюджетни разплащания средства за компенсиране на намалените приходи от прилагането на цени за пътуване, предвидени в нормативни актове за определени категории пътници, по вътрешноградския транспорт и междуселищния автомобилен транспорт за 2022 г., диференцирани по групи правоимащи и размер на намалението спрямо редовната цена, в размер на 133,7 млн. лв., представляващи 99,0 на сто от годишния план, се разпределят както следва:</w:t>
      </w:r>
    </w:p>
    <w:p w14:paraId="03893DC0" w14:textId="77777777" w:rsidR="0016182D" w:rsidRPr="005B1716" w:rsidRDefault="0016182D" w:rsidP="0016182D">
      <w:pPr>
        <w:ind w:firstLine="720"/>
        <w:jc w:val="both"/>
        <w:rPr>
          <w:bCs/>
        </w:rPr>
      </w:pPr>
      <w:r w:rsidRPr="005B1716">
        <w:rPr>
          <w:bCs/>
        </w:rPr>
        <w:t xml:space="preserve">- 54,1 млн. лв. за транспорт на деца и ученици, като средствата са предоставени изцяло; </w:t>
      </w:r>
    </w:p>
    <w:p w14:paraId="4312AD51" w14:textId="77777777" w:rsidR="0016182D" w:rsidRPr="005B1716" w:rsidRDefault="0016182D" w:rsidP="0016182D">
      <w:pPr>
        <w:ind w:firstLine="720"/>
        <w:jc w:val="both"/>
        <w:rPr>
          <w:bCs/>
        </w:rPr>
      </w:pPr>
      <w:r w:rsidRPr="005B1716">
        <w:rPr>
          <w:bCs/>
        </w:rPr>
        <w:t>- 79,6 млн. лв. за безплатни и по намалени цени пътувания по общини, което е 98,3 на сто от уточнения годишен план, в това число:</w:t>
      </w:r>
    </w:p>
    <w:p w14:paraId="3E8FC99A" w14:textId="77777777" w:rsidR="0016182D" w:rsidRPr="005B1716" w:rsidRDefault="0016182D" w:rsidP="00BD39E0">
      <w:pPr>
        <w:numPr>
          <w:ilvl w:val="0"/>
          <w:numId w:val="37"/>
        </w:numPr>
        <w:jc w:val="both"/>
        <w:rPr>
          <w:bCs/>
        </w:rPr>
      </w:pPr>
      <w:r w:rsidRPr="005B1716">
        <w:rPr>
          <w:bCs/>
        </w:rPr>
        <w:t>62,6 млн. лв. за пътувания с вътрешноградския транспорт и междуселищния автомобилен транспорт. Изпълнението е 97,8 на сто спрямо годишния план;</w:t>
      </w:r>
    </w:p>
    <w:p w14:paraId="2D35F63C" w14:textId="77777777" w:rsidR="0016182D" w:rsidRPr="005B1716" w:rsidRDefault="0016182D" w:rsidP="00BD39E0">
      <w:pPr>
        <w:numPr>
          <w:ilvl w:val="0"/>
          <w:numId w:val="37"/>
        </w:numPr>
        <w:jc w:val="both"/>
        <w:rPr>
          <w:bCs/>
        </w:rPr>
      </w:pPr>
      <w:r w:rsidRPr="005B1716">
        <w:rPr>
          <w:bCs/>
        </w:rPr>
        <w:t xml:space="preserve">17,0 млн. лв. за превоз на служители, ползващи право на безплатно пътуване при изпълнение на служебните си задължения, като средствата са предоставени изцяло. </w:t>
      </w:r>
    </w:p>
    <w:p w14:paraId="0A3414BF" w14:textId="77777777" w:rsidR="0016182D" w:rsidRPr="005B1716" w:rsidRDefault="0016182D" w:rsidP="0016182D">
      <w:pPr>
        <w:ind w:firstLine="720"/>
        <w:jc w:val="both"/>
        <w:rPr>
          <w:bCs/>
        </w:rPr>
      </w:pPr>
      <w:r w:rsidRPr="005B1716">
        <w:rPr>
          <w:bCs/>
        </w:rPr>
        <w:t>През 2022 г., от централния бюджет на общините са предоставени средства за субсидии и компенсации за превози по вътрешноградския транспорт и междуселищния автомобилен транспорт, в общ размер на 314,1 млн. лв., като към 31.12.2022 г. неусвоени от тях в Системата за електронни бюджетни разплащания са 1,3 млн. лв. или 0,4 %. Информацията се отнася за всички предоставени на общините средства за субсидии и компенсации за обществени пътнически превози, в това число и осигурените с изменението на ЗДБРБ за 2022 г. допълнителни средства за сектор транспорт по чл. 1, ал. 5, т. 13 от ЗДБРБ за 2022 г ., условията и редът за предоставянето на които са уредени в ПМС № 216/2022 г. и ПМС № 228/2022 г.</w:t>
      </w:r>
    </w:p>
    <w:p w14:paraId="0B0C98AA" w14:textId="77777777" w:rsidR="0016182D" w:rsidRDefault="0016182D" w:rsidP="0016182D">
      <w:pPr>
        <w:ind w:firstLine="720"/>
        <w:jc w:val="both"/>
        <w:rPr>
          <w:color w:val="0070C0"/>
        </w:rPr>
      </w:pPr>
      <w:r w:rsidRPr="00385F1E">
        <w:rPr>
          <w:color w:val="0070C0"/>
        </w:rPr>
        <w:t xml:space="preserve"> </w:t>
      </w:r>
    </w:p>
    <w:p w14:paraId="7D496ADA" w14:textId="77777777" w:rsidR="0016182D" w:rsidRPr="00385F1E" w:rsidRDefault="0016182D" w:rsidP="0016182D">
      <w:pPr>
        <w:ind w:firstLine="720"/>
        <w:jc w:val="both"/>
        <w:rPr>
          <w:b/>
          <w:bCs/>
          <w:i/>
        </w:rPr>
      </w:pPr>
      <w:r w:rsidRPr="00385F1E">
        <w:rPr>
          <w:b/>
          <w:bCs/>
          <w:i/>
        </w:rPr>
        <w:t>Субсидии</w:t>
      </w:r>
    </w:p>
    <w:p w14:paraId="66975ADB" w14:textId="1A287534" w:rsidR="0016182D" w:rsidRPr="00385F1E" w:rsidRDefault="0016182D" w:rsidP="0016182D">
      <w:pPr>
        <w:ind w:firstLine="720"/>
        <w:jc w:val="both"/>
      </w:pPr>
      <w:r w:rsidRPr="00385F1E">
        <w:rPr>
          <w:bCs/>
        </w:rPr>
        <w:t xml:space="preserve">Общата сума на средствата, предоставени за субсидии за системата на здравеопазването, за предприятията от реалния сектор (вкл. организациите с нестопанска цел) и на финансови институции на консолидирана база през </w:t>
      </w:r>
      <w:r w:rsidRPr="009E1289">
        <w:rPr>
          <w:bCs/>
        </w:rPr>
        <w:t>2022</w:t>
      </w:r>
      <w:r w:rsidRPr="00385F1E">
        <w:rPr>
          <w:bCs/>
        </w:rPr>
        <w:t xml:space="preserve"> г. e </w:t>
      </w:r>
      <w:r w:rsidRPr="009E1289">
        <w:rPr>
          <w:bCs/>
        </w:rPr>
        <w:t>10 46</w:t>
      </w:r>
      <w:r w:rsidR="00A81650">
        <w:rPr>
          <w:bCs/>
        </w:rPr>
        <w:t>8</w:t>
      </w:r>
      <w:r w:rsidRPr="00385F1E">
        <w:rPr>
          <w:bCs/>
        </w:rPr>
        <w:t>,</w:t>
      </w:r>
      <w:r w:rsidR="00A81650">
        <w:rPr>
          <w:bCs/>
        </w:rPr>
        <w:t>0</w:t>
      </w:r>
      <w:r w:rsidRPr="009E1289">
        <w:rPr>
          <w:bCs/>
        </w:rPr>
        <w:t xml:space="preserve"> млн. лв., което представлява 6</w:t>
      </w:r>
      <w:r w:rsidRPr="00385F1E">
        <w:rPr>
          <w:bCs/>
        </w:rPr>
        <w:t>,</w:t>
      </w:r>
      <w:r w:rsidRPr="009E1289">
        <w:rPr>
          <w:bCs/>
        </w:rPr>
        <w:t>3</w:t>
      </w:r>
      <w:r>
        <w:rPr>
          <w:bCs/>
        </w:rPr>
        <w:t xml:space="preserve"> % от БВП,</w:t>
      </w:r>
      <w:r w:rsidRPr="004E717B">
        <w:rPr>
          <w:lang w:val="ru-RU"/>
        </w:rPr>
        <w:t xml:space="preserve"> </w:t>
      </w:r>
      <w:r w:rsidRPr="00EC3DC2">
        <w:rPr>
          <w:lang w:val="ru-RU"/>
        </w:rPr>
        <w:t xml:space="preserve">вкл. </w:t>
      </w:r>
      <w:r w:rsidRPr="004E717B">
        <w:rPr>
          <w:rFonts w:eastAsia="Calibri"/>
          <w:szCs w:val="23"/>
        </w:rPr>
        <w:t>3 181,0 млн. лв. разходи</w:t>
      </w:r>
      <w:r w:rsidRPr="00EC3DC2">
        <w:rPr>
          <w:lang w:val="ru-RU"/>
        </w:rPr>
        <w:t xml:space="preserve"> с еднократен извънреден характер, които не са включени в разчетите към ЗДБРБ за 2022</w:t>
      </w:r>
      <w:r>
        <w:t> </w:t>
      </w:r>
      <w:r w:rsidRPr="00EC3DC2">
        <w:rPr>
          <w:lang w:val="ru-RU"/>
        </w:rPr>
        <w:t xml:space="preserve">г. На съпоставима база с разчетите към ЗДБРБ за 2022 г. </w:t>
      </w:r>
      <w:r>
        <w:rPr>
          <w:lang w:val="ru-RU"/>
        </w:rPr>
        <w:t>разходите за субсидии са в размер на 7</w:t>
      </w:r>
      <w:r w:rsidRPr="00EC3DC2">
        <w:rPr>
          <w:lang w:val="ru-RU"/>
        </w:rPr>
        <w:t xml:space="preserve"> </w:t>
      </w:r>
      <w:r>
        <w:rPr>
          <w:lang w:val="ru-RU"/>
        </w:rPr>
        <w:t>28</w:t>
      </w:r>
      <w:r w:rsidR="00A81650">
        <w:rPr>
          <w:lang w:val="ru-RU"/>
        </w:rPr>
        <w:t>7</w:t>
      </w:r>
      <w:r w:rsidRPr="00EC3DC2">
        <w:rPr>
          <w:lang w:val="ru-RU"/>
        </w:rPr>
        <w:t>,</w:t>
      </w:r>
      <w:r w:rsidR="00A81650">
        <w:rPr>
          <w:lang w:val="ru-RU"/>
        </w:rPr>
        <w:t>0</w:t>
      </w:r>
      <w:r>
        <w:rPr>
          <w:lang w:val="ru-RU"/>
        </w:rPr>
        <w:t xml:space="preserve"> млн. лв., което представлява 126</w:t>
      </w:r>
      <w:r w:rsidRPr="00EC3DC2">
        <w:rPr>
          <w:lang w:val="ru-RU"/>
        </w:rPr>
        <w:t>,</w:t>
      </w:r>
      <w:r>
        <w:rPr>
          <w:lang w:val="ru-RU"/>
        </w:rPr>
        <w:t>4</w:t>
      </w:r>
      <w:r w:rsidRPr="00EC3DC2">
        <w:rPr>
          <w:lang w:val="ru-RU"/>
        </w:rPr>
        <w:t xml:space="preserve"> % от годишния разчет</w:t>
      </w:r>
      <w:r>
        <w:rPr>
          <w:lang w:val="ru-RU"/>
        </w:rPr>
        <w:t xml:space="preserve"> и 4,4 % от БВП</w:t>
      </w:r>
      <w:r w:rsidRPr="00EC3DC2">
        <w:rPr>
          <w:lang w:val="ru-RU"/>
        </w:rPr>
        <w:t>.</w:t>
      </w:r>
    </w:p>
    <w:p w14:paraId="578574D9" w14:textId="77777777" w:rsidR="0016182D" w:rsidRPr="00385F1E" w:rsidRDefault="0016182D" w:rsidP="0016182D">
      <w:pPr>
        <w:autoSpaceDE w:val="0"/>
        <w:autoSpaceDN w:val="0"/>
        <w:adjustRightInd w:val="0"/>
        <w:ind w:firstLine="720"/>
        <w:jc w:val="both"/>
        <w:rPr>
          <w:color w:val="0070C0"/>
        </w:rPr>
      </w:pPr>
      <w:r w:rsidRPr="00385F1E">
        <w:rPr>
          <w:bCs/>
        </w:rPr>
        <w:t xml:space="preserve"> </w:t>
      </w:r>
    </w:p>
    <w:p w14:paraId="35E09B40" w14:textId="77777777" w:rsidR="0016182D" w:rsidRPr="00385F1E" w:rsidRDefault="0016182D" w:rsidP="0016182D">
      <w:pPr>
        <w:autoSpaceDE w:val="0"/>
        <w:autoSpaceDN w:val="0"/>
        <w:adjustRightInd w:val="0"/>
        <w:ind w:firstLine="540"/>
        <w:jc w:val="both"/>
        <w:rPr>
          <w:bCs/>
          <w:color w:val="0070C0"/>
          <w:sz w:val="8"/>
          <w:szCs w:val="8"/>
        </w:rPr>
      </w:pPr>
    </w:p>
    <w:p w14:paraId="04B0A7BE" w14:textId="77777777" w:rsidR="0016182D" w:rsidRPr="00385F1E" w:rsidRDefault="0016182D" w:rsidP="0016182D">
      <w:pPr>
        <w:numPr>
          <w:ilvl w:val="0"/>
          <w:numId w:val="27"/>
        </w:numPr>
        <w:tabs>
          <w:tab w:val="num" w:pos="1620"/>
        </w:tabs>
        <w:autoSpaceDE w:val="0"/>
        <w:autoSpaceDN w:val="0"/>
        <w:adjustRightInd w:val="0"/>
        <w:ind w:firstLine="192"/>
        <w:rPr>
          <w:b/>
          <w:i/>
          <w:u w:val="single"/>
        </w:rPr>
      </w:pPr>
      <w:r w:rsidRPr="00385F1E">
        <w:rPr>
          <w:b/>
          <w:bCs/>
          <w:i/>
          <w:u w:val="single"/>
        </w:rPr>
        <w:t>Субсидии за нефинансовите предприятия от реалния сектор, организациите с нестопанска цел и финансови институции</w:t>
      </w:r>
    </w:p>
    <w:p w14:paraId="081FCE10" w14:textId="77777777" w:rsidR="0016182D" w:rsidRPr="00385F1E" w:rsidRDefault="0016182D" w:rsidP="0016182D">
      <w:pPr>
        <w:autoSpaceDE w:val="0"/>
        <w:autoSpaceDN w:val="0"/>
        <w:adjustRightInd w:val="0"/>
        <w:ind w:hanging="168"/>
        <w:jc w:val="both"/>
        <w:rPr>
          <w:color w:val="0070C0"/>
          <w:sz w:val="8"/>
          <w:szCs w:val="8"/>
          <w:u w:val="single"/>
        </w:rPr>
      </w:pPr>
    </w:p>
    <w:p w14:paraId="4730EB77" w14:textId="77777777" w:rsidR="0016182D" w:rsidRPr="00385F1E" w:rsidRDefault="0016182D" w:rsidP="0016182D">
      <w:pPr>
        <w:ind w:firstLine="540"/>
        <w:jc w:val="both"/>
        <w:rPr>
          <w:color w:val="0070C0"/>
          <w:sz w:val="8"/>
          <w:szCs w:val="8"/>
        </w:rPr>
      </w:pPr>
    </w:p>
    <w:p w14:paraId="3AC62227" w14:textId="77777777" w:rsidR="0016182D" w:rsidRPr="006C4C82" w:rsidRDefault="0016182D" w:rsidP="0016182D">
      <w:pPr>
        <w:ind w:firstLine="720"/>
        <w:jc w:val="both"/>
        <w:rPr>
          <w:bCs/>
        </w:rPr>
      </w:pPr>
      <w:r w:rsidRPr="006C4C82">
        <w:t>През 2022 г. държавата продължи да оказва финансова подкрепа на нефинансовите предприятия от реалния сектор в съответствие с ангажиментите и участието на правителството, свързани с интегриране на националната икономика към европейските структури и пазари.</w:t>
      </w:r>
    </w:p>
    <w:p w14:paraId="7EDDBDB3" w14:textId="27675ABB" w:rsidR="0016182D" w:rsidRPr="00385F1E" w:rsidRDefault="0016182D" w:rsidP="0016182D">
      <w:pPr>
        <w:ind w:right="72" w:firstLine="720"/>
        <w:jc w:val="both"/>
        <w:rPr>
          <w:color w:val="0070C0"/>
        </w:rPr>
      </w:pPr>
      <w:r w:rsidRPr="006C4C82">
        <w:t>Общата сума на средствата, изразходвани за субсидии за реалния сектор, организации с нестопанска цел и финансови институции, на консолидирано равнище е 10 </w:t>
      </w:r>
      <w:r w:rsidR="00A81650">
        <w:t>0</w:t>
      </w:r>
      <w:r w:rsidRPr="006C4C82">
        <w:t>6</w:t>
      </w:r>
      <w:r w:rsidR="00A81650">
        <w:t>5</w:t>
      </w:r>
      <w:r w:rsidRPr="006C4C82">
        <w:t>,9 млн. лв. или  18</w:t>
      </w:r>
      <w:r w:rsidR="00A81650">
        <w:t>3</w:t>
      </w:r>
      <w:r w:rsidRPr="006C4C82">
        <w:t>,</w:t>
      </w:r>
      <w:r w:rsidR="00A81650">
        <w:t>1</w:t>
      </w:r>
      <w:r w:rsidRPr="006C4C82">
        <w:t xml:space="preserve"> % спрямо предвидените за 2022 г. разчети. </w:t>
      </w:r>
    </w:p>
    <w:p w14:paraId="1BC3884C" w14:textId="77777777" w:rsidR="0016182D" w:rsidRPr="00A26DEC" w:rsidRDefault="0016182D" w:rsidP="0016182D">
      <w:pPr>
        <w:ind w:right="72" w:firstLine="720"/>
        <w:jc w:val="both"/>
      </w:pPr>
      <w:r w:rsidRPr="00614F67">
        <w:t>За з</w:t>
      </w:r>
      <w:r w:rsidRPr="00614F67">
        <w:rPr>
          <w:rFonts w:eastAsia="Calibri"/>
        </w:rPr>
        <w:t xml:space="preserve">начителния номинален ръст на субсидиите </w:t>
      </w:r>
      <w:r w:rsidRPr="00614F67">
        <w:rPr>
          <w:rFonts w:eastAsia="Calibri"/>
          <w:bCs/>
        </w:rPr>
        <w:t>за нефинансовите предприятия</w:t>
      </w:r>
      <w:r w:rsidRPr="00614F67">
        <w:rPr>
          <w:rFonts w:eastAsia="Calibri"/>
        </w:rPr>
        <w:t xml:space="preserve"> допринасят основно плащанията по </w:t>
      </w:r>
      <w:r>
        <w:rPr>
          <w:color w:val="000000"/>
        </w:rPr>
        <w:t xml:space="preserve">програмите за </w:t>
      </w:r>
      <w:r w:rsidRPr="00843132">
        <w:rPr>
          <w:color w:val="212121"/>
          <w:shd w:val="clear" w:color="auto" w:fill="FFFFFF"/>
        </w:rPr>
        <w:t>финансиране изпълнението на одобрените от Министерския съвет програми за компенсиране високите цени на енергията</w:t>
      </w:r>
      <w:r w:rsidRPr="00A26DEC">
        <w:rPr>
          <w:rFonts w:eastAsia="Calibri"/>
        </w:rPr>
        <w:t>,  субсидиите, изплатени от Държавен фонд „Земеделие“</w:t>
      </w:r>
      <w:r>
        <w:rPr>
          <w:rFonts w:eastAsia="Calibri"/>
        </w:rPr>
        <w:t xml:space="preserve"> и</w:t>
      </w:r>
      <w:r w:rsidRPr="00A26DEC">
        <w:rPr>
          <w:rFonts w:eastAsia="Calibri"/>
        </w:rPr>
        <w:t xml:space="preserve"> други. </w:t>
      </w:r>
    </w:p>
    <w:p w14:paraId="37508049" w14:textId="77777777" w:rsidR="0016182D" w:rsidRPr="00A26DEC" w:rsidRDefault="0016182D" w:rsidP="00094880">
      <w:pPr>
        <w:spacing w:after="120"/>
        <w:ind w:right="74" w:firstLine="720"/>
        <w:jc w:val="both"/>
      </w:pPr>
      <w:r w:rsidRPr="00A26DEC">
        <w:t>Субсидиите бяха предназначени  за следните отрасли и дейности:</w:t>
      </w:r>
    </w:p>
    <w:p w14:paraId="26563E99" w14:textId="77777777" w:rsidR="0016182D" w:rsidRDefault="0016182D" w:rsidP="00094880">
      <w:pPr>
        <w:numPr>
          <w:ilvl w:val="2"/>
          <w:numId w:val="27"/>
        </w:numPr>
        <w:tabs>
          <w:tab w:val="num" w:pos="1788"/>
        </w:tabs>
        <w:spacing w:after="120"/>
        <w:ind w:left="1800" w:hanging="180"/>
        <w:jc w:val="both"/>
        <w:rPr>
          <w:b/>
          <w:i/>
        </w:rPr>
      </w:pPr>
      <w:r w:rsidRPr="00225401">
        <w:rPr>
          <w:b/>
          <w:i/>
        </w:rPr>
        <w:t xml:space="preserve">Транспорт </w:t>
      </w:r>
    </w:p>
    <w:p w14:paraId="13FB5F91" w14:textId="77777777" w:rsidR="0016182D" w:rsidRPr="00225401" w:rsidRDefault="0016182D" w:rsidP="0001392F">
      <w:pPr>
        <w:ind w:firstLine="709"/>
        <w:jc w:val="both"/>
        <w:rPr>
          <w:i/>
        </w:rPr>
      </w:pPr>
      <w:r w:rsidRPr="00225401">
        <w:rPr>
          <w:i/>
        </w:rPr>
        <w:t>Железопътен транспорт</w:t>
      </w:r>
    </w:p>
    <w:p w14:paraId="2D8DF2E0" w14:textId="77777777" w:rsidR="0016182D" w:rsidRPr="00381B1D" w:rsidRDefault="0016182D" w:rsidP="0001392F">
      <w:pPr>
        <w:ind w:firstLine="720"/>
        <w:jc w:val="both"/>
      </w:pPr>
      <w:r w:rsidRPr="00225401">
        <w:rPr>
          <w:noProof/>
        </w:rPr>
        <w:t xml:space="preserve">В съответствие с чл. 54 от Закона за железопътния транспорт, със Закона за държавния бюджет на Република България за съответната година се разчитат средства за субсидии за </w:t>
      </w:r>
      <w:r w:rsidRPr="00225401">
        <w:rPr>
          <w:bCs/>
          <w:noProof/>
        </w:rPr>
        <w:t>„БДЖ-Пътнически превози“ ЕООД.</w:t>
      </w:r>
      <w:r w:rsidRPr="00225401">
        <w:t xml:space="preserve"> Средствата за субсидии се предоставят за осигуряване на изпълнението на задължението за извършване на обществени превозни услуги на пътници по железопътен транспорт, в съответствие със сключения договор между министъра на транспорта и съобщенията и дружеството. Субсидията е предназначена за компенсиране на дружеството във връзка с финансовите тежести, произтичащи от прилагането на тарифи и условия, наложени в интерес на потребителите.</w:t>
      </w:r>
      <w:r w:rsidRPr="00225401">
        <w:rPr>
          <w:rFonts w:ascii="Arial" w:hAnsi="Arial"/>
        </w:rPr>
        <w:t xml:space="preserve"> </w:t>
      </w:r>
    </w:p>
    <w:p w14:paraId="39AB53DE" w14:textId="77777777" w:rsidR="0016182D" w:rsidRPr="000B46FE" w:rsidRDefault="0016182D" w:rsidP="004C0771">
      <w:pPr>
        <w:ind w:firstLine="720"/>
        <w:jc w:val="both"/>
        <w:rPr>
          <w:noProof/>
          <w:color w:val="0070C0"/>
          <w:lang w:val="ru-RU"/>
        </w:rPr>
      </w:pPr>
      <w:r w:rsidRPr="00C04572">
        <w:rPr>
          <w:noProof/>
        </w:rPr>
        <w:t>През 2022 г. са пре</w:t>
      </w:r>
      <w:r>
        <w:rPr>
          <w:noProof/>
        </w:rPr>
        <w:t>доставени</w:t>
      </w:r>
      <w:r w:rsidRPr="00C04572">
        <w:rPr>
          <w:noProof/>
        </w:rPr>
        <w:t xml:space="preserve"> средства за субсидии от държавния бюджет</w:t>
      </w:r>
      <w:r w:rsidRPr="00C04572">
        <w:rPr>
          <w:noProof/>
          <w:lang w:val="ru-RU"/>
        </w:rPr>
        <w:t xml:space="preserve"> </w:t>
      </w:r>
      <w:r w:rsidRPr="00C04572">
        <w:rPr>
          <w:noProof/>
        </w:rPr>
        <w:t xml:space="preserve">за „БДЖ-Пътнически превози“ ЕООД в размер на 196,2 млн. лв. </w:t>
      </w:r>
      <w:r w:rsidRPr="000B46FE">
        <w:rPr>
          <w:noProof/>
        </w:rPr>
        <w:t>Средствата за субсидии за „БДЖ-Пътнически превози“ ЕООД се предоставят и отчитат чрез бюджета на Министерство на тр</w:t>
      </w:r>
      <w:r>
        <w:rPr>
          <w:noProof/>
        </w:rPr>
        <w:t xml:space="preserve">анспорта и съобщенията </w:t>
      </w:r>
      <w:r w:rsidRPr="000B46FE">
        <w:rPr>
          <w:lang w:val="ru-RU"/>
        </w:rPr>
        <w:t xml:space="preserve">на основата на сключен дългосрочен договор за извършване на обществени превозни услуги в областта на железопътния транспорт на територията на Република България. Субсидията е предназначена за компенсиране на разликата между реализираните приходи и направените разходи за осъществяване на превозната услуга. Субсидията се предоставя по утвърден месечен график. </w:t>
      </w:r>
      <w:r w:rsidRPr="000A6FB2">
        <w:rPr>
          <w:lang w:val="ru-RU"/>
        </w:rPr>
        <w:t>Допълнително н</w:t>
      </w:r>
      <w:r w:rsidRPr="000A6FB2">
        <w:rPr>
          <w:bCs/>
          <w:lang w:val="ru-RU"/>
        </w:rPr>
        <w:t xml:space="preserve">а </w:t>
      </w:r>
      <w:r w:rsidRPr="000A6FB2">
        <w:rPr>
          <w:lang w:val="ru-RU"/>
        </w:rPr>
        <w:t>„БДЖ – Пътнически превози” ЕООД</w:t>
      </w:r>
      <w:r w:rsidRPr="000A6FB2">
        <w:rPr>
          <w:bCs/>
          <w:lang w:val="ru-RU"/>
        </w:rPr>
        <w:t xml:space="preserve"> са предоставени и 2,6 млн. лв. за извършване на обществена превозна услуга – безплатен превоз на украински граждани под временна закрила, след първоначалната фаза на приемане и настаняване, с железопътен и автобусен транспорт на територията на Република България до определените населени места на отсядане, до 30 юни 2022 г., в изпълнение на ПМС 161/07.07.2022 г. и ПМС 365/09.11.2022 г.</w:t>
      </w:r>
    </w:p>
    <w:p w14:paraId="7CBD32FA" w14:textId="77777777" w:rsidR="0016182D" w:rsidRPr="006E6ABD" w:rsidRDefault="0016182D" w:rsidP="004C0771">
      <w:pPr>
        <w:ind w:firstLine="720"/>
        <w:jc w:val="both"/>
      </w:pPr>
      <w:r w:rsidRPr="006E6ABD">
        <w:t>Съгласно действащото законодателство, Национална компания „Железопътна инфраструктура“ е единствен управител на железопътната инфраструктура, който стопанисва и управлява предоставеното му имущество – публична и частна държавна собственост и на когото е възложено изграждането, поддържането, развитието и експлоатацията на железопътната инфраструктура.</w:t>
      </w:r>
    </w:p>
    <w:p w14:paraId="01599E08" w14:textId="77777777" w:rsidR="0016182D" w:rsidRPr="00E32F2A" w:rsidRDefault="0016182D" w:rsidP="004C0771">
      <w:pPr>
        <w:ind w:firstLine="720"/>
        <w:jc w:val="both"/>
      </w:pPr>
      <w:r w:rsidRPr="00E32F2A">
        <w:t>В изпълнение на чл. 25 от Закона за железопътния транспорт, държавата участва във финансирането на дейностите по изграждането, поддържането, развитието и експлоатацията на железопътната инфраструктура. По силата на тази разпоредба, размерът на финансирането се определя в рамките на дългосрочен договор между държавата, представлявана от министъра на транспорта и съобщенията, и Национална компания „Железопътна инфраструктура“. В началото на 2021 г. беше сключен действащия петгодишен договор между Държавата и предприятието. В него са разписани правата и отговорностите на инфраструктурния управител в изпълнение на дейностите по изграждането, поддържането, развитието и експлоатацията на железопътната инфраструктура.</w:t>
      </w:r>
    </w:p>
    <w:p w14:paraId="66103A19" w14:textId="1F544EDD" w:rsidR="0016182D" w:rsidRPr="00E32F2A" w:rsidRDefault="0016182D" w:rsidP="004C0771">
      <w:pPr>
        <w:ind w:firstLine="720"/>
        <w:jc w:val="both"/>
      </w:pPr>
      <w:r w:rsidRPr="00E32F2A">
        <w:t xml:space="preserve">Неразделна част от договора е годишната програма на Национална компания „Железопътна инфраструктура“, в която подробно </w:t>
      </w:r>
      <w:r w:rsidR="00A81650">
        <w:t>са</w:t>
      </w:r>
      <w:r w:rsidRPr="00E32F2A">
        <w:t xml:space="preserve"> описани мерките, предвидени за реализация през 2022 г. От особено значение са мерките по отношение на преструктуриране на дейностите и постигане на значително по-висока производителност и ефективност от изпълнението им.</w:t>
      </w:r>
    </w:p>
    <w:p w14:paraId="1791BCD5" w14:textId="77777777" w:rsidR="0016182D" w:rsidRPr="00E32F2A" w:rsidRDefault="0016182D" w:rsidP="004C0771">
      <w:pPr>
        <w:ind w:firstLine="720"/>
        <w:jc w:val="both"/>
      </w:pPr>
      <w:r w:rsidRPr="00E32F2A">
        <w:t>В договора, освен показателите за повишаване скоростта на движение по ж.п. мрежата в ремонтираните участъци, повишаване безопасността на превозите и повишаване качеството на ж.п. инфраструктурата, са предвидени и задължения за Национална компания „Железопътна инфраструктура“ да оптимизира разходите за дейността си и да отчита напредъка чрез показателя „оперативни разходи на един зает“. Също така е предвидено да се оптимизира персонала на един километър железен път, както и да не се допуска размерът на изискуемите задължения към доставчици и персонал за текущата година да надхвърля размера от предходната година. Тези показатели и задължения за Национална компания „Железопътна инфраструктура“ са заложени като инструменти за постигане на финансова стабилност на инфраструктурния управител, постигане на по-висока производителност на труда и съответно по-добра ефективност при изразходването на финансов ресурс от държавния бюджет.</w:t>
      </w:r>
    </w:p>
    <w:p w14:paraId="4D05FDF6" w14:textId="77777777" w:rsidR="0016182D" w:rsidRPr="00385F1E" w:rsidRDefault="0016182D" w:rsidP="00F311B8">
      <w:pPr>
        <w:ind w:firstLine="720"/>
        <w:jc w:val="both"/>
        <w:rPr>
          <w:color w:val="0070C0"/>
        </w:rPr>
      </w:pPr>
      <w:r>
        <w:t>Предоставените средства от държавния бюджет на</w:t>
      </w:r>
      <w:r w:rsidRPr="005E7200">
        <w:t xml:space="preserve"> </w:t>
      </w:r>
      <w:r w:rsidRPr="00E32F2A">
        <w:t xml:space="preserve">Национална компания „Железопътна инфраструктура“ </w:t>
      </w:r>
      <w:r w:rsidRPr="005E7200">
        <w:t>за 2022</w:t>
      </w:r>
      <w:r>
        <w:t> </w:t>
      </w:r>
      <w:r w:rsidRPr="005E7200">
        <w:t xml:space="preserve"> г. са в размер на 280,4 млн. лв. </w:t>
      </w:r>
      <w:r w:rsidRPr="005E7200">
        <w:rPr>
          <w:bCs/>
        </w:rPr>
        <w:t xml:space="preserve">(в т.ч. 1,6 млн. лв. за предотвратяване на последици от стихийни бедствия – ПМС № 154, ПМС № 188, ПМС № 387 от </w:t>
      </w:r>
      <w:r w:rsidRPr="00922331">
        <w:rPr>
          <w:bCs/>
        </w:rPr>
        <w:t>2022 г.</w:t>
      </w:r>
      <w:r w:rsidRPr="00922331">
        <w:rPr>
          <w:bCs/>
          <w:lang w:val="ru-RU"/>
        </w:rPr>
        <w:t>)</w:t>
      </w:r>
      <w:r>
        <w:rPr>
          <w:lang w:val="ru-RU"/>
        </w:rPr>
        <w:t xml:space="preserve">, които </w:t>
      </w:r>
      <w:r w:rsidRPr="00922331">
        <w:t xml:space="preserve">позволиха през 2022 г. компанията да изпълнява успешно дейностите по поддържането, ремонта и експлоатацията на железопътната инфраструктура. </w:t>
      </w:r>
    </w:p>
    <w:p w14:paraId="79ECA440" w14:textId="77777777" w:rsidR="0016182D" w:rsidRPr="00385F1E" w:rsidRDefault="0016182D" w:rsidP="0016182D">
      <w:pPr>
        <w:ind w:firstLine="720"/>
        <w:jc w:val="both"/>
        <w:rPr>
          <w:i/>
          <w:color w:val="0070C0"/>
          <w:sz w:val="12"/>
          <w:szCs w:val="12"/>
        </w:rPr>
      </w:pPr>
    </w:p>
    <w:p w14:paraId="06661BF2" w14:textId="77777777" w:rsidR="0016182D" w:rsidRPr="006466FB" w:rsidRDefault="0016182D" w:rsidP="004C0771">
      <w:pPr>
        <w:ind w:firstLine="709"/>
        <w:jc w:val="both"/>
        <w:rPr>
          <w:i/>
        </w:rPr>
      </w:pPr>
      <w:r w:rsidRPr="006466FB">
        <w:rPr>
          <w:i/>
        </w:rPr>
        <w:t>Автомобилен транспорт</w:t>
      </w:r>
    </w:p>
    <w:p w14:paraId="164ACD96" w14:textId="77777777" w:rsidR="0016182D" w:rsidRPr="008332F2" w:rsidRDefault="0016182D" w:rsidP="004C0771">
      <w:pPr>
        <w:tabs>
          <w:tab w:val="left" w:pos="900"/>
        </w:tabs>
        <w:ind w:firstLine="720"/>
        <w:jc w:val="both"/>
      </w:pPr>
      <w:r w:rsidRPr="008332F2">
        <w:t xml:space="preserve">В съответствие с § 4, ал. 1, т. 1 от заключителните разпоредби към Закона за автомобилните превози, ежегодно в държавния бюджет се предвиждат средства за субсидиране на превоза на пътниците по нерентабилни линии във вътрешноградския транспорт и транспорта в планински и други райони. Администрирането на предоставените средства се осъществява чрез общините, които разпределят средствата между превозвачите на база сключени договори с общините и при съблюдаване изискванията на Наредбата за условията и реда за предоставяне на средства за компенсиране на намалените приходи от прилагането на цени за обществени пътнически превози по автомобилния транспорт, предвидени в нормативните актове за определени категории пътници, за субсидиране на обществени пътнически превози по нерентабилни автобусни линии във вътрешноградския транспорт и транспорта в планински и други райони и за издаване на превозни документи за извършване на превозите, приета с ПМС № 163/2015 г. </w:t>
      </w:r>
    </w:p>
    <w:p w14:paraId="4EBDAF96" w14:textId="77777777" w:rsidR="0016182D" w:rsidRPr="008332F2" w:rsidRDefault="0016182D" w:rsidP="004C0771">
      <w:pPr>
        <w:tabs>
          <w:tab w:val="left" w:pos="900"/>
        </w:tabs>
        <w:ind w:firstLine="720"/>
        <w:jc w:val="both"/>
      </w:pPr>
      <w:r w:rsidRPr="008332F2">
        <w:t xml:space="preserve">Държавното финансово подпомагане е съгласувано с Европейската комисия. </w:t>
      </w:r>
    </w:p>
    <w:p w14:paraId="5E05DAE4" w14:textId="7099507F" w:rsidR="0016182D" w:rsidRPr="008332F2" w:rsidRDefault="0016182D" w:rsidP="004C0771">
      <w:pPr>
        <w:tabs>
          <w:tab w:val="left" w:pos="900"/>
        </w:tabs>
        <w:ind w:firstLine="720"/>
        <w:jc w:val="both"/>
      </w:pPr>
      <w:r w:rsidRPr="008332F2">
        <w:t xml:space="preserve">Със Закона за държавния бюджет на Република България за 2022 г. са предвидени средства за субсидиране на превоза на пътниците по нерентабилни линии във вътрешноградския транспорт и транспорта в планински и други райони, включително и за Столична община – вътрешноградски транспорт, в общ размер на 160,5 млн. лв. За 2022 г. предоставените средства под формата на субсидии са в размер на 160,4 млн. лв. или 99,96 на сто от предвидените по годишния план. </w:t>
      </w:r>
    </w:p>
    <w:p w14:paraId="21AB4F05" w14:textId="77777777" w:rsidR="0016182D" w:rsidRPr="008332F2" w:rsidRDefault="0016182D" w:rsidP="004C0771">
      <w:pPr>
        <w:tabs>
          <w:tab w:val="left" w:pos="900"/>
        </w:tabs>
        <w:ind w:firstLine="720"/>
        <w:jc w:val="both"/>
      </w:pPr>
      <w:r w:rsidRPr="008332F2">
        <w:t>С изменението на Закона за държавния бюджет на Република България за 2022 г., в чл. 1, ал. 5, т. 13.4 от същия закон са предвидени допълнителни средства в размер на 20,0 млн. лв. за превоз на пътници по междуселищни автобусни линии извън тези по § 4, ал. 1 и 2 от Заключителните разпоредби на Закона за автомобилните превози. Средствата са усвоени изцяло.</w:t>
      </w:r>
    </w:p>
    <w:p w14:paraId="440345C3" w14:textId="760DC695" w:rsidR="0016182D" w:rsidRPr="008332F2" w:rsidRDefault="0016182D" w:rsidP="004C0771">
      <w:pPr>
        <w:tabs>
          <w:tab w:val="left" w:pos="900"/>
        </w:tabs>
        <w:ind w:firstLine="720"/>
        <w:jc w:val="both"/>
      </w:pPr>
      <w:r w:rsidRPr="008332F2">
        <w:t>Характерно за услугите от обществен интерес е това, че те са услуги, при които водещ е интересът на потребителите. Поради тази причина държавата или общината възлага на пазарни оператори да ги предоставят при по-ниски цени или по-високо качество от тези, п</w:t>
      </w:r>
      <w:r w:rsidR="00A81650">
        <w:t>о</w:t>
      </w:r>
      <w:r w:rsidRPr="008332F2">
        <w:t xml:space="preserve"> които те биха ги предоставяли, ако изхождаха единствено от своите икономически интереси. Доколкото задължението за предоставяне на услугите, което води до икономическа неизгодност за съответния оператор, му е възложено от държавата (или общината), то именно държавата (общината) е тази, която следва да компенсира неизгодите от изпълнението на задължението. </w:t>
      </w:r>
    </w:p>
    <w:p w14:paraId="4C98269A" w14:textId="77777777" w:rsidR="0016182D" w:rsidRPr="00E568D2" w:rsidRDefault="0016182D" w:rsidP="004C0771">
      <w:pPr>
        <w:tabs>
          <w:tab w:val="left" w:pos="900"/>
        </w:tabs>
        <w:ind w:firstLine="720"/>
        <w:jc w:val="both"/>
      </w:pPr>
      <w:r w:rsidRPr="008332F2">
        <w:t xml:space="preserve">Средствата се предоставят на транспортните дружества въз основа на фактически извършени превози, при отчитане на нетния финансов ефект на операторите. По този начин се </w:t>
      </w:r>
      <w:r w:rsidRPr="00E568D2">
        <w:t>осигурява изразходване на средствата по предназначение.</w:t>
      </w:r>
    </w:p>
    <w:p w14:paraId="040DB6D8" w14:textId="77777777" w:rsidR="0016182D" w:rsidRPr="00E568D2" w:rsidRDefault="0016182D" w:rsidP="004C0771">
      <w:pPr>
        <w:numPr>
          <w:ilvl w:val="2"/>
          <w:numId w:val="27"/>
        </w:numPr>
        <w:spacing w:before="120" w:after="120"/>
        <w:ind w:left="1803" w:hanging="181"/>
        <w:jc w:val="both"/>
        <w:rPr>
          <w:b/>
          <w:i/>
        </w:rPr>
      </w:pPr>
      <w:r w:rsidRPr="00E568D2">
        <w:rPr>
          <w:b/>
          <w:i/>
        </w:rPr>
        <w:t>Пощенски услуги</w:t>
      </w:r>
    </w:p>
    <w:p w14:paraId="1D2C283B" w14:textId="77777777" w:rsidR="0016182D" w:rsidRPr="00E568D2" w:rsidRDefault="0016182D" w:rsidP="0016182D">
      <w:pPr>
        <w:ind w:firstLine="720"/>
        <w:jc w:val="both"/>
        <w:rPr>
          <w:noProof/>
        </w:rPr>
      </w:pPr>
      <w:r w:rsidRPr="00E568D2">
        <w:rPr>
          <w:noProof/>
        </w:rPr>
        <w:t>В съответствие с чл. 29 от Закона за пощенските услуги се предоставят средства за субсидии на „Български пощи“ ЕАД за изпълнението на задължението за извършване на универсалната пощенска услуга. С ПМС № 113/2020 г. на „Български пощи“ ЕАД е възложено извършването на услугата от общ икономически интерес по разпространение на периодични печатни издания (вестници и списания) с отстъпки на едро и дребно, директно или на абонаментна основа на територията на Република България.</w:t>
      </w:r>
    </w:p>
    <w:p w14:paraId="421015E8" w14:textId="0868B7CA" w:rsidR="0016182D" w:rsidRPr="00E568D2" w:rsidRDefault="0016182D" w:rsidP="0016182D">
      <w:pPr>
        <w:ind w:firstLine="720"/>
        <w:jc w:val="both"/>
        <w:rPr>
          <w:noProof/>
          <w:lang w:val="ru-RU"/>
        </w:rPr>
      </w:pPr>
      <w:r w:rsidRPr="00E568D2">
        <w:rPr>
          <w:noProof/>
        </w:rPr>
        <w:t xml:space="preserve"> Предоставените средства за субсидии за 2022 г. </w:t>
      </w:r>
      <w:r w:rsidRPr="00E568D2">
        <w:t xml:space="preserve">за „Български пощи” ЕАД </w:t>
      </w:r>
      <w:r w:rsidRPr="00E568D2">
        <w:rPr>
          <w:noProof/>
        </w:rPr>
        <w:t xml:space="preserve">са в общ размер на </w:t>
      </w:r>
      <w:r w:rsidRPr="00E568D2">
        <w:rPr>
          <w:lang w:val="ru-RU"/>
        </w:rPr>
        <w:t>89,8</w:t>
      </w:r>
      <w:r w:rsidRPr="00E568D2">
        <w:t xml:space="preserve"> </w:t>
      </w:r>
      <w:r w:rsidRPr="00E568D2">
        <w:rPr>
          <w:noProof/>
        </w:rPr>
        <w:t>млн. лева.</w:t>
      </w:r>
      <w:r w:rsidRPr="00E568D2">
        <w:rPr>
          <w:lang w:val="ru-RU"/>
        </w:rPr>
        <w:t xml:space="preserve"> </w:t>
      </w:r>
      <w:r w:rsidRPr="00E568D2">
        <w:t xml:space="preserve"> </w:t>
      </w:r>
      <w:r w:rsidRPr="00E568D2">
        <w:rPr>
          <w:lang w:val="ru-RU"/>
        </w:rPr>
        <w:t>(</w:t>
      </w:r>
      <w:r w:rsidRPr="00E568D2">
        <w:t xml:space="preserve">в т.ч. </w:t>
      </w:r>
      <w:r w:rsidRPr="00E568D2">
        <w:rPr>
          <w:lang w:val="ru-RU"/>
        </w:rPr>
        <w:t>6</w:t>
      </w:r>
      <w:r w:rsidR="00A81650">
        <w:rPr>
          <w:lang w:val="ru-RU"/>
        </w:rPr>
        <w:t>4</w:t>
      </w:r>
      <w:r w:rsidRPr="00E568D2">
        <w:rPr>
          <w:lang w:val="ru-RU"/>
        </w:rPr>
        <w:t>,</w:t>
      </w:r>
      <w:r w:rsidR="00A81650">
        <w:rPr>
          <w:lang w:val="ru-RU"/>
        </w:rPr>
        <w:t>6</w:t>
      </w:r>
      <w:r w:rsidRPr="00E568D2">
        <w:t xml:space="preserve"> млн. лв. за извършване на универсална пощенска услуга и </w:t>
      </w:r>
      <w:r w:rsidRPr="00E568D2">
        <w:rPr>
          <w:lang w:val="ru-RU"/>
        </w:rPr>
        <w:t>2</w:t>
      </w:r>
      <w:r w:rsidR="00A81650">
        <w:rPr>
          <w:lang w:val="ru-RU"/>
        </w:rPr>
        <w:t>5</w:t>
      </w:r>
      <w:r w:rsidRPr="00E568D2">
        <w:rPr>
          <w:lang w:val="ru-RU"/>
        </w:rPr>
        <w:t>,</w:t>
      </w:r>
      <w:r w:rsidR="00A81650">
        <w:rPr>
          <w:lang w:val="ru-RU"/>
        </w:rPr>
        <w:t>2</w:t>
      </w:r>
      <w:r w:rsidRPr="00E568D2">
        <w:t xml:space="preserve"> млн. лв. за разпространение на периодични печатни издания - вестници и списания</w:t>
      </w:r>
      <w:r w:rsidRPr="00E568D2">
        <w:rPr>
          <w:lang w:val="ru-RU"/>
        </w:rPr>
        <w:t>)</w:t>
      </w:r>
      <w:r w:rsidRPr="00E568D2">
        <w:t>.</w:t>
      </w:r>
    </w:p>
    <w:p w14:paraId="7E254124" w14:textId="77777777" w:rsidR="0016182D" w:rsidRPr="00385F1E" w:rsidRDefault="0016182D" w:rsidP="0016182D">
      <w:pPr>
        <w:ind w:firstLine="720"/>
        <w:rPr>
          <w:noProof/>
          <w:color w:val="0070C0"/>
          <w:lang w:val="ru-RU"/>
        </w:rPr>
      </w:pPr>
    </w:p>
    <w:p w14:paraId="7640F670" w14:textId="77777777" w:rsidR="0016182D" w:rsidRPr="001C2982" w:rsidRDefault="0016182D" w:rsidP="00371918">
      <w:pPr>
        <w:numPr>
          <w:ilvl w:val="2"/>
          <w:numId w:val="27"/>
        </w:numPr>
        <w:ind w:left="1803" w:hanging="181"/>
        <w:jc w:val="both"/>
        <w:rPr>
          <w:b/>
          <w:i/>
        </w:rPr>
      </w:pPr>
      <w:r w:rsidRPr="001C2982">
        <w:rPr>
          <w:b/>
          <w:i/>
        </w:rPr>
        <w:t>Земеделие</w:t>
      </w:r>
    </w:p>
    <w:p w14:paraId="39D404A0" w14:textId="4331E2BB" w:rsidR="0016182D" w:rsidRPr="00385F1E" w:rsidRDefault="0016182D" w:rsidP="00371918">
      <w:pPr>
        <w:ind w:firstLine="709"/>
        <w:jc w:val="both"/>
        <w:rPr>
          <w:bCs/>
          <w:noProof/>
          <w:color w:val="0070C0"/>
        </w:rPr>
      </w:pPr>
      <w:r w:rsidRPr="001C2982">
        <w:rPr>
          <w:bCs/>
          <w:noProof/>
        </w:rPr>
        <w:t xml:space="preserve">За 2022 г. чрез бюджета на Държавен фонд „Земеделие” (ДФЗ) и </w:t>
      </w:r>
      <w:r w:rsidRPr="001C2982">
        <w:t xml:space="preserve">сметката за средства от Европейския съюз на ДФ „Земеделие” </w:t>
      </w:r>
      <w:r w:rsidRPr="001C2982">
        <w:rPr>
          <w:bCs/>
          <w:noProof/>
        </w:rPr>
        <w:t xml:space="preserve">са изплатени субсидии и други текущи трансфери за </w:t>
      </w:r>
      <w:r w:rsidRPr="001C2982">
        <w:rPr>
          <w:bCs/>
          <w:i/>
          <w:noProof/>
        </w:rPr>
        <w:t>н</w:t>
      </w:r>
      <w:r w:rsidRPr="004538C7">
        <w:rPr>
          <w:bCs/>
          <w:i/>
          <w:noProof/>
        </w:rPr>
        <w:t>ефинансови предприятия</w:t>
      </w:r>
      <w:r w:rsidRPr="004538C7">
        <w:rPr>
          <w:bCs/>
          <w:noProof/>
        </w:rPr>
        <w:t xml:space="preserve"> </w:t>
      </w:r>
      <w:r w:rsidRPr="004538C7">
        <w:rPr>
          <w:bCs/>
          <w:i/>
          <w:noProof/>
        </w:rPr>
        <w:t>и юридически лица с нестопанска цел</w:t>
      </w:r>
      <w:r w:rsidRPr="004538C7">
        <w:rPr>
          <w:bCs/>
          <w:noProof/>
        </w:rPr>
        <w:t xml:space="preserve"> в размер на 1 086,6 млн. лв., в това число за </w:t>
      </w:r>
      <w:r w:rsidRPr="00524943">
        <w:rPr>
          <w:bCs/>
          <w:i/>
          <w:noProof/>
        </w:rPr>
        <w:t>нефинансови предприятия</w:t>
      </w:r>
      <w:r w:rsidRPr="00524943">
        <w:rPr>
          <w:bCs/>
          <w:noProof/>
        </w:rPr>
        <w:t xml:space="preserve"> – 1 062,3 млн. лв.: държавна помощ - субсидия в размер на 722,0</w:t>
      </w:r>
      <w:r>
        <w:rPr>
          <w:bCs/>
          <w:noProof/>
        </w:rPr>
        <w:t xml:space="preserve"> млн. лв.</w:t>
      </w:r>
      <w:r w:rsidRPr="0023449B">
        <w:rPr>
          <w:bCs/>
          <w:noProof/>
          <w:lang w:val="ru-RU"/>
        </w:rPr>
        <w:t>;</w:t>
      </w:r>
      <w:r w:rsidRPr="00524943">
        <w:rPr>
          <w:bCs/>
          <w:noProof/>
        </w:rPr>
        <w:t xml:space="preserve"> национални доплащания предходни кампании – 0,5 млн. лв.; преходна </w:t>
      </w:r>
      <w:r w:rsidRPr="00B77B6C">
        <w:rPr>
          <w:bCs/>
          <w:noProof/>
        </w:rPr>
        <w:t xml:space="preserve">национална помощ за животни – 73,9 млн. лв.; преходна национална помощ за тютюн – 70,1 млн. лв.; средства за ДДС по схеми „Училищен плод“ и „Училищно мляко“ – 7,0 млн. лв.; по изпълнителни листа, съдебни решения </w:t>
      </w:r>
      <w:r w:rsidRPr="00B77B6C">
        <w:rPr>
          <w:szCs w:val="20"/>
        </w:rPr>
        <w:t>– неразплатени европейски проекти</w:t>
      </w:r>
      <w:r w:rsidRPr="00B77B6C">
        <w:rPr>
          <w:bCs/>
          <w:noProof/>
        </w:rPr>
        <w:t xml:space="preserve"> – 0,4 млн. лв</w:t>
      </w:r>
      <w:r>
        <w:rPr>
          <w:bCs/>
          <w:noProof/>
        </w:rPr>
        <w:t xml:space="preserve">.; </w:t>
      </w:r>
      <w:r w:rsidRPr="00B77B6C">
        <w:rPr>
          <w:bCs/>
          <w:noProof/>
        </w:rPr>
        <w:t>средства по Програмата за развитие на селските райони в размер на 31,1 млн. лв</w:t>
      </w:r>
      <w:r w:rsidRPr="0023449B">
        <w:rPr>
          <w:bCs/>
          <w:noProof/>
        </w:rPr>
        <w:t>., 77,7 млн. лв. национално съфинансиране за директни плащания, прехвърлени към ЕЗФРСР; текущи субсидии за пазарни мерки – 7</w:t>
      </w:r>
      <w:r w:rsidR="00A81650">
        <w:rPr>
          <w:bCs/>
          <w:noProof/>
        </w:rPr>
        <w:t>7</w:t>
      </w:r>
      <w:r w:rsidRPr="0023449B">
        <w:rPr>
          <w:bCs/>
          <w:noProof/>
        </w:rPr>
        <w:t>,</w:t>
      </w:r>
      <w:r w:rsidR="00A81650">
        <w:rPr>
          <w:bCs/>
          <w:noProof/>
        </w:rPr>
        <w:t>0</w:t>
      </w:r>
      <w:r>
        <w:rPr>
          <w:bCs/>
          <w:noProof/>
        </w:rPr>
        <w:t xml:space="preserve"> млн. лв.;</w:t>
      </w:r>
      <w:r w:rsidRPr="0023449B">
        <w:t xml:space="preserve"> текущи субсидии по Програмата за морско дело и рибарство – 2,6 млн. лв,</w:t>
      </w:r>
      <w:r w:rsidRPr="0023449B">
        <w:rPr>
          <w:bCs/>
          <w:noProof/>
        </w:rPr>
        <w:t xml:space="preserve"> Изплатените субсидии и други текущи трансфери през 2022 г. на </w:t>
      </w:r>
      <w:r w:rsidRPr="0023449B">
        <w:rPr>
          <w:bCs/>
          <w:i/>
          <w:noProof/>
        </w:rPr>
        <w:t>юридически лица с нестопанска цел</w:t>
      </w:r>
      <w:r w:rsidRPr="0023449B">
        <w:rPr>
          <w:bCs/>
          <w:noProof/>
        </w:rPr>
        <w:t xml:space="preserve"> са в размер на </w:t>
      </w:r>
      <w:r w:rsidRPr="00286C48">
        <w:rPr>
          <w:bCs/>
          <w:noProof/>
        </w:rPr>
        <w:t>24,3 млн. лв. и са основно по линия на държавна помощ и средства по Програмата</w:t>
      </w:r>
      <w:r>
        <w:rPr>
          <w:bCs/>
          <w:noProof/>
        </w:rPr>
        <w:t xml:space="preserve"> за развитие на селските райони.</w:t>
      </w:r>
    </w:p>
    <w:p w14:paraId="15C250BC" w14:textId="77777777" w:rsidR="0016182D" w:rsidRPr="00385F1E" w:rsidRDefault="0016182D" w:rsidP="0016182D">
      <w:pPr>
        <w:tabs>
          <w:tab w:val="num" w:pos="0"/>
        </w:tabs>
        <w:ind w:firstLine="540"/>
        <w:rPr>
          <w:color w:val="0070C0"/>
          <w:sz w:val="16"/>
          <w:szCs w:val="16"/>
        </w:rPr>
      </w:pPr>
    </w:p>
    <w:p w14:paraId="5A9FF145" w14:textId="77777777" w:rsidR="0016182D" w:rsidRPr="001C2982" w:rsidRDefault="0016182D" w:rsidP="00371918">
      <w:pPr>
        <w:numPr>
          <w:ilvl w:val="2"/>
          <w:numId w:val="27"/>
        </w:numPr>
        <w:ind w:left="1800" w:hanging="180"/>
        <w:jc w:val="both"/>
        <w:rPr>
          <w:b/>
          <w:i/>
        </w:rPr>
      </w:pPr>
      <w:r w:rsidRPr="00385F1E">
        <w:rPr>
          <w:b/>
          <w:i/>
          <w:color w:val="0070C0"/>
        </w:rPr>
        <w:t xml:space="preserve"> </w:t>
      </w:r>
      <w:r w:rsidRPr="001C2982">
        <w:rPr>
          <w:b/>
          <w:i/>
        </w:rPr>
        <w:t>Енергетика</w:t>
      </w:r>
    </w:p>
    <w:p w14:paraId="44F7CE04" w14:textId="14262527" w:rsidR="0016182D" w:rsidRPr="00587AA2" w:rsidRDefault="0016182D" w:rsidP="00371918">
      <w:pPr>
        <w:pStyle w:val="ListParagraph"/>
        <w:numPr>
          <w:ilvl w:val="0"/>
          <w:numId w:val="80"/>
        </w:numPr>
        <w:tabs>
          <w:tab w:val="left" w:pos="1134"/>
        </w:tabs>
        <w:autoSpaceDE w:val="0"/>
        <w:autoSpaceDN w:val="0"/>
        <w:adjustRightInd w:val="0"/>
        <w:ind w:left="0" w:firstLine="810"/>
        <w:contextualSpacing w:val="0"/>
        <w:jc w:val="both"/>
        <w:rPr>
          <w:rFonts w:eastAsia="Calibri"/>
        </w:rPr>
      </w:pPr>
      <w:r w:rsidRPr="001C2982">
        <w:t>Ч</w:t>
      </w:r>
      <w:r w:rsidRPr="001C2982">
        <w:rPr>
          <w:lang w:val="ru-RU"/>
        </w:rPr>
        <w:t xml:space="preserve">рез бюджета на </w:t>
      </w:r>
      <w:r w:rsidRPr="00A863D5">
        <w:rPr>
          <w:lang w:val="ru-RU"/>
        </w:rPr>
        <w:t>Министерство на енергетиката</w:t>
      </w:r>
      <w:r w:rsidRPr="001C2982">
        <w:rPr>
          <w:lang w:val="ru-RU"/>
        </w:rPr>
        <w:t xml:space="preserve"> </w:t>
      </w:r>
      <w:r w:rsidRPr="001C2982">
        <w:t xml:space="preserve">през 2022 г. </w:t>
      </w:r>
      <w:r w:rsidRPr="001C2982">
        <w:rPr>
          <w:lang w:val="ru-RU"/>
        </w:rPr>
        <w:t xml:space="preserve">са изплатени </w:t>
      </w:r>
      <w:r w:rsidRPr="001C2982">
        <w:t xml:space="preserve">субсидии в размер на </w:t>
      </w:r>
      <w:r w:rsidRPr="00A863D5">
        <w:t>499,0</w:t>
      </w:r>
      <w:r w:rsidRPr="001C2982">
        <w:t xml:space="preserve"> млн. лв. </w:t>
      </w:r>
      <w:r w:rsidRPr="00E568D2">
        <w:rPr>
          <w:iCs/>
        </w:rPr>
        <w:t xml:space="preserve">Предоставените от бюджета на МЕ средства </w:t>
      </w:r>
      <w:r w:rsidRPr="00587AA2">
        <w:rPr>
          <w:iCs/>
        </w:rPr>
        <w:t xml:space="preserve">представляват преведените </w:t>
      </w:r>
      <w:r w:rsidRPr="00587AA2">
        <w:rPr>
          <w:rFonts w:eastAsia="Calibri"/>
        </w:rPr>
        <w:t xml:space="preserve">субсидии на ДП „Радиоактивни отпадъци“ </w:t>
      </w:r>
      <w:r w:rsidR="002E026F" w:rsidRPr="002E026F">
        <w:rPr>
          <w:rFonts w:eastAsia="Calibri"/>
        </w:rPr>
        <w:t xml:space="preserve">(49,0 млн. лв., в т.ч. от фонд „РАО“ 24,7 млн. лв. и от фонд „ИЕЯС“ 24,3 млн. лв.) </w:t>
      </w:r>
      <w:r w:rsidRPr="00E568D2">
        <w:rPr>
          <w:rFonts w:eastAsia="Calibri"/>
        </w:rPr>
        <w:t xml:space="preserve"> за финансиране на дейностите по управление на р</w:t>
      </w:r>
      <w:r w:rsidRPr="00E568D2">
        <w:t>адиоактивни отпадъци</w:t>
      </w:r>
      <w:r w:rsidRPr="00E568D2">
        <w:rPr>
          <w:rFonts w:eastAsia="Calibri"/>
        </w:rPr>
        <w:t xml:space="preserve"> и по извеждане от експлоатация на ядрени съоръжения и </w:t>
      </w:r>
      <w:r w:rsidRPr="00E568D2">
        <w:rPr>
          <w:bCs/>
        </w:rPr>
        <w:t xml:space="preserve">450,0 млн. лв. за </w:t>
      </w:r>
      <w:r w:rsidRPr="00587AA2">
        <w:rPr>
          <w:bCs/>
        </w:rPr>
        <w:t>компенсация на високите цени на енергийните ресурси и горивата</w:t>
      </w:r>
      <w:r w:rsidRPr="00587AA2">
        <w:rPr>
          <w:rFonts w:eastAsia="Calibri"/>
        </w:rPr>
        <w:t xml:space="preserve">. </w:t>
      </w:r>
    </w:p>
    <w:p w14:paraId="71A74325" w14:textId="77777777" w:rsidR="0016182D" w:rsidRPr="0067331E" w:rsidRDefault="0016182D" w:rsidP="00BD39E0">
      <w:pPr>
        <w:pStyle w:val="ListParagraph"/>
        <w:numPr>
          <w:ilvl w:val="0"/>
          <w:numId w:val="80"/>
        </w:numPr>
        <w:tabs>
          <w:tab w:val="left" w:pos="1134"/>
        </w:tabs>
        <w:autoSpaceDE w:val="0"/>
        <w:autoSpaceDN w:val="0"/>
        <w:adjustRightInd w:val="0"/>
        <w:spacing w:after="120"/>
        <w:ind w:left="0" w:firstLine="810"/>
        <w:jc w:val="both"/>
        <w:rPr>
          <w:rFonts w:eastAsia="Calibri"/>
        </w:rPr>
      </w:pPr>
      <w:r w:rsidRPr="00587AA2">
        <w:rPr>
          <w:rFonts w:eastAsia="Calibri"/>
        </w:rPr>
        <w:t>Чрез бюджета на</w:t>
      </w:r>
      <w:r w:rsidRPr="00587AA2">
        <w:rPr>
          <w:color w:val="212121"/>
          <w:shd w:val="clear" w:color="auto" w:fill="FFFFFF"/>
          <w:lang w:val="ru-RU"/>
        </w:rPr>
        <w:t xml:space="preserve"> Фонд </w:t>
      </w:r>
      <w:r w:rsidRPr="00587AA2">
        <w:rPr>
          <w:color w:val="212121"/>
          <w:shd w:val="clear" w:color="auto" w:fill="FFFFFF"/>
        </w:rPr>
        <w:t xml:space="preserve">„Сигурност на електроенергийната система“ са извършени разходи в  размер на 6 382,1 млн. лв.  за финансиране на програми за компенсации на високите цени на енергията, както и за покриване на разходите, извършени от обществения доставчик, произтичащи от задълженията му по чл. 93а и 94 от ЗЕ и  за предоставяне на премия на производител по чл. 162а от ЗЕ и производител на електрическа енергия от възобновяеми източници с обща инсталирана мощност 0.5 MW и над 0.5  MW </w:t>
      </w:r>
      <w:r w:rsidRPr="0067331E">
        <w:rPr>
          <w:color w:val="212121"/>
          <w:shd w:val="clear" w:color="auto" w:fill="FFFFFF"/>
        </w:rPr>
        <w:t>по ЗЕ.</w:t>
      </w:r>
    </w:p>
    <w:p w14:paraId="38C7DE86" w14:textId="77777777" w:rsidR="0016182D" w:rsidRPr="0067331E" w:rsidRDefault="0016182D" w:rsidP="0016182D">
      <w:pPr>
        <w:numPr>
          <w:ilvl w:val="2"/>
          <w:numId w:val="27"/>
        </w:numPr>
        <w:spacing w:after="120"/>
        <w:ind w:left="1800" w:hanging="180"/>
        <w:jc w:val="both"/>
        <w:rPr>
          <w:b/>
          <w:i/>
        </w:rPr>
      </w:pPr>
      <w:r w:rsidRPr="0067331E">
        <w:rPr>
          <w:b/>
          <w:i/>
        </w:rPr>
        <w:t>Програми за заетост</w:t>
      </w:r>
    </w:p>
    <w:p w14:paraId="66B08CB9" w14:textId="166C02F1" w:rsidR="0016182D" w:rsidRPr="0067331E" w:rsidRDefault="0016182D" w:rsidP="00AA7EF9">
      <w:pPr>
        <w:spacing w:after="120"/>
        <w:ind w:firstLine="709"/>
        <w:jc w:val="both"/>
      </w:pPr>
      <w:r w:rsidRPr="0067331E">
        <w:t>Предоставените субсидии за нефинансови предприятия от бюджета на МТСП за 2022 г. са в размер на</w:t>
      </w:r>
      <w:r w:rsidRPr="0067331E">
        <w:rPr>
          <w:lang w:val="ru-RU"/>
        </w:rPr>
        <w:t xml:space="preserve"> </w:t>
      </w:r>
      <w:r w:rsidR="0067331E" w:rsidRPr="0067331E">
        <w:t xml:space="preserve">31,0 </w:t>
      </w:r>
      <w:r w:rsidRPr="0067331E">
        <w:t xml:space="preserve">млн. лв. за програми и мерки за заетост по сключени договори по Националния план за действие по заетостта през 2022 г. </w:t>
      </w:r>
    </w:p>
    <w:p w14:paraId="1E139171" w14:textId="77777777" w:rsidR="0016182D" w:rsidRPr="00385F1E" w:rsidRDefault="0016182D" w:rsidP="0016182D">
      <w:pPr>
        <w:ind w:firstLine="540"/>
        <w:jc w:val="both"/>
        <w:rPr>
          <w:color w:val="0070C0"/>
          <w:sz w:val="8"/>
          <w:szCs w:val="8"/>
        </w:rPr>
      </w:pPr>
    </w:p>
    <w:p w14:paraId="6FBF55AB" w14:textId="77777777" w:rsidR="0016182D" w:rsidRPr="00385F1E" w:rsidRDefault="0016182D" w:rsidP="0016182D">
      <w:pPr>
        <w:rPr>
          <w:color w:val="0070C0"/>
          <w:sz w:val="8"/>
          <w:szCs w:val="8"/>
        </w:rPr>
      </w:pPr>
    </w:p>
    <w:p w14:paraId="1A46751D" w14:textId="77777777" w:rsidR="0016182D" w:rsidRPr="00A425DF" w:rsidRDefault="0016182D" w:rsidP="006C1437">
      <w:pPr>
        <w:numPr>
          <w:ilvl w:val="0"/>
          <w:numId w:val="27"/>
        </w:numPr>
        <w:tabs>
          <w:tab w:val="num" w:pos="900"/>
          <w:tab w:val="num" w:pos="1620"/>
        </w:tabs>
        <w:autoSpaceDE w:val="0"/>
        <w:autoSpaceDN w:val="0"/>
        <w:adjustRightInd w:val="0"/>
        <w:ind w:left="1066" w:firstLine="193"/>
        <w:jc w:val="both"/>
        <w:rPr>
          <w:b/>
          <w:bCs/>
          <w:i/>
          <w:u w:val="single"/>
        </w:rPr>
      </w:pPr>
      <w:r w:rsidRPr="00A425DF">
        <w:rPr>
          <w:b/>
          <w:bCs/>
          <w:i/>
          <w:u w:val="single"/>
        </w:rPr>
        <w:t>Субсидии за системата на здравеопазването</w:t>
      </w:r>
    </w:p>
    <w:p w14:paraId="1C0793E8" w14:textId="77777777" w:rsidR="0016182D" w:rsidRPr="001E6FCF" w:rsidRDefault="0016182D" w:rsidP="006C1437">
      <w:pPr>
        <w:ind w:firstLine="709"/>
        <w:jc w:val="both"/>
      </w:pPr>
      <w:r w:rsidRPr="00A425DF">
        <w:t xml:space="preserve">Субсидиите за лечебни заведения за болнична помощ през 2022 г., в размер на </w:t>
      </w:r>
      <w:r w:rsidRPr="005D1484">
        <w:t>402,1 млн. лв. Чрез бюджета на Министерство на здравеопазването са предоставени 222,7 млн. лв. и са за поддържане на готовност на лечебните заведения за оказване на медицинска помощ през периода на обявена извънредна епидемична обстановка, чрез осигуряване на над 50 на сто от легловия капацитет за лечение на пациенти с коронавирусна инфекция, за кислородолечение, както и за финансиране на медицински дейности, които са държавна отговорност, съгласно действащото законодателство в областта на здравеопазването – психиатрична помощ, спешна медицинска помощ, лечение на болни от ХИВ/СПИН, трансплантация на тъкани, органи и клетки, медицинска експертиза на работоспособността и др., и за финансово подпомагане на лечебни заведения за болнична помощ в отдалечени и трудно достъпни райони, в които липсата на здравни звена представлява сериозен риск за населението. В рамките на този ресурс на болниците е предоставена изравнителна субсидия за дейностите, изпълнени по договорите до края на 2021</w:t>
      </w:r>
      <w:r>
        <w:t xml:space="preserve"> </w:t>
      </w:r>
      <w:r w:rsidRPr="005D1484">
        <w:t>г.</w:t>
      </w:r>
      <w:r>
        <w:t xml:space="preserve"> </w:t>
      </w:r>
      <w:r w:rsidRPr="001E6FCF">
        <w:t>Чрез бюджета на НЗОК са изплатени 160,3 млн. лв. субсидии за болнична помощ.</w:t>
      </w:r>
    </w:p>
    <w:p w14:paraId="69C1F1DD" w14:textId="77777777" w:rsidR="0016182D" w:rsidRPr="001E6FCF" w:rsidRDefault="0016182D" w:rsidP="00645722">
      <w:pPr>
        <w:keepNext/>
        <w:tabs>
          <w:tab w:val="left" w:pos="1080"/>
        </w:tabs>
        <w:spacing w:before="240"/>
        <w:ind w:firstLine="709"/>
        <w:outlineLvl w:val="3"/>
        <w:rPr>
          <w:b/>
          <w:bCs/>
          <w:i/>
        </w:rPr>
      </w:pPr>
      <w:r w:rsidRPr="001E6FCF">
        <w:rPr>
          <w:b/>
          <w:bCs/>
          <w:i/>
        </w:rPr>
        <w:t>Социални и здравноосигурителни разходи</w:t>
      </w:r>
    </w:p>
    <w:p w14:paraId="5068892B" w14:textId="77777777" w:rsidR="0016182D" w:rsidRPr="00385F1E" w:rsidRDefault="0016182D" w:rsidP="0016182D">
      <w:pPr>
        <w:tabs>
          <w:tab w:val="left" w:pos="6840"/>
          <w:tab w:val="left" w:pos="8280"/>
        </w:tabs>
        <w:ind w:firstLine="709"/>
        <w:jc w:val="both"/>
        <w:rPr>
          <w:b/>
          <w:bCs/>
          <w:i/>
          <w:color w:val="0070C0"/>
          <w:sz w:val="8"/>
          <w:szCs w:val="8"/>
        </w:rPr>
      </w:pPr>
      <w:r>
        <w:t>Социално</w:t>
      </w:r>
      <w:r w:rsidRPr="001E6FCF">
        <w:t xml:space="preserve">осигурителните разходи на консолидирана база за 2022 г. възлизат на 25 651,8 млн. лв., което представлява 15,5 % от БВП. </w:t>
      </w:r>
      <w:r w:rsidRPr="00FD5A86">
        <w:t xml:space="preserve">Социалните разходи и здравноосигурителните плащания продължиха да бъдат основен приоритет сред разходните политики. В структурно отношение те са с най-висок относителен дял (38,8 %) в общите разходи (вкл. вноската в бюджета на ЕС) по </w:t>
      </w:r>
      <w:r w:rsidRPr="0055052F">
        <w:t>КФП, което се обуславя от провежданата социална политика в условията на извънредна ситуация, пор</w:t>
      </w:r>
      <w:r>
        <w:t>одена от пандемията от COVID-19 и</w:t>
      </w:r>
      <w:r w:rsidRPr="007D5F91">
        <w:rPr>
          <w:color w:val="000000"/>
        </w:rPr>
        <w:t xml:space="preserve"> избу</w:t>
      </w:r>
      <w:r>
        <w:rPr>
          <w:color w:val="000000"/>
        </w:rPr>
        <w:t xml:space="preserve">хналия военен конфликт в Украйна, както и </w:t>
      </w:r>
      <w:r w:rsidRPr="0055052F">
        <w:t xml:space="preserve">на неблагоприятната демографска среда. </w:t>
      </w:r>
      <w:r w:rsidRPr="00A47E5F">
        <w:t xml:space="preserve">Социалните и здравноосигурителните </w:t>
      </w:r>
      <w:r w:rsidRPr="00B079EE">
        <w:t xml:space="preserve">разходи нарастват с 2 384,4 млн. лв. (10,2 %) спрямо предходната година, като основен принос за това има нарастването на разходите за пенсии и разходите за здравноосигурителни плащания с 2 088,3 млн. лв. Увеличението на социалните помощи и обезщетения  е с 296,1 млн. лева.  </w:t>
      </w:r>
    </w:p>
    <w:p w14:paraId="55632750" w14:textId="77777777" w:rsidR="0016182D" w:rsidRPr="00385F1E" w:rsidRDefault="0016182D" w:rsidP="0016182D">
      <w:pPr>
        <w:ind w:firstLine="720"/>
        <w:jc w:val="both"/>
        <w:rPr>
          <w:bCs/>
          <w:color w:val="0070C0"/>
        </w:rPr>
      </w:pPr>
      <w:r w:rsidRPr="00B079EE">
        <w:rPr>
          <w:i/>
        </w:rPr>
        <w:t>Разходите за пенсии</w:t>
      </w:r>
      <w:r w:rsidRPr="00B079EE">
        <w:t xml:space="preserve"> за 2022 г. възлизат </w:t>
      </w:r>
      <w:r w:rsidRPr="00386E4E">
        <w:t xml:space="preserve">на 15 704,4 млн. лв. или 9,5 % от БВП и 100,7 % спрямо предвидените разчети за 2022 г. В тази сума са включени разходите за </w:t>
      </w:r>
      <w:r w:rsidRPr="005950C6">
        <w:t xml:space="preserve">пенсии от ДОО и УПФ. </w:t>
      </w:r>
      <w:r w:rsidRPr="005950C6">
        <w:rPr>
          <w:bCs/>
        </w:rPr>
        <w:t xml:space="preserve">Спрямо същия период на миналата година отчетените разходи за пенсии са с 1 402,4 млн. лв. повече. </w:t>
      </w:r>
      <w:r w:rsidRPr="000124B7">
        <w:rPr>
          <w:bCs/>
        </w:rPr>
        <w:t xml:space="preserve">Със Закона за изменение на Закона за бюджета на ДОО за 2022 г., считано от 1 юли 2022 г. (ДВ, бр. 51 от 1 юли 2022 г.), параметрите по бюджета на ДОО бяха изменени, като разходите за пенсии по бюджета на </w:t>
      </w:r>
      <w:r>
        <w:rPr>
          <w:bCs/>
        </w:rPr>
        <w:t>ДОО</w:t>
      </w:r>
      <w:r w:rsidRPr="000124B7">
        <w:rPr>
          <w:bCs/>
        </w:rPr>
        <w:t xml:space="preserve"> бяха увеличени с 1 386,5</w:t>
      </w:r>
      <w:r w:rsidRPr="000124B7">
        <w:rPr>
          <w:bCs/>
          <w:lang w:val="ru-RU"/>
        </w:rPr>
        <w:t xml:space="preserve"> </w:t>
      </w:r>
      <w:r w:rsidRPr="000124B7">
        <w:rPr>
          <w:bCs/>
        </w:rPr>
        <w:t>млн. лв. с оглед финансовото обезпечаване на осъществените на два етапа (от 1 юли 2022 г. и от 1 октомври 2022 г.) промени в параметрите на пенсионната политика.</w:t>
      </w:r>
      <w:r w:rsidRPr="00385F1E">
        <w:rPr>
          <w:rFonts w:eastAsia="Calibri"/>
          <w:color w:val="0070C0"/>
        </w:rPr>
        <w:t xml:space="preserve"> </w:t>
      </w:r>
      <w:r w:rsidRPr="00385F1E">
        <w:rPr>
          <w:bCs/>
          <w:color w:val="0070C0"/>
        </w:rPr>
        <w:t xml:space="preserve"> </w:t>
      </w:r>
    </w:p>
    <w:p w14:paraId="57E80918" w14:textId="11597A3E" w:rsidR="0016182D" w:rsidRPr="00385F1E" w:rsidRDefault="0016182D" w:rsidP="0016182D">
      <w:pPr>
        <w:tabs>
          <w:tab w:val="left" w:pos="1080"/>
        </w:tabs>
        <w:ind w:firstLine="709"/>
        <w:jc w:val="both"/>
        <w:rPr>
          <w:color w:val="0070C0"/>
          <w:lang w:val="ru-RU"/>
        </w:rPr>
      </w:pPr>
      <w:r w:rsidRPr="00FB2A50">
        <w:rPr>
          <w:bCs/>
        </w:rPr>
        <w:t>Средният месечен размер на пенсията на един пенсионер за 2022 г. е</w:t>
      </w:r>
      <w:r>
        <w:rPr>
          <w:bCs/>
        </w:rPr>
        <w:t xml:space="preserve"> 674,54 лв.</w:t>
      </w:r>
      <w:r w:rsidRPr="00385F1E">
        <w:rPr>
          <w:color w:val="0070C0"/>
        </w:rPr>
        <w:t xml:space="preserve"> </w:t>
      </w:r>
      <w:r w:rsidRPr="003E3F5C">
        <w:t>(</w:t>
      </w:r>
      <w:r w:rsidRPr="003E3F5C">
        <w:rPr>
          <w:lang w:val="ru-RU"/>
        </w:rPr>
        <w:t>всички допълнителни суми, изплащани през 2022 г. в т.ч. сумите по ПМС 474/30.12.2021 г. и ПМС 479/30.12.2021 г., "великденската" и "коледната" добавки от 70 лв., както и индивидуалните компесаторни разлики, които представляват доплащанията до размера през м. декември 2021 г. получени от пенсионерите, чиито размери от януари 2022 г. са се оказали по-ниски от декемврийския)</w:t>
      </w:r>
      <w:r w:rsidRPr="00A73CAD">
        <w:t xml:space="preserve">, като номиналното нарастване спрямо </w:t>
      </w:r>
      <w:r>
        <w:t>2021</w:t>
      </w:r>
      <w:r w:rsidRPr="00A73CAD">
        <w:t xml:space="preserve"> г. е 25,7 на сто. </w:t>
      </w:r>
    </w:p>
    <w:p w14:paraId="7BB1C02C" w14:textId="1E738201" w:rsidR="0016182D" w:rsidRPr="00385F1E" w:rsidRDefault="0016182D" w:rsidP="0016182D">
      <w:pPr>
        <w:ind w:firstLine="720"/>
        <w:jc w:val="both"/>
        <w:rPr>
          <w:color w:val="0070C0"/>
        </w:rPr>
      </w:pPr>
      <w:r w:rsidRPr="00445C98">
        <w:t xml:space="preserve">На консолидирана основа през 2022 г. са извършени разходи за </w:t>
      </w:r>
      <w:r w:rsidRPr="00445C98">
        <w:rPr>
          <w:i/>
        </w:rPr>
        <w:t>социални помощи и обезщетения</w:t>
      </w:r>
      <w:r w:rsidRPr="00445C98">
        <w:t xml:space="preserve"> в размер на 4 140,</w:t>
      </w:r>
      <w:r w:rsidR="00A81650">
        <w:t>3</w:t>
      </w:r>
      <w:r w:rsidRPr="00445C98">
        <w:t xml:space="preserve"> млн. лв., което представлява 2,5 % от БВП. В структурно отношение това са разходи, които се извършват по държавния бюджет (главно по бюджета на МТСП), бюджетите на ДОО и общините. Размерът на усвоените </w:t>
      </w:r>
      <w:r w:rsidRPr="00445C98">
        <w:rPr>
          <w:i/>
        </w:rPr>
        <w:t>разходи за социални помощи и обезщетения</w:t>
      </w:r>
      <w:r w:rsidRPr="00445C98">
        <w:t xml:space="preserve"> по държавния бюджет е 1 639,0 млн. лв. </w:t>
      </w:r>
      <w:r w:rsidRPr="00612F19">
        <w:t xml:space="preserve">По бюджета на ДОО за социални помощи и обезщетения по КСО  са отчетени 2 162,7 млн. лв. В разходите по КСО са включени основно разходите за обезщетения при временна неработоспособност; разходите за бременност, раждане и отглеждане на дете до 2-годишна възраст; разходите за обезщетения при безработица и др. </w:t>
      </w:r>
    </w:p>
    <w:p w14:paraId="6D264BBF" w14:textId="77777777" w:rsidR="0016182D" w:rsidRPr="00385F1E" w:rsidRDefault="0016182D" w:rsidP="0016182D">
      <w:pPr>
        <w:ind w:firstLine="720"/>
        <w:jc w:val="both"/>
        <w:rPr>
          <w:color w:val="0070C0"/>
        </w:rPr>
      </w:pPr>
      <w:r w:rsidRPr="00612F19">
        <w:t xml:space="preserve">Като текущи трансфери за домакинствата се отчитат и изплатените през 2022 г. средства за сметка на преведения  трансфер от МЗ за дейности за здравнонеосигурени лица, лекарствени продукти и за потребителска такса в размер </w:t>
      </w:r>
      <w:r w:rsidRPr="00D145F1">
        <w:t xml:space="preserve">на 137,9 млн. лв. </w:t>
      </w:r>
    </w:p>
    <w:p w14:paraId="7134D0A6" w14:textId="77777777" w:rsidR="0016182D" w:rsidRPr="007A5D1E" w:rsidRDefault="0016182D" w:rsidP="0016182D">
      <w:pPr>
        <w:ind w:firstLine="720"/>
        <w:jc w:val="both"/>
      </w:pPr>
      <w:r w:rsidRPr="00D145F1">
        <w:t xml:space="preserve">Отчетените разходи за социални помощи и обезщетения по общинските бюджети са в </w:t>
      </w:r>
      <w:r w:rsidRPr="007A5D1E">
        <w:t xml:space="preserve">размер на </w:t>
      </w:r>
      <w:r w:rsidRPr="007A5D1E">
        <w:rPr>
          <w:lang w:val="ru-RU"/>
        </w:rPr>
        <w:t xml:space="preserve">185,7 </w:t>
      </w:r>
      <w:r w:rsidRPr="007A5D1E">
        <w:t>млн. лв.</w:t>
      </w:r>
    </w:p>
    <w:p w14:paraId="123570A9" w14:textId="77777777" w:rsidR="0016182D" w:rsidRPr="00385F1E" w:rsidRDefault="0016182D" w:rsidP="0016182D">
      <w:pPr>
        <w:tabs>
          <w:tab w:val="left" w:pos="720"/>
        </w:tabs>
        <w:spacing w:after="120"/>
        <w:ind w:firstLine="709"/>
        <w:jc w:val="both"/>
        <w:rPr>
          <w:color w:val="0070C0"/>
        </w:rPr>
      </w:pPr>
      <w:r w:rsidRPr="00E007FC">
        <w:t xml:space="preserve">Общият размер на </w:t>
      </w:r>
      <w:r w:rsidRPr="00E007FC">
        <w:rPr>
          <w:i/>
        </w:rPr>
        <w:t>здравноосигурителните плащания</w:t>
      </w:r>
      <w:r w:rsidRPr="00E007FC">
        <w:t xml:space="preserve"> за 2022 г. е 5 807,2 млн. лв., което представлява 98,2 % спрямо предвидените със ЗБНЗОК (вкл. резерва, в т.ч. за непредвидени и неотложни разходи) за 2022 г</w:t>
      </w:r>
      <w:r w:rsidRPr="00E807D1">
        <w:t xml:space="preserve">. и 93,2 % от общите разходи на НЗОК за 2022 година.  </w:t>
      </w:r>
    </w:p>
    <w:p w14:paraId="272FBCB7" w14:textId="77777777" w:rsidR="0016182D" w:rsidRPr="0016182D" w:rsidRDefault="0016182D" w:rsidP="0016182D">
      <w:pPr>
        <w:pStyle w:val="Heading3"/>
        <w:numPr>
          <w:ilvl w:val="2"/>
          <w:numId w:val="8"/>
        </w:numPr>
        <w:ind w:left="1276" w:hanging="556"/>
        <w:jc w:val="both"/>
        <w:rPr>
          <w:rFonts w:ascii="Times New Roman" w:hAnsi="Times New Roman" w:cs="Times New Roman"/>
          <w:sz w:val="24"/>
          <w:szCs w:val="24"/>
          <w:lang w:val="bg-BG"/>
        </w:rPr>
      </w:pPr>
      <w:bookmarkStart w:id="254" w:name="_Toc494102635"/>
      <w:bookmarkStart w:id="255" w:name="_Toc525125592"/>
      <w:bookmarkStart w:id="256" w:name="_Toc18316948"/>
      <w:bookmarkStart w:id="257" w:name="_Toc51339827"/>
      <w:bookmarkStart w:id="258" w:name="_Toc83045491"/>
      <w:bookmarkStart w:id="259" w:name="_Toc136967016"/>
      <w:bookmarkStart w:id="260" w:name="_Toc146037903"/>
      <w:r w:rsidRPr="00BE3CC9">
        <w:rPr>
          <w:rFonts w:ascii="Times New Roman" w:hAnsi="Times New Roman" w:cs="Times New Roman"/>
          <w:sz w:val="24"/>
          <w:szCs w:val="24"/>
          <w:lang w:val="bg-BG"/>
        </w:rPr>
        <w:t>Капиталови разходи</w:t>
      </w:r>
      <w:bookmarkEnd w:id="254"/>
      <w:bookmarkEnd w:id="255"/>
      <w:bookmarkEnd w:id="256"/>
      <w:bookmarkEnd w:id="257"/>
      <w:bookmarkEnd w:id="258"/>
      <w:bookmarkEnd w:id="259"/>
      <w:bookmarkEnd w:id="260"/>
    </w:p>
    <w:p w14:paraId="6D679098" w14:textId="77777777" w:rsidR="0016182D" w:rsidRPr="00385F1E" w:rsidRDefault="0016182D" w:rsidP="0016182D">
      <w:pPr>
        <w:ind w:firstLine="720"/>
        <w:jc w:val="both"/>
        <w:rPr>
          <w:color w:val="0070C0"/>
        </w:rPr>
      </w:pPr>
      <w:r w:rsidRPr="00BE3CC9">
        <w:t xml:space="preserve">Структурата на капиталовите разходи за 2022 г. по икономически елементи отразява икономическия характер на публичните средства, усвоени в процеса на създаване на обществени блага. През 2022 г. в отчетените консолидирани капиталови разходи най-висок относителен </w:t>
      </w:r>
      <w:r w:rsidRPr="002454C7">
        <w:t xml:space="preserve">дял – 49,1 % заемат разходите за придобиване на ДМА, в структурата на които преобладават разходите, свързани с изграждането и реконструкцията на базисната инфраструктура – пътна, железопътна, техническа, социална и закупуване на оборудване, машини и съоръжения, компютърна техника, финансиране на политики в областта на превенцията и защитата при бедствия и аварии, закупуване на медицинско оборудване, оборудване в сферата на </w:t>
      </w:r>
      <w:r w:rsidRPr="00DB2C0A">
        <w:t>образованието и науката. Съществени по размер са и разходите за  капиталови трансфери – 25,1 %. Разходите</w:t>
      </w:r>
      <w:r w:rsidRPr="00DB2C0A">
        <w:rPr>
          <w:lang w:val="ru-RU"/>
        </w:rPr>
        <w:t xml:space="preserve"> </w:t>
      </w:r>
      <w:r w:rsidRPr="00DB2C0A">
        <w:t xml:space="preserve">за основен ремонт на дълготрайни активи представляват 22,1 % от общата сума на отчетените капиталови разходи. </w:t>
      </w:r>
    </w:p>
    <w:p w14:paraId="39230870" w14:textId="77777777" w:rsidR="0016182D" w:rsidRPr="00DB2C0A" w:rsidRDefault="0016182D" w:rsidP="0016182D">
      <w:pPr>
        <w:ind w:firstLine="720"/>
        <w:jc w:val="both"/>
      </w:pPr>
      <w:r w:rsidRPr="00DB2C0A">
        <w:t>На следващата графика е представен икономическият характер на капиталовите разходи по консолидираната фискална програма за 2022 година:</w:t>
      </w:r>
    </w:p>
    <w:p w14:paraId="100775D9" w14:textId="77777777" w:rsidR="0016182D" w:rsidRPr="00385F1E" w:rsidRDefault="0016182D" w:rsidP="0016182D">
      <w:pPr>
        <w:ind w:firstLine="720"/>
        <w:jc w:val="both"/>
        <w:rPr>
          <w:color w:val="0070C0"/>
        </w:rPr>
      </w:pPr>
    </w:p>
    <w:p w14:paraId="0940D26A" w14:textId="7030054F" w:rsidR="0016182D" w:rsidRPr="00385F1E" w:rsidRDefault="00092A2B" w:rsidP="00092A2B">
      <w:pPr>
        <w:ind w:firstLine="709"/>
        <w:jc w:val="center"/>
        <w:rPr>
          <w:color w:val="0070C0"/>
        </w:rPr>
      </w:pPr>
      <w:r>
        <w:rPr>
          <w:noProof/>
          <w:color w:val="0070C0"/>
        </w:rPr>
        <w:drawing>
          <wp:inline distT="0" distB="0" distL="0" distR="0" wp14:anchorId="38F919AF" wp14:editId="051608FE">
            <wp:extent cx="3832860" cy="34594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42606" cy="3468277"/>
                    </a:xfrm>
                    <a:prstGeom prst="rect">
                      <a:avLst/>
                    </a:prstGeom>
                    <a:noFill/>
                  </pic:spPr>
                </pic:pic>
              </a:graphicData>
            </a:graphic>
          </wp:inline>
        </w:drawing>
      </w:r>
    </w:p>
    <w:p w14:paraId="16D4D20D" w14:textId="77777777" w:rsidR="0016182D" w:rsidRPr="00385F1E" w:rsidRDefault="0016182D" w:rsidP="0016182D">
      <w:pPr>
        <w:ind w:firstLine="720"/>
        <w:jc w:val="both"/>
        <w:rPr>
          <w:color w:val="0070C0"/>
        </w:rPr>
      </w:pPr>
    </w:p>
    <w:p w14:paraId="7D8AF045" w14:textId="6A8D9C63" w:rsidR="0016182D" w:rsidRPr="002E616B" w:rsidRDefault="0016182D" w:rsidP="00FD69CE">
      <w:pPr>
        <w:autoSpaceDE w:val="0"/>
        <w:autoSpaceDN w:val="0"/>
        <w:adjustRightInd w:val="0"/>
        <w:spacing w:before="100" w:beforeAutospacing="1"/>
        <w:ind w:firstLine="709"/>
        <w:jc w:val="both"/>
      </w:pPr>
      <w:r w:rsidRPr="002E616B">
        <w:t xml:space="preserve">Чрез бюджета на </w:t>
      </w:r>
      <w:r w:rsidRPr="002E616B">
        <w:rPr>
          <w:b/>
        </w:rPr>
        <w:t>Министерството на отбраната</w:t>
      </w:r>
      <w:r w:rsidRPr="002E616B">
        <w:t xml:space="preserve"> са изплатени 694,9 млн. лв.,  като по-значимите разходи от тях са за: </w:t>
      </w:r>
    </w:p>
    <w:p w14:paraId="56308612" w14:textId="77777777" w:rsidR="0016182D" w:rsidRPr="002E616B" w:rsidRDefault="0016182D" w:rsidP="00BD39E0">
      <w:pPr>
        <w:numPr>
          <w:ilvl w:val="0"/>
          <w:numId w:val="81"/>
        </w:numPr>
        <w:spacing w:after="120"/>
        <w:ind w:left="1134" w:hanging="283"/>
        <w:contextualSpacing/>
        <w:jc w:val="both"/>
        <w:rPr>
          <w:szCs w:val="20"/>
        </w:rPr>
      </w:pPr>
      <w:r w:rsidRPr="002E616B">
        <w:t>п</w:t>
      </w:r>
      <w:r w:rsidRPr="002E616B">
        <w:rPr>
          <w:szCs w:val="20"/>
        </w:rPr>
        <w:t xml:space="preserve">ридобиване на многофункционален модулен патрулен кораб за ВМС </w:t>
      </w:r>
      <w:r w:rsidRPr="002E616B">
        <w:rPr>
          <w:szCs w:val="20"/>
          <w:lang w:val="ru-RU"/>
        </w:rPr>
        <w:t>(</w:t>
      </w:r>
      <w:r w:rsidRPr="002E616B">
        <w:rPr>
          <w:szCs w:val="20"/>
        </w:rPr>
        <w:t>187</w:t>
      </w:r>
      <w:r w:rsidRPr="002E616B">
        <w:rPr>
          <w:szCs w:val="20"/>
          <w:lang w:val="ru-RU"/>
        </w:rPr>
        <w:t>,</w:t>
      </w:r>
      <w:r w:rsidRPr="002E616B">
        <w:rPr>
          <w:szCs w:val="20"/>
        </w:rPr>
        <w:t>0</w:t>
      </w:r>
      <w:r w:rsidRPr="002E616B">
        <w:rPr>
          <w:szCs w:val="20"/>
          <w:lang w:val="ru-RU"/>
        </w:rPr>
        <w:t xml:space="preserve"> </w:t>
      </w:r>
      <w:r w:rsidRPr="002E616B">
        <w:rPr>
          <w:szCs w:val="20"/>
        </w:rPr>
        <w:t>млн. лв.</w:t>
      </w:r>
      <w:r w:rsidRPr="002E616B">
        <w:rPr>
          <w:szCs w:val="20"/>
          <w:lang w:val="ru-RU"/>
        </w:rPr>
        <w:t>)</w:t>
      </w:r>
      <w:r w:rsidRPr="002E616B">
        <w:rPr>
          <w:szCs w:val="20"/>
        </w:rPr>
        <w:t>;</w:t>
      </w:r>
    </w:p>
    <w:p w14:paraId="1E9435E2"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изграждане на интегрирана система и инфраструктура за</w:t>
      </w:r>
      <w:r w:rsidRPr="002E616B">
        <w:rPr>
          <w:szCs w:val="20"/>
        </w:rPr>
        <w:br/>
        <w:t>усвояване, експлоатация и осигуряване на новия тип боен самолет,</w:t>
      </w:r>
      <w:r w:rsidRPr="002E616B">
        <w:rPr>
          <w:szCs w:val="20"/>
        </w:rPr>
        <w:br/>
        <w:t xml:space="preserve">вкл. и за съпътстващи разходи по придобиването му </w:t>
      </w:r>
      <w:r w:rsidRPr="002E616B">
        <w:rPr>
          <w:szCs w:val="20"/>
          <w:lang w:val="ru-RU"/>
        </w:rPr>
        <w:t>(</w:t>
      </w:r>
      <w:r w:rsidRPr="002E616B">
        <w:rPr>
          <w:szCs w:val="20"/>
        </w:rPr>
        <w:t>185,7 млн. лв.</w:t>
      </w:r>
      <w:r w:rsidRPr="002E616B">
        <w:rPr>
          <w:szCs w:val="20"/>
          <w:lang w:val="ru-RU"/>
        </w:rPr>
        <w:t>)</w:t>
      </w:r>
      <w:r w:rsidRPr="002E616B">
        <w:rPr>
          <w:szCs w:val="20"/>
        </w:rPr>
        <w:t>;</w:t>
      </w:r>
    </w:p>
    <w:p w14:paraId="36E3F4AC"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 xml:space="preserve">придобиване на зенитно-управляеми ракети "MICA" </w:t>
      </w:r>
      <w:r w:rsidRPr="002E616B">
        <w:rPr>
          <w:szCs w:val="20"/>
          <w:lang w:val="ru-RU"/>
        </w:rPr>
        <w:t>(</w:t>
      </w:r>
      <w:r w:rsidRPr="002E616B">
        <w:rPr>
          <w:szCs w:val="20"/>
        </w:rPr>
        <w:t>52</w:t>
      </w:r>
      <w:r w:rsidRPr="002E616B">
        <w:rPr>
          <w:szCs w:val="20"/>
          <w:lang w:val="ru-RU"/>
        </w:rPr>
        <w:t>,</w:t>
      </w:r>
      <w:r w:rsidRPr="002E616B">
        <w:rPr>
          <w:szCs w:val="20"/>
        </w:rPr>
        <w:t>2</w:t>
      </w:r>
      <w:r w:rsidRPr="002E616B">
        <w:rPr>
          <w:szCs w:val="20"/>
          <w:lang w:val="ru-RU"/>
        </w:rPr>
        <w:t xml:space="preserve"> </w:t>
      </w:r>
      <w:r w:rsidRPr="002E616B">
        <w:rPr>
          <w:szCs w:val="20"/>
        </w:rPr>
        <w:t>млн. лв.</w:t>
      </w:r>
      <w:r w:rsidRPr="002E616B">
        <w:rPr>
          <w:szCs w:val="20"/>
          <w:lang w:val="ru-RU"/>
        </w:rPr>
        <w:t>)</w:t>
      </w:r>
      <w:r w:rsidRPr="002E616B">
        <w:rPr>
          <w:szCs w:val="20"/>
        </w:rPr>
        <w:t>;</w:t>
      </w:r>
    </w:p>
    <w:p w14:paraId="622E2E98"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 xml:space="preserve">противокорабни крилати ракети за многофункционални модулни патрулни кораби на ВМС </w:t>
      </w:r>
      <w:r w:rsidRPr="002E616B">
        <w:rPr>
          <w:szCs w:val="20"/>
          <w:lang w:val="ru-RU"/>
        </w:rPr>
        <w:t>(</w:t>
      </w:r>
      <w:r w:rsidRPr="002E616B">
        <w:rPr>
          <w:szCs w:val="20"/>
        </w:rPr>
        <w:t>24</w:t>
      </w:r>
      <w:r w:rsidRPr="002E616B">
        <w:rPr>
          <w:szCs w:val="20"/>
          <w:lang w:val="ru-RU"/>
        </w:rPr>
        <w:t>,</w:t>
      </w:r>
      <w:r w:rsidRPr="002E616B">
        <w:rPr>
          <w:szCs w:val="20"/>
        </w:rPr>
        <w:t>9 млн. лв.</w:t>
      </w:r>
      <w:r w:rsidRPr="002E616B">
        <w:rPr>
          <w:szCs w:val="20"/>
          <w:lang w:val="ru-RU"/>
        </w:rPr>
        <w:t>)</w:t>
      </w:r>
      <w:r w:rsidRPr="002E616B">
        <w:rPr>
          <w:szCs w:val="20"/>
        </w:rPr>
        <w:t>;</w:t>
      </w:r>
    </w:p>
    <w:p w14:paraId="20BE5B55"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придобиване на самолети F-16 Block 70 - етап II</w:t>
      </w:r>
      <w:r w:rsidRPr="002E616B">
        <w:rPr>
          <w:szCs w:val="20"/>
          <w:lang w:val="ru-RU"/>
        </w:rPr>
        <w:t xml:space="preserve"> (</w:t>
      </w:r>
      <w:r w:rsidRPr="002E616B">
        <w:rPr>
          <w:szCs w:val="20"/>
        </w:rPr>
        <w:t>29</w:t>
      </w:r>
      <w:r w:rsidRPr="002E616B">
        <w:rPr>
          <w:szCs w:val="20"/>
          <w:lang w:val="ru-RU"/>
        </w:rPr>
        <w:t>,</w:t>
      </w:r>
      <w:r w:rsidRPr="002E616B">
        <w:rPr>
          <w:szCs w:val="20"/>
        </w:rPr>
        <w:t>4</w:t>
      </w:r>
      <w:r w:rsidRPr="002E616B">
        <w:rPr>
          <w:szCs w:val="20"/>
          <w:lang w:val="ru-RU"/>
        </w:rPr>
        <w:t xml:space="preserve"> </w:t>
      </w:r>
      <w:r w:rsidRPr="002E616B">
        <w:rPr>
          <w:szCs w:val="20"/>
        </w:rPr>
        <w:t>млн. лв.</w:t>
      </w:r>
      <w:r w:rsidRPr="002E616B">
        <w:rPr>
          <w:szCs w:val="20"/>
          <w:lang w:val="ru-RU"/>
        </w:rPr>
        <w:t>)</w:t>
      </w:r>
      <w:r w:rsidRPr="002E616B">
        <w:rPr>
          <w:szCs w:val="20"/>
        </w:rPr>
        <w:t>;</w:t>
      </w:r>
    </w:p>
    <w:p w14:paraId="41C284C0"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 xml:space="preserve">осигуряване на експлоатацията на вертолети AS 532 AL Cougar и двигатели MAKILA 1A1 </w:t>
      </w:r>
      <w:r w:rsidRPr="002E616B">
        <w:rPr>
          <w:szCs w:val="20"/>
          <w:lang w:val="ru-RU"/>
        </w:rPr>
        <w:t>(</w:t>
      </w:r>
      <w:r w:rsidRPr="002E616B">
        <w:rPr>
          <w:szCs w:val="20"/>
        </w:rPr>
        <w:t>58</w:t>
      </w:r>
      <w:r w:rsidRPr="002E616B">
        <w:rPr>
          <w:szCs w:val="20"/>
          <w:lang w:val="ru-RU"/>
        </w:rPr>
        <w:t>,</w:t>
      </w:r>
      <w:r w:rsidRPr="002E616B">
        <w:rPr>
          <w:szCs w:val="20"/>
        </w:rPr>
        <w:t>7</w:t>
      </w:r>
      <w:r w:rsidRPr="002E616B">
        <w:rPr>
          <w:szCs w:val="20"/>
          <w:lang w:val="ru-RU"/>
        </w:rPr>
        <w:t xml:space="preserve"> </w:t>
      </w:r>
      <w:r w:rsidRPr="002E616B">
        <w:rPr>
          <w:szCs w:val="20"/>
        </w:rPr>
        <w:t>млн. лв.</w:t>
      </w:r>
      <w:r w:rsidRPr="002E616B">
        <w:rPr>
          <w:szCs w:val="20"/>
          <w:lang w:val="ru-RU"/>
        </w:rPr>
        <w:t>)</w:t>
      </w:r>
      <w:r w:rsidRPr="002E616B">
        <w:rPr>
          <w:szCs w:val="20"/>
        </w:rPr>
        <w:t>;</w:t>
      </w:r>
    </w:p>
    <w:p w14:paraId="5E6B8E6B"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 xml:space="preserve">въвеждане на техническо опознаване „свой-чужд“ в Режим 5 на военни платформи, декларирани за НАТО с висока степен на готовност  </w:t>
      </w:r>
      <w:r w:rsidRPr="002E616B">
        <w:rPr>
          <w:szCs w:val="20"/>
          <w:lang w:val="ru-RU"/>
        </w:rPr>
        <w:t>(</w:t>
      </w:r>
      <w:r w:rsidRPr="002E616B">
        <w:rPr>
          <w:szCs w:val="20"/>
        </w:rPr>
        <w:t>22</w:t>
      </w:r>
      <w:r w:rsidRPr="002E616B">
        <w:rPr>
          <w:szCs w:val="20"/>
          <w:lang w:val="ru-RU"/>
        </w:rPr>
        <w:t>,0</w:t>
      </w:r>
      <w:r w:rsidRPr="002E616B">
        <w:rPr>
          <w:szCs w:val="20"/>
        </w:rPr>
        <w:t xml:space="preserve"> млн. лв.</w:t>
      </w:r>
      <w:r w:rsidRPr="002E616B">
        <w:rPr>
          <w:szCs w:val="20"/>
          <w:lang w:val="ru-RU"/>
        </w:rPr>
        <w:t>)</w:t>
      </w:r>
      <w:r w:rsidRPr="002E616B">
        <w:rPr>
          <w:szCs w:val="20"/>
        </w:rPr>
        <w:t>;</w:t>
      </w:r>
    </w:p>
    <w:p w14:paraId="5F438273"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324 мм самонасочващи се торпеда А244 Mod.3 (9,6 млн. лв.)</w:t>
      </w:r>
    </w:p>
    <w:p w14:paraId="3BF05EFA"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повишаване на мобилността и защитата на личния състав от Силите за специални операции (14,7 млн. лв.);</w:t>
      </w:r>
    </w:p>
    <w:p w14:paraId="0F787790"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интегрирана логистична поддръжка на авиационна техника (6,0 млн. лв.);</w:t>
      </w:r>
    </w:p>
    <w:p w14:paraId="1B8F8184" w14:textId="77777777" w:rsidR="0016182D" w:rsidRPr="002E616B" w:rsidRDefault="0016182D" w:rsidP="00BD39E0">
      <w:pPr>
        <w:numPr>
          <w:ilvl w:val="0"/>
          <w:numId w:val="81"/>
        </w:numPr>
        <w:spacing w:after="120"/>
        <w:ind w:left="1134" w:hanging="283"/>
        <w:contextualSpacing/>
        <w:jc w:val="both"/>
        <w:rPr>
          <w:szCs w:val="20"/>
        </w:rPr>
      </w:pPr>
      <w:r w:rsidRPr="002E616B">
        <w:rPr>
          <w:szCs w:val="20"/>
        </w:rPr>
        <w:t>придобиване на радио</w:t>
      </w:r>
      <w:r>
        <w:rPr>
          <w:szCs w:val="20"/>
        </w:rPr>
        <w:t xml:space="preserve"> </w:t>
      </w:r>
      <w:r w:rsidRPr="002E616B">
        <w:rPr>
          <w:szCs w:val="20"/>
        </w:rPr>
        <w:t xml:space="preserve">комуникационно оборудване </w:t>
      </w:r>
      <w:r w:rsidRPr="002E616B">
        <w:rPr>
          <w:szCs w:val="20"/>
          <w:lang w:val="ru-RU"/>
        </w:rPr>
        <w:t>(</w:t>
      </w:r>
      <w:r w:rsidRPr="002E616B">
        <w:rPr>
          <w:szCs w:val="20"/>
        </w:rPr>
        <w:t>32</w:t>
      </w:r>
      <w:r w:rsidRPr="002E616B">
        <w:rPr>
          <w:szCs w:val="20"/>
          <w:lang w:val="ru-RU"/>
        </w:rPr>
        <w:t>,</w:t>
      </w:r>
      <w:r w:rsidRPr="002E616B">
        <w:rPr>
          <w:szCs w:val="20"/>
        </w:rPr>
        <w:t>0</w:t>
      </w:r>
      <w:r w:rsidRPr="002E616B">
        <w:rPr>
          <w:szCs w:val="20"/>
          <w:lang w:val="ru-RU"/>
        </w:rPr>
        <w:t xml:space="preserve"> </w:t>
      </w:r>
      <w:r w:rsidRPr="002E616B">
        <w:rPr>
          <w:szCs w:val="20"/>
        </w:rPr>
        <w:t>лв.</w:t>
      </w:r>
      <w:r w:rsidRPr="002E616B">
        <w:rPr>
          <w:szCs w:val="20"/>
          <w:lang w:val="ru-RU"/>
        </w:rPr>
        <w:t xml:space="preserve">) </w:t>
      </w:r>
      <w:r w:rsidRPr="002E616B">
        <w:rPr>
          <w:szCs w:val="20"/>
        </w:rPr>
        <w:t>и др.</w:t>
      </w:r>
    </w:p>
    <w:p w14:paraId="6B687340" w14:textId="77777777" w:rsidR="0016182D" w:rsidRPr="00385F1E" w:rsidRDefault="0016182D" w:rsidP="0016182D">
      <w:pPr>
        <w:jc w:val="both"/>
        <w:rPr>
          <w:noProof/>
          <w:color w:val="0070C0"/>
        </w:rPr>
      </w:pPr>
    </w:p>
    <w:p w14:paraId="211A5756" w14:textId="1367B5F0" w:rsidR="0016182D" w:rsidRPr="00764D9C" w:rsidRDefault="0016182D" w:rsidP="0016182D">
      <w:pPr>
        <w:autoSpaceDE w:val="0"/>
        <w:autoSpaceDN w:val="0"/>
        <w:adjustRightInd w:val="0"/>
        <w:spacing w:before="100" w:beforeAutospacing="1"/>
        <w:ind w:firstLine="720"/>
        <w:contextualSpacing/>
        <w:jc w:val="both"/>
      </w:pPr>
      <w:r>
        <w:t>Ч</w:t>
      </w:r>
      <w:r w:rsidRPr="00764D9C">
        <w:t xml:space="preserve">рез бюджета на </w:t>
      </w:r>
      <w:r w:rsidRPr="00764D9C">
        <w:rPr>
          <w:b/>
        </w:rPr>
        <w:t>Министерството на регионалното развитие и благоустройството</w:t>
      </w:r>
      <w:r w:rsidRPr="00764D9C">
        <w:t xml:space="preserve"> са изплатени 6</w:t>
      </w:r>
      <w:r w:rsidR="00982FDC">
        <w:t>9</w:t>
      </w:r>
      <w:r w:rsidRPr="00764D9C">
        <w:t>4,</w:t>
      </w:r>
      <w:r w:rsidR="00C31112">
        <w:t>6</w:t>
      </w:r>
      <w:r w:rsidRPr="00764D9C">
        <w:t xml:space="preserve"> млн. лв. за дейности по основен ремонт </w:t>
      </w:r>
      <w:r w:rsidR="00C31112">
        <w:t>и придобиване на дълготрайни активи. От тях за</w:t>
      </w:r>
      <w:r w:rsidRPr="00764D9C">
        <w:t xml:space="preserve"> извършване на строителство, упражняване на строителен и авторски надзор за отчетния период са разплатени средства в размер на 7,5 млн. лв., за извършване на дейности по проучвателно-проектантски работи към 31.12.2022 г. изразходваните средства са в размер на 3,1 млн. лв., за изграждане на инфраструктурни обекти </w:t>
      </w:r>
      <w:r w:rsidR="00C31112">
        <w:t>са изразходвани</w:t>
      </w:r>
      <w:r w:rsidRPr="00764D9C">
        <w:t xml:space="preserve"> 6</w:t>
      </w:r>
      <w:r w:rsidR="00C31112">
        <w:t>62</w:t>
      </w:r>
      <w:r w:rsidRPr="00764D9C">
        <w:rPr>
          <w:lang w:val="ru-RU"/>
        </w:rPr>
        <w:t>,</w:t>
      </w:r>
      <w:r w:rsidRPr="00764D9C">
        <w:t>0</w:t>
      </w:r>
      <w:r w:rsidRPr="00764D9C">
        <w:rPr>
          <w:lang w:val="ru-RU"/>
        </w:rPr>
        <w:t xml:space="preserve"> </w:t>
      </w:r>
      <w:r w:rsidRPr="00764D9C">
        <w:t>млн. лв. и др</w:t>
      </w:r>
      <w:r w:rsidR="00C31112">
        <w:t>уги</w:t>
      </w:r>
      <w:r w:rsidRPr="00764D9C">
        <w:t>.</w:t>
      </w:r>
    </w:p>
    <w:p w14:paraId="0A95461A" w14:textId="77777777" w:rsidR="0016182D" w:rsidRPr="00385F1E" w:rsidRDefault="0016182D" w:rsidP="001D1B55">
      <w:pPr>
        <w:spacing w:before="120"/>
        <w:ind w:firstLine="720"/>
        <w:jc w:val="both"/>
        <w:rPr>
          <w:color w:val="0070C0"/>
          <w:lang w:val="ru-RU"/>
        </w:rPr>
      </w:pPr>
      <w:r>
        <w:t>Ч</w:t>
      </w:r>
      <w:r w:rsidRPr="00764D9C">
        <w:t xml:space="preserve">рез бюджета на </w:t>
      </w:r>
      <w:r w:rsidRPr="00764D9C">
        <w:rPr>
          <w:b/>
        </w:rPr>
        <w:t>Министерството на транспорта и съобщенията</w:t>
      </w:r>
      <w:r w:rsidRPr="00764D9C">
        <w:t xml:space="preserve"> са изплатени 244,8 млн. лв., в т.ч. 12,9 млн. лв. са средствата за изплащане на обезщетение на концесионера "Железопътна Гара - Пловдив" ООД в изпълнение на ПМС 164/2022 г. За ремонт на вертолет МИ 8Т са направени разходи в размер на 2,4 млн. лв. Отчетените средства за капиталови трансфери през 2022 г. са в общ размер на 225,2 млн. лв., в т. ч. за ДП "Национална компания "Железопътна инфраструктура" – 152 млн. лв., като средствата са били насочени за Ремонт на железния път и съоръженията за поддържане на достигнатите скорости, модернизиране на осигурителни системи и прелезни устройства, модернизация и реконструкция на тягови подстанции,  строителство и ремонт на сгради и съоръжения в съответствие с европейските изисквания (проект 20).</w:t>
      </w:r>
      <w:r w:rsidRPr="00764D9C">
        <w:rPr>
          <w:rFonts w:ascii="Calibri" w:eastAsia="Calibri" w:hAnsi="Calibri"/>
        </w:rPr>
        <w:t xml:space="preserve"> </w:t>
      </w:r>
      <w:r w:rsidRPr="00764D9C">
        <w:t>Възстановяване на проектни параметри на жп линия София-Карлово-Зимница, възстановяване на проектните параметри по железопътната линия Русе-Варна, доставка на жп механизация.  Съфинансиране на ДП НКЖИ за проект: "Модернизация на железопътната линия София-Пловдив - жп участъка Елин Пелин – Костенец, фаза 1"както и съфинансиране на ДП НКЖИ за проект: "Рехабилитация на железопътната инфраструктура по жп линията Пловдив-Бургас, Фаза 2". Съфинансиране на ДП НКЖИ за проект: "Реконструкция на гарови комплекси Подуяне, Искър и Казичане" и за обект "Развитие на железопътен възел София: София-Волуяк". Съфинансиране на ДП НКЖИ за проект: "Модернизация на железопътен участък София - Елин Пелин", съфинансиране на ДП НКЖИ за проект: "Модернизация на железопътния участък Костенец-Септември"</w:t>
      </w:r>
      <w:r w:rsidRPr="00764D9C">
        <w:rPr>
          <w:rFonts w:ascii="Calibri" w:eastAsia="Calibri" w:hAnsi="Calibri"/>
        </w:rPr>
        <w:t xml:space="preserve"> , с</w:t>
      </w:r>
      <w:r w:rsidRPr="00764D9C">
        <w:t>ъфинансиране на ДП НКЖИ за проект: "Развитие на железопътен възел Пловдив" – индексация и друг. За  изпълнение на дейности по проекти на „БДЖ – Пътнически превози“ ЕООД – 30,7 млн. лв., в т. ч.  за Планов заводски /среден и капитален/ ремонт на 227 броя пътнически вагони за 3 годишен период; Извършване на капитален ремонт и преустройство на 10 броя електрически  локомотиви извън експлоатация серия 44000 и 45000; Извършване на техническа поддръжка с включени основни и възстановителни ремонти за 5 годишен период на ДМВ серия 10 и ЕМВ серия 30 и серия 31 (само частта, касаеща основни, възстановителни ремонти и др. за капитализиране); Извършване на капитален ремонт и преустройство на 10 броя електрически  локомотиви извън експлоатация серия 44000 и 45000; Модернизация на 2 броя теснопътни дизелови локомотиви серия 75 и серия 77; Модернизация на 15 бр. пътнически вагони на база на вагон  В84; Модернизация на 9 бр. теснопътни ПВ; Смяна на моноблокови колела на 15 бр. локомотиви Siemens Smartron; ПР на локомотив 46 229; Капитализирани разходи за ремонт на подвижен железопътен състав (вагони и локомотиви) в депа на дружеството и други. За Държавно предприятие "Пристанищна инфраструктура"  - 42,5 млн. лв., в т.ч. за Проектиране и удълбочаване на Канал 1 и Канал 2, пристанище Варна – инженеринг и други.</w:t>
      </w:r>
    </w:p>
    <w:p w14:paraId="1BAF0E57" w14:textId="77777777" w:rsidR="0016182D" w:rsidRPr="00764D9C" w:rsidRDefault="0016182D" w:rsidP="00645722">
      <w:pPr>
        <w:spacing w:before="120" w:after="120"/>
        <w:ind w:firstLine="712"/>
        <w:jc w:val="both"/>
      </w:pPr>
      <w:r>
        <w:rPr>
          <w:lang w:val="ru-RU"/>
        </w:rPr>
        <w:t>Ч</w:t>
      </w:r>
      <w:r w:rsidRPr="00764D9C">
        <w:t xml:space="preserve">рез бюджета на </w:t>
      </w:r>
      <w:r w:rsidRPr="00764D9C">
        <w:rPr>
          <w:b/>
        </w:rPr>
        <w:t xml:space="preserve">Министерство на вътрешните работи </w:t>
      </w:r>
      <w:r w:rsidRPr="00764D9C">
        <w:t xml:space="preserve"> са изплатени </w:t>
      </w:r>
      <w:r w:rsidRPr="00764D9C">
        <w:rPr>
          <w:b/>
        </w:rPr>
        <w:t>152,9 млн. лв</w:t>
      </w:r>
      <w:r w:rsidRPr="00764D9C">
        <w:t>., като по-значимите разходи от тях са за:</w:t>
      </w:r>
    </w:p>
    <w:p w14:paraId="25C5F09B" w14:textId="77777777" w:rsidR="0016182D" w:rsidRPr="00764D9C" w:rsidRDefault="0016182D" w:rsidP="00BD39E0">
      <w:pPr>
        <w:numPr>
          <w:ilvl w:val="0"/>
          <w:numId w:val="82"/>
        </w:numPr>
        <w:spacing w:after="120"/>
        <w:ind w:hanging="357"/>
        <w:contextualSpacing/>
        <w:jc w:val="both"/>
      </w:pPr>
      <w:r w:rsidRPr="00764D9C">
        <w:t>финансово обезпечаване на дейностите по реализацията на модела за Централизирана система за персонализация за български лични документи;</w:t>
      </w:r>
    </w:p>
    <w:p w14:paraId="35AC2B59" w14:textId="77777777" w:rsidR="0016182D" w:rsidRPr="00764D9C" w:rsidRDefault="0016182D" w:rsidP="00BD39E0">
      <w:pPr>
        <w:numPr>
          <w:ilvl w:val="0"/>
          <w:numId w:val="82"/>
        </w:numPr>
        <w:spacing w:after="120"/>
        <w:ind w:hanging="357"/>
        <w:contextualSpacing/>
        <w:jc w:val="both"/>
      </w:pPr>
      <w:r w:rsidRPr="00764D9C">
        <w:t>възстановяване дейността на авторемонтните бази на МВР;</w:t>
      </w:r>
    </w:p>
    <w:p w14:paraId="2907C249" w14:textId="77777777" w:rsidR="0016182D" w:rsidRPr="00764D9C" w:rsidRDefault="0016182D" w:rsidP="00BD39E0">
      <w:pPr>
        <w:numPr>
          <w:ilvl w:val="0"/>
          <w:numId w:val="82"/>
        </w:numPr>
        <w:spacing w:after="120"/>
        <w:ind w:hanging="357"/>
        <w:contextualSpacing/>
        <w:jc w:val="both"/>
      </w:pPr>
      <w:r w:rsidRPr="00764D9C">
        <w:t>закупуване на компютърни конфигурации;</w:t>
      </w:r>
    </w:p>
    <w:p w14:paraId="29B532E7" w14:textId="77777777" w:rsidR="0016182D" w:rsidRPr="00764D9C" w:rsidRDefault="0016182D" w:rsidP="00645722">
      <w:pPr>
        <w:numPr>
          <w:ilvl w:val="0"/>
          <w:numId w:val="82"/>
        </w:numPr>
        <w:spacing w:after="120"/>
        <w:ind w:left="1071" w:hanging="357"/>
        <w:jc w:val="both"/>
      </w:pPr>
      <w:r w:rsidRPr="00764D9C">
        <w:t xml:space="preserve">финансиране управлението на инженерно съоръжение от възпрепятстващ тип по българо-турската граница. </w:t>
      </w:r>
    </w:p>
    <w:p w14:paraId="572CC495" w14:textId="5B662C91" w:rsidR="0016182D" w:rsidRPr="00764D9C" w:rsidRDefault="0016182D" w:rsidP="0016182D">
      <w:pPr>
        <w:autoSpaceDE w:val="0"/>
        <w:autoSpaceDN w:val="0"/>
        <w:adjustRightInd w:val="0"/>
        <w:spacing w:after="120"/>
        <w:ind w:firstLine="712"/>
        <w:contextualSpacing/>
        <w:jc w:val="both"/>
      </w:pPr>
      <w:r>
        <w:t>Ч</w:t>
      </w:r>
      <w:r w:rsidRPr="00764D9C">
        <w:t xml:space="preserve">рез бюджета на </w:t>
      </w:r>
      <w:r w:rsidRPr="00764D9C">
        <w:rPr>
          <w:b/>
        </w:rPr>
        <w:t>Министерството на здравеопазването</w:t>
      </w:r>
      <w:r w:rsidRPr="00764D9C">
        <w:t xml:space="preserve"> са изплатени </w:t>
      </w:r>
      <w:r w:rsidRPr="00764D9C">
        <w:rPr>
          <w:b/>
        </w:rPr>
        <w:t>137,1</w:t>
      </w:r>
      <w:r w:rsidRPr="00764D9C">
        <w:t xml:space="preserve"> млн. лв., разпределени както следва: за капиталови трансфери за строителство, ремонти и апаратура реализирани от лечебните заведения за болнична помощ 124,1 млн. лв., в т.ч.</w:t>
      </w:r>
      <w:r w:rsidRPr="00764D9C">
        <w:rPr>
          <w:rFonts w:eastAsia="Calibri"/>
        </w:rPr>
        <w:t xml:space="preserve"> за </w:t>
      </w:r>
      <w:r w:rsidRPr="00764D9C">
        <w:t>дооборудване на реанимационен сектор, закупуване на анализатори за екстракция и детекция за РCR, доставка, монтаж и въвеждане в експлоатация на медицинска апаратура и оборудване за вирусологична диагностика, за закупуване на апарати за изкуствена белодробна вентилация и др. медицинска апаратура, свързана с лечение на COVID</w:t>
      </w:r>
      <w:r w:rsidRPr="00764D9C">
        <w:rPr>
          <w:lang w:val="ru-RU"/>
        </w:rPr>
        <w:t>-19</w:t>
      </w:r>
      <w:r w:rsidRPr="00764D9C">
        <w:t xml:space="preserve"> и за основни ремонти, закупуване на апаратура, компютърно оборудване и стопански инвентар от МЗ и бюджетните организации, второстепенни разпоредители към министъра на здравеопазването – 13,0 млн. лв. </w:t>
      </w:r>
    </w:p>
    <w:p w14:paraId="6CEE1CD4" w14:textId="4A08C318" w:rsidR="0016182D" w:rsidRPr="00385F1E" w:rsidRDefault="0016182D" w:rsidP="00645722">
      <w:pPr>
        <w:autoSpaceDE w:val="0"/>
        <w:autoSpaceDN w:val="0"/>
        <w:adjustRightInd w:val="0"/>
        <w:spacing w:before="240"/>
        <w:ind w:firstLine="720"/>
        <w:jc w:val="both"/>
        <w:rPr>
          <w:color w:val="0070C0"/>
        </w:rPr>
      </w:pPr>
      <w:r w:rsidRPr="00764D9C">
        <w:rPr>
          <w:b/>
        </w:rPr>
        <w:t>Министерство на образованието и науката</w:t>
      </w:r>
      <w:r w:rsidRPr="00764D9C">
        <w:rPr>
          <w:b/>
          <w:lang w:val="ru-RU"/>
        </w:rPr>
        <w:t xml:space="preserve"> </w:t>
      </w:r>
      <w:r w:rsidRPr="00764D9C">
        <w:rPr>
          <w:b/>
        </w:rPr>
        <w:t>-</w:t>
      </w:r>
      <w:r w:rsidRPr="00764D9C">
        <w:rPr>
          <w:b/>
          <w:lang w:val="ru-RU"/>
        </w:rPr>
        <w:t xml:space="preserve"> </w:t>
      </w:r>
      <w:r w:rsidRPr="00764D9C">
        <w:t>96,4 млн. лв.</w:t>
      </w:r>
      <w:r w:rsidRPr="00764D9C">
        <w:rPr>
          <w:lang w:val="ru-RU"/>
        </w:rPr>
        <w:t xml:space="preserve">, </w:t>
      </w:r>
      <w:r w:rsidRPr="00764D9C">
        <w:t>като с</w:t>
      </w:r>
      <w:r w:rsidRPr="00764D9C">
        <w:rPr>
          <w:lang w:val="ru-RU"/>
        </w:rPr>
        <w:t xml:space="preserve"> 54,4 млн. </w:t>
      </w:r>
      <w:r w:rsidRPr="00764D9C">
        <w:t>л</w:t>
      </w:r>
      <w:r w:rsidRPr="00764D9C">
        <w:rPr>
          <w:lang w:val="ru-RU"/>
        </w:rPr>
        <w:t>в.</w:t>
      </w:r>
      <w:r w:rsidRPr="00764D9C">
        <w:t xml:space="preserve"> са закупени училищни автобуси.</w:t>
      </w:r>
      <w:r w:rsidR="009D628D">
        <w:t xml:space="preserve"> </w:t>
      </w:r>
      <w:r w:rsidR="009D628D" w:rsidRPr="009D628D">
        <w:t xml:space="preserve">Освен това, са извършени разходи за основен ремонт и придобиване на дълготрайни материални активи и нематериални дълготрайни активи на </w:t>
      </w:r>
      <w:r w:rsidR="008370A2">
        <w:t>МОН</w:t>
      </w:r>
      <w:r w:rsidR="009D628D" w:rsidRPr="009D628D">
        <w:t xml:space="preserve"> и второстепенните разпоредители с бюджет към министъра на образованието и науката. Резултати от извършените разходи са подобряването на инфраструктурата на разпоредителите с бюджет към МОН и осигуряване на условия за нормално протичане на учебния процес и на материална база, съответстваща на съвременните изисквания на пазара на труда.</w:t>
      </w:r>
    </w:p>
    <w:p w14:paraId="05D4E921" w14:textId="30B5F0BF" w:rsidR="0016182D" w:rsidRPr="005C5DBB" w:rsidRDefault="0016182D" w:rsidP="00B53616">
      <w:pPr>
        <w:spacing w:before="240"/>
        <w:ind w:firstLine="720"/>
        <w:jc w:val="both"/>
      </w:pPr>
      <w:bookmarkStart w:id="261" w:name="_Toc430165280"/>
      <w:bookmarkStart w:id="262" w:name="_Toc136519972"/>
      <w:bookmarkStart w:id="263" w:name="_Toc136597740"/>
      <w:bookmarkStart w:id="264" w:name="_Toc136601643"/>
      <w:bookmarkStart w:id="265" w:name="_Toc167181039"/>
      <w:bookmarkStart w:id="266" w:name="_Toc261276581"/>
      <w:bookmarkStart w:id="267" w:name="_Toc293657069"/>
      <w:bookmarkStart w:id="268" w:name="_Toc326315910"/>
      <w:bookmarkStart w:id="269" w:name="_Toc393728069"/>
      <w:r w:rsidRPr="005C5DBB">
        <w:rPr>
          <w:noProof/>
        </w:rPr>
        <w:t xml:space="preserve">Финансовото подпомагане от страна на държавата под формата на капиталови трансфери </w:t>
      </w:r>
      <w:r w:rsidR="00F45C1B">
        <w:rPr>
          <w:noProof/>
        </w:rPr>
        <w:t xml:space="preserve">за Национална компания „Железопътна инфраструктура“ </w:t>
      </w:r>
      <w:r w:rsidRPr="005C5DBB">
        <w:rPr>
          <w:noProof/>
        </w:rPr>
        <w:t>беше насочено към изграждане и развитие на железопътната инфраструктура, с оглед повишаване на качеството и нивото на безопасност на транспортните услуги, ускоряване реализацията на проекти, свързани с европейските транспортни оси и коридори на територията на страната, ремонт и рехабилитация на железопътната мрежа</w:t>
      </w:r>
      <w:r w:rsidRPr="005C5DBB">
        <w:t xml:space="preserve">. </w:t>
      </w:r>
    </w:p>
    <w:p w14:paraId="5400510F" w14:textId="77777777" w:rsidR="0016182D" w:rsidRPr="005C5DBB" w:rsidRDefault="0016182D" w:rsidP="00FD69CE">
      <w:pPr>
        <w:ind w:firstLine="720"/>
        <w:jc w:val="both"/>
      </w:pPr>
      <w:r w:rsidRPr="005C5DBB">
        <w:rPr>
          <w:noProof/>
        </w:rPr>
        <w:t xml:space="preserve">За 2022 г., от централния бюджет на предприятието са предоставени капиталови трансфери в размер на 11,1 млн. лв. </w:t>
      </w:r>
      <w:r w:rsidRPr="005C5DBB">
        <w:t>Средствата са усвоени изцяло.</w:t>
      </w:r>
    </w:p>
    <w:p w14:paraId="2B327D86" w14:textId="77777777" w:rsidR="0016182D" w:rsidRPr="005C5DBB" w:rsidRDefault="0016182D" w:rsidP="00FD69CE">
      <w:pPr>
        <w:ind w:firstLine="720"/>
        <w:jc w:val="both"/>
        <w:rPr>
          <w:u w:val="single"/>
        </w:rPr>
      </w:pPr>
      <w:r w:rsidRPr="005C5DBB">
        <w:rPr>
          <w:noProof/>
        </w:rPr>
        <w:t xml:space="preserve">Във връзка с възстановяването в държавния бюджет от страна на </w:t>
      </w:r>
      <w:r w:rsidRPr="005C5DBB">
        <w:t xml:space="preserve">Национална компания „Железопътна инфраструктура“ </w:t>
      </w:r>
      <w:r w:rsidRPr="005C5DBB">
        <w:rPr>
          <w:noProof/>
        </w:rPr>
        <w:t>през 2022 г. на средства от 2021 г., в отчета за изпълнението на държавния бюджет за 2022 г. средствата за капиталови трансфери са намалени с 1,0 млн. лв. и са в размер на 10,1 млн. лв.</w:t>
      </w:r>
    </w:p>
    <w:p w14:paraId="4B0645AF" w14:textId="123BA465" w:rsidR="0016182D" w:rsidRPr="005C5DBB" w:rsidRDefault="0016182D" w:rsidP="00FD69CE">
      <w:pPr>
        <w:ind w:firstLine="720"/>
        <w:jc w:val="both"/>
      </w:pPr>
      <w:r w:rsidRPr="005C5DBB">
        <w:t xml:space="preserve">Със Закона за държавния бюджет на Република България за 2022 г. са предвидени средства </w:t>
      </w:r>
      <w:r w:rsidRPr="005C5DBB">
        <w:rPr>
          <w:noProof/>
        </w:rPr>
        <w:t>за капиталови</w:t>
      </w:r>
      <w:r w:rsidRPr="005C5DBB">
        <w:t xml:space="preserve"> трансфери на „БДЖ - Пътнически превози“ ЕООД </w:t>
      </w:r>
      <w:r w:rsidR="004E6949">
        <w:t xml:space="preserve">от централния бюджет </w:t>
      </w:r>
      <w:r w:rsidRPr="005C5DBB">
        <w:t>в размер на 18,3 млн. лв. Средствата са усвоени изцяло и са предназначени за извършване на планов заводски (среден и капитален) ремонт и модернизация на пътнически вагони и</w:t>
      </w:r>
      <w:r w:rsidRPr="005C5DBB">
        <w:rPr>
          <w:rFonts w:ascii="Arial" w:hAnsi="Arial"/>
          <w:szCs w:val="20"/>
        </w:rPr>
        <w:t xml:space="preserve"> </w:t>
      </w:r>
      <w:r w:rsidRPr="005C5DBB">
        <w:t>подемен и капитален ремонт и преустройство на електрически локомотиви.</w:t>
      </w:r>
    </w:p>
    <w:p w14:paraId="4AAC39C4" w14:textId="77777777" w:rsidR="0016182D" w:rsidRPr="005C5DBB" w:rsidRDefault="0016182D" w:rsidP="00FD69CE">
      <w:pPr>
        <w:ind w:firstLine="720"/>
        <w:jc w:val="both"/>
      </w:pPr>
      <w:r w:rsidRPr="005C5DBB">
        <w:rPr>
          <w:noProof/>
        </w:rPr>
        <w:t xml:space="preserve">Във връзка с възстановяването в държавния бюджет от страна на </w:t>
      </w:r>
      <w:r w:rsidRPr="005C5DBB">
        <w:t xml:space="preserve">„БДЖ - Пътнически превози“ ЕООД </w:t>
      </w:r>
      <w:r w:rsidRPr="005C5DBB">
        <w:rPr>
          <w:noProof/>
        </w:rPr>
        <w:t>през 2022 г. на средства от 2021 г., в отчета за изпълнението на държавния бюджет за 2022 г. средствата за капиталови трансфери са намалени с 2,4 млн. лв. и са в размер на 15,9 млн. лв.</w:t>
      </w:r>
    </w:p>
    <w:p w14:paraId="4C310352" w14:textId="30B363DB" w:rsidR="0016182D" w:rsidRPr="0039346F" w:rsidRDefault="0016182D" w:rsidP="00FD69CE">
      <w:pPr>
        <w:ind w:firstLine="720"/>
        <w:jc w:val="both"/>
      </w:pPr>
      <w:r w:rsidRPr="0039346F">
        <w:rPr>
          <w:noProof/>
        </w:rPr>
        <w:t xml:space="preserve">Инвестиционната програма на </w:t>
      </w:r>
      <w:r w:rsidR="00E931CB" w:rsidRPr="00E931CB">
        <w:rPr>
          <w:noProof/>
        </w:rPr>
        <w:t>ДП „Пристанищна инфраструктура“</w:t>
      </w:r>
      <w:r w:rsidRPr="0039346F">
        <w:rPr>
          <w:noProof/>
        </w:rPr>
        <w:t xml:space="preserve">, която включва изграждане и капиталов ремонт на пристанищна инфраструктура на пристанищата с национално значение, се изпълнява с участие на държавния бюджет - капиталови трансфери. Планираните средства за 2022 г. от централния бюджет са в размер на 10,5 млн. лв., като са усвоени 10,4 млн. лв. за основен ремонт </w:t>
      </w:r>
      <w:r w:rsidRPr="0039346F">
        <w:t xml:space="preserve">и рехабилитация на пристанища за обществено ползване с национално значение или 99,3 на сто от предвидените по централния бюджет. </w:t>
      </w:r>
    </w:p>
    <w:p w14:paraId="6F500B75" w14:textId="77C9F24D" w:rsidR="0016182D" w:rsidRPr="00384B17" w:rsidRDefault="0016182D" w:rsidP="00C31112">
      <w:pPr>
        <w:ind w:firstLine="708"/>
        <w:jc w:val="both"/>
        <w:rPr>
          <w:noProof/>
        </w:rPr>
      </w:pPr>
      <w:r w:rsidRPr="00384B17">
        <w:rPr>
          <w:noProof/>
        </w:rPr>
        <w:t xml:space="preserve">За изпълнение на програмите за отстраняване на нанесените щети върху околната среда, настъпили от минали действия или бездействия, при приватизация, за 2022 г. разчетените средства по централния бюджет са в размер на 10,0 млн. лв. </w:t>
      </w:r>
      <w:r w:rsidR="00C31112" w:rsidRPr="00384B17">
        <w:rPr>
          <w:noProof/>
        </w:rPr>
        <w:t xml:space="preserve">Чрез изпълнението на програмите за отстраняване на нанесените екологични щети върху околната среда, настъпили от минали действия или бездействия, при приватизация, се постига преди всичко екологичен ефект, като се изпълняват дейности и проекти, за които </w:t>
      </w:r>
      <w:r w:rsidR="00C31112" w:rsidRPr="005A4D67">
        <w:rPr>
          <w:noProof/>
        </w:rPr>
        <w:t>отговорност носи държавата.</w:t>
      </w:r>
      <w:r w:rsidR="00C31112">
        <w:rPr>
          <w:noProof/>
        </w:rPr>
        <w:t xml:space="preserve"> </w:t>
      </w:r>
      <w:r w:rsidRPr="00384B17">
        <w:rPr>
          <w:noProof/>
        </w:rPr>
        <w:t>Усвоените средства през 2022 г. са в размер на 4,98 млн. лв. за изпълнение на програмите за отстраняване на минали екологични щети основно на „Лукойл Нефтохим Бургас“ АД или 49,8 на сто от годишния план.</w:t>
      </w:r>
    </w:p>
    <w:p w14:paraId="2D5BFF79" w14:textId="77777777" w:rsidR="0016182D" w:rsidRPr="005A4D67" w:rsidRDefault="0016182D" w:rsidP="00FD69CE">
      <w:pPr>
        <w:ind w:firstLine="708"/>
        <w:jc w:val="both"/>
      </w:pPr>
      <w:r w:rsidRPr="005A4D67">
        <w:t xml:space="preserve">За 2022 г. </w:t>
      </w:r>
      <w:r w:rsidRPr="005A4D67">
        <w:rPr>
          <w:noProof/>
        </w:rPr>
        <w:t xml:space="preserve">от сметката за средства от ЕС на </w:t>
      </w:r>
      <w:r w:rsidRPr="005A4D67">
        <w:t xml:space="preserve">ДФ „Земеделие” за капиталови трансфери за нефинансови предприятия са </w:t>
      </w:r>
      <w:r w:rsidRPr="0042583B">
        <w:t>планирани</w:t>
      </w:r>
      <w:r w:rsidRPr="0042583B">
        <w:rPr>
          <w:lang w:val="ru-RU"/>
        </w:rPr>
        <w:t xml:space="preserve"> 143,7 млн. лв. </w:t>
      </w:r>
      <w:r w:rsidRPr="005A4D67">
        <w:t>Степента на изпълнение към</w:t>
      </w:r>
      <w:r w:rsidRPr="001F488C">
        <w:t xml:space="preserve"> 31.12.2022 г. е 87,6 % при 74,5 </w:t>
      </w:r>
      <w:r w:rsidRPr="005A4D67">
        <w:t>% за предходната година. Отчетената сума по този подпараграф възлиза на 125</w:t>
      </w:r>
      <w:r w:rsidRPr="001F488C">
        <w:t>,8 млн. лв.</w:t>
      </w:r>
      <w:r w:rsidRPr="005A4D67">
        <w:t xml:space="preserve"> разпределени по дейности както следва:</w:t>
      </w:r>
    </w:p>
    <w:p w14:paraId="3D64A2B1" w14:textId="2CD23A05" w:rsidR="0016182D" w:rsidRPr="005A4D67" w:rsidRDefault="0016182D" w:rsidP="00FD69CE">
      <w:pPr>
        <w:spacing w:line="276" w:lineRule="auto"/>
        <w:ind w:firstLine="720"/>
        <w:jc w:val="both"/>
        <w:rPr>
          <w:szCs w:val="20"/>
        </w:rPr>
      </w:pPr>
      <w:r w:rsidRPr="005A4D67">
        <w:rPr>
          <w:szCs w:val="20"/>
        </w:rPr>
        <w:t>- капиталови субсидии за рибарство</w:t>
      </w:r>
      <w:r>
        <w:rPr>
          <w:szCs w:val="20"/>
        </w:rPr>
        <w:t xml:space="preserve"> </w:t>
      </w:r>
      <w:r w:rsidRPr="005A4D67">
        <w:rPr>
          <w:szCs w:val="20"/>
        </w:rPr>
        <w:t>– 5</w:t>
      </w:r>
      <w:r>
        <w:rPr>
          <w:szCs w:val="20"/>
        </w:rPr>
        <w:t xml:space="preserve">,5 млн. </w:t>
      </w:r>
      <w:r w:rsidRPr="005A4D67">
        <w:rPr>
          <w:szCs w:val="20"/>
        </w:rPr>
        <w:t>лв</w:t>
      </w:r>
      <w:r w:rsidRPr="005A4D67">
        <w:t>., изпълнение 59,</w:t>
      </w:r>
      <w:r w:rsidR="00C31112">
        <w:t>9</w:t>
      </w:r>
      <w:r>
        <w:t xml:space="preserve"> </w:t>
      </w:r>
      <w:r w:rsidRPr="005A4D67">
        <w:t>% от планираните 9</w:t>
      </w:r>
      <w:r>
        <w:t xml:space="preserve">,1 млн. </w:t>
      </w:r>
      <w:r w:rsidRPr="005A4D67">
        <w:t>лв.</w:t>
      </w:r>
      <w:r w:rsidRPr="005A4D67">
        <w:rPr>
          <w:szCs w:val="20"/>
        </w:rPr>
        <w:t>;</w:t>
      </w:r>
    </w:p>
    <w:p w14:paraId="58C2430E" w14:textId="77777777" w:rsidR="0016182D" w:rsidRPr="005A4D67" w:rsidRDefault="0016182D" w:rsidP="00FD69CE">
      <w:pPr>
        <w:spacing w:line="276" w:lineRule="auto"/>
        <w:ind w:firstLine="720"/>
        <w:jc w:val="both"/>
        <w:rPr>
          <w:szCs w:val="20"/>
        </w:rPr>
      </w:pPr>
      <w:r w:rsidRPr="005A4D67">
        <w:rPr>
          <w:szCs w:val="20"/>
        </w:rPr>
        <w:t>- капиталови субсидии по ПРСР</w:t>
      </w:r>
      <w:r>
        <w:rPr>
          <w:szCs w:val="20"/>
        </w:rPr>
        <w:t xml:space="preserve"> -  120,0 млн. </w:t>
      </w:r>
      <w:r w:rsidRPr="005A4D67">
        <w:rPr>
          <w:szCs w:val="20"/>
        </w:rPr>
        <w:t>лв. при планирани 134</w:t>
      </w:r>
      <w:r>
        <w:rPr>
          <w:szCs w:val="20"/>
        </w:rPr>
        <w:t xml:space="preserve">,2 млн. лв., изпълнение 89,4 </w:t>
      </w:r>
      <w:r w:rsidRPr="005A4D67">
        <w:rPr>
          <w:szCs w:val="20"/>
        </w:rPr>
        <w:t>%;</w:t>
      </w:r>
    </w:p>
    <w:p w14:paraId="2F93595D" w14:textId="77777777" w:rsidR="0016182D" w:rsidRPr="005A4D67" w:rsidRDefault="0016182D" w:rsidP="00FD69CE">
      <w:pPr>
        <w:spacing w:line="276" w:lineRule="auto"/>
        <w:ind w:firstLine="720"/>
        <w:jc w:val="both"/>
        <w:rPr>
          <w:szCs w:val="20"/>
        </w:rPr>
      </w:pPr>
      <w:r w:rsidRPr="005A4D67">
        <w:rPr>
          <w:szCs w:val="20"/>
        </w:rPr>
        <w:t>- капиталови субсидии за па</w:t>
      </w:r>
      <w:r>
        <w:rPr>
          <w:szCs w:val="20"/>
        </w:rPr>
        <w:t>зарни мерки</w:t>
      </w:r>
      <w:r w:rsidRPr="005A4D67">
        <w:rPr>
          <w:szCs w:val="20"/>
        </w:rPr>
        <w:t xml:space="preserve"> – </w:t>
      </w:r>
      <w:r>
        <w:rPr>
          <w:szCs w:val="20"/>
        </w:rPr>
        <w:t>0,4 млн. лв., 100% от заложените по план.</w:t>
      </w:r>
    </w:p>
    <w:p w14:paraId="42D80021" w14:textId="62270301" w:rsidR="0016182D" w:rsidRPr="005A4D67" w:rsidRDefault="0016182D" w:rsidP="00FD69CE">
      <w:pPr>
        <w:spacing w:line="276" w:lineRule="auto"/>
        <w:jc w:val="both"/>
      </w:pPr>
      <w:r w:rsidRPr="005A4D67">
        <w:tab/>
        <w:t>Годишните разчети за 2022</w:t>
      </w:r>
      <w:r w:rsidR="00D50DF9">
        <w:t xml:space="preserve"> </w:t>
      </w:r>
      <w:r w:rsidRPr="005A4D67">
        <w:t>г. за капиталови трансфери за юридически лица с нестопанска цел възлизат на 17</w:t>
      </w:r>
      <w:r>
        <w:t xml:space="preserve">,0 млн. </w:t>
      </w:r>
      <w:r w:rsidRPr="005A4D67">
        <w:t>лв. Степента на изпълнение на отчетените по този подпараграф разходи към 31.12.2022</w:t>
      </w:r>
      <w:r>
        <w:t xml:space="preserve"> г. е 56,7 %, като през 2021г. е била 31,6 </w:t>
      </w:r>
      <w:r w:rsidRPr="005A4D67">
        <w:t>%. Общият им размер възлиза на 9</w:t>
      </w:r>
      <w:r>
        <w:t xml:space="preserve">,7 млн. </w:t>
      </w:r>
      <w:r w:rsidRPr="005A4D67">
        <w:t>лв., в т.ч.:</w:t>
      </w:r>
    </w:p>
    <w:p w14:paraId="7389C66E" w14:textId="77777777" w:rsidR="0016182D" w:rsidRPr="005A4D67" w:rsidRDefault="0016182D" w:rsidP="00FD69CE">
      <w:pPr>
        <w:spacing w:line="276" w:lineRule="auto"/>
        <w:ind w:firstLine="720"/>
        <w:jc w:val="both"/>
      </w:pPr>
      <w:r w:rsidRPr="005A4D67">
        <w:t>- капиталови субси</w:t>
      </w:r>
      <w:r>
        <w:t xml:space="preserve">дии по ПРСР – 9,7 млн. лв., изпълнение 56,7 </w:t>
      </w:r>
      <w:r w:rsidRPr="005A4D67">
        <w:t>% от планираните 17</w:t>
      </w:r>
      <w:r>
        <w:t xml:space="preserve">,0 млн. </w:t>
      </w:r>
      <w:r w:rsidRPr="005A4D67">
        <w:t>лв.</w:t>
      </w:r>
    </w:p>
    <w:p w14:paraId="078E5F01" w14:textId="77777777" w:rsidR="0016182D" w:rsidRDefault="0016182D" w:rsidP="00FD69CE">
      <w:pPr>
        <w:tabs>
          <w:tab w:val="center" w:pos="4153"/>
          <w:tab w:val="right" w:pos="8306"/>
        </w:tabs>
        <w:ind w:firstLine="720"/>
        <w:jc w:val="both"/>
        <w:rPr>
          <w:noProof/>
          <w:color w:val="0070C0"/>
        </w:rPr>
      </w:pPr>
      <w:r w:rsidRPr="0042583B">
        <w:rPr>
          <w:noProof/>
        </w:rPr>
        <w:t xml:space="preserve">Размерът на капиталовите трансфери, разплатени чрез сметките на Национален фонд за 2022 г., възлиза </w:t>
      </w:r>
      <w:r w:rsidRPr="00A62289">
        <w:rPr>
          <w:noProof/>
        </w:rPr>
        <w:t>на 643,0 млн. лв. и представлява извършени разходи главно по оперативни програми „Транспорт и транспортна инфраструктура” и „Околна среда“, финансирани със средства от Кохезионния фонд (КФ).</w:t>
      </w:r>
    </w:p>
    <w:p w14:paraId="7BDF5259" w14:textId="426EAFD4" w:rsidR="0016182D" w:rsidRPr="00F851E5" w:rsidRDefault="0016182D" w:rsidP="00B61825">
      <w:pPr>
        <w:pStyle w:val="BodyText"/>
        <w:spacing w:before="120" w:after="0"/>
        <w:ind w:firstLine="720"/>
        <w:jc w:val="both"/>
      </w:pPr>
      <w:r w:rsidRPr="00A62289">
        <w:t xml:space="preserve">Капиталовите разходи </w:t>
      </w:r>
      <w:r w:rsidRPr="00A62289">
        <w:rPr>
          <w:b/>
        </w:rPr>
        <w:t>по бюджетите на общините</w:t>
      </w:r>
      <w:r w:rsidRPr="00A62289">
        <w:t xml:space="preserve"> към 31.12.2022 г. са в размер на </w:t>
      </w:r>
      <w:r w:rsidRPr="00EF6B02">
        <w:t>1 26</w:t>
      </w:r>
      <w:r w:rsidR="00C31112">
        <w:t>6</w:t>
      </w:r>
      <w:r>
        <w:t>,</w:t>
      </w:r>
      <w:r w:rsidR="00C31112">
        <w:t>0</w:t>
      </w:r>
      <w:r w:rsidRPr="00EF6B02">
        <w:t xml:space="preserve"> млн. лв., </w:t>
      </w:r>
      <w:bookmarkStart w:id="270" w:name="_Toc525125593"/>
      <w:bookmarkStart w:id="271" w:name="_Toc18316949"/>
      <w:bookmarkStart w:id="272" w:name="_Toc51339828"/>
      <w:bookmarkStart w:id="273" w:name="_Toc83045492"/>
      <w:bookmarkStart w:id="274" w:name="_Toc136967017"/>
      <w:bookmarkStart w:id="275" w:name="_Toc494102636"/>
      <w:r w:rsidRPr="00F851E5">
        <w:t>което представлява изпълнение от 116,1% спрямо годишния им разчет за 2022 г. и 130,8% спрямо отчетените през 2021 г. Увеличението на отчетените общо капиталови разходи за 2022 г. спрямо закона е в размер на 175,</w:t>
      </w:r>
      <w:r w:rsidR="00C31112">
        <w:t>7</w:t>
      </w:r>
      <w:r w:rsidRPr="00F851E5">
        <w:t xml:space="preserve"> млн. лв., като съответно спрямо отчета за 2021 г., те бележат ръст от 298,</w:t>
      </w:r>
      <w:r w:rsidR="00C31112">
        <w:t>3</w:t>
      </w:r>
      <w:r w:rsidRPr="00F851E5">
        <w:t xml:space="preserve"> млн. лв., което може да се отбележи като положителна тенденция  в посока на преодоляване на негативните последици за икономиката в резултат на кризата, свързана с пандемията от COVID-19. Увеличението на капиталовите разходи е резултат от нарастването на  отчетените от общините приходи спрямо 2021 г. с 289,</w:t>
      </w:r>
      <w:r w:rsidR="004553F9">
        <w:t>9</w:t>
      </w:r>
      <w:r w:rsidRPr="00F851E5">
        <w:t xml:space="preserve"> млн. лв., както и на целевата субсидия зя капиталови разходи със 186,2 млн. лв., което дава възможност на общините да отделят повече средства за инвестиции. </w:t>
      </w:r>
    </w:p>
    <w:p w14:paraId="416707E2" w14:textId="7F38B31E" w:rsidR="0016182D" w:rsidRDefault="0016182D" w:rsidP="0016182D">
      <w:pPr>
        <w:ind w:firstLine="709"/>
        <w:jc w:val="both"/>
      </w:pPr>
      <w:r w:rsidRPr="00F851E5">
        <w:t>С най-голям относителен дял от отчетените</w:t>
      </w:r>
      <w:r w:rsidR="004553F9">
        <w:t xml:space="preserve"> капиталови разходи – 50,3% (637</w:t>
      </w:r>
      <w:r w:rsidRPr="00F851E5">
        <w:t>,</w:t>
      </w:r>
      <w:r w:rsidR="004553F9">
        <w:t>2</w:t>
      </w:r>
      <w:r w:rsidRPr="00F851E5">
        <w:t xml:space="preserve"> млн. лв.) са разходите за основен ремонт на дълготрайни материални активи, следвани от разходите за придобиване на дълготрайни материални активи – 43,6% (552,</w:t>
      </w:r>
      <w:r w:rsidR="004553F9">
        <w:t>2</w:t>
      </w:r>
      <w:r w:rsidRPr="00F851E5">
        <w:t xml:space="preserve"> млн. лв.), като се запазва поредността на позициите им в общия обем на капиталовите разходи от отчета за 2021 г.</w:t>
      </w:r>
    </w:p>
    <w:p w14:paraId="28A64424" w14:textId="5ECCC9FC" w:rsidR="0016182D" w:rsidRPr="0016182D" w:rsidRDefault="0016182D" w:rsidP="0016182D">
      <w:pPr>
        <w:pStyle w:val="Heading3"/>
        <w:numPr>
          <w:ilvl w:val="2"/>
          <w:numId w:val="8"/>
        </w:numPr>
        <w:ind w:left="1276" w:hanging="556"/>
        <w:jc w:val="both"/>
        <w:rPr>
          <w:rFonts w:ascii="Times New Roman" w:hAnsi="Times New Roman" w:cs="Times New Roman"/>
          <w:sz w:val="24"/>
          <w:szCs w:val="24"/>
          <w:lang w:val="bg-BG"/>
        </w:rPr>
      </w:pPr>
      <w:bookmarkStart w:id="276" w:name="_Toc146037904"/>
      <w:r w:rsidRPr="00AD3893">
        <w:rPr>
          <w:rFonts w:ascii="Times New Roman" w:hAnsi="Times New Roman" w:cs="Times New Roman"/>
          <w:sz w:val="24"/>
          <w:szCs w:val="24"/>
          <w:lang w:val="bg-BG"/>
        </w:rPr>
        <w:t>Предоставени текущи и капиталови трансфери за чужбина</w:t>
      </w:r>
      <w:bookmarkEnd w:id="270"/>
      <w:bookmarkEnd w:id="271"/>
      <w:bookmarkEnd w:id="272"/>
      <w:bookmarkEnd w:id="273"/>
      <w:bookmarkEnd w:id="274"/>
      <w:bookmarkEnd w:id="276"/>
    </w:p>
    <w:p w14:paraId="0D90E728" w14:textId="1D696196" w:rsidR="0016182D" w:rsidRPr="003246BB" w:rsidRDefault="0016182D" w:rsidP="0016182D">
      <w:pPr>
        <w:autoSpaceDE w:val="0"/>
        <w:autoSpaceDN w:val="0"/>
        <w:adjustRightInd w:val="0"/>
        <w:ind w:firstLine="567"/>
        <w:jc w:val="both"/>
        <w:rPr>
          <w:rFonts w:eastAsia="Calibri"/>
        </w:rPr>
      </w:pPr>
      <w:r w:rsidRPr="00AD3893">
        <w:t xml:space="preserve">Предоставените текущи и капиталови трансфери за чужбина са в размер на 47,3 млн. лв. Основна част от  средствата са предоставени чрез бюджетите на министерствата и ведомствата и сметките за средства от Европейския съюз. </w:t>
      </w:r>
      <w:r w:rsidR="0019645C" w:rsidRPr="003246BB">
        <w:rPr>
          <w:rFonts w:eastAsia="Calibri"/>
        </w:rPr>
        <w:t xml:space="preserve">Чрез бюджета на Министерството на образованието и науката са предоставени </w:t>
      </w:r>
      <w:r w:rsidR="0019645C">
        <w:rPr>
          <w:rFonts w:eastAsia="Calibri"/>
        </w:rPr>
        <w:t xml:space="preserve">текущи трансфери, в размер на </w:t>
      </w:r>
      <w:r w:rsidR="0019645C" w:rsidRPr="003246BB">
        <w:rPr>
          <w:rFonts w:eastAsia="Calibri"/>
        </w:rPr>
        <w:t xml:space="preserve">15,4 млн. лв. </w:t>
      </w:r>
      <w:r w:rsidR="0019645C" w:rsidRPr="00F50F69">
        <w:rPr>
          <w:rFonts w:eastAsia="Calibri"/>
        </w:rPr>
        <w:t xml:space="preserve">Същите </w:t>
      </w:r>
      <w:r w:rsidR="0019645C">
        <w:rPr>
          <w:rFonts w:eastAsia="Calibri"/>
        </w:rPr>
        <w:t>включват</w:t>
      </w:r>
      <w:r w:rsidR="0019645C" w:rsidRPr="00F50F69">
        <w:rPr>
          <w:rFonts w:eastAsia="Calibri"/>
        </w:rPr>
        <w:t xml:space="preserve"> изплатените средства за Тараклийски държавен университет в Молдова, съгласно Споразумение между правителството на Република България и правителството на Република Молдова, ратифицирано със Закон приет от 39-то Народно събрание на 8.12.2004</w:t>
      </w:r>
      <w:r w:rsidR="0019645C">
        <w:rPr>
          <w:rFonts w:eastAsia="Calibri"/>
        </w:rPr>
        <w:t> </w:t>
      </w:r>
      <w:r w:rsidR="0019645C" w:rsidRPr="00F50F69">
        <w:rPr>
          <w:rFonts w:eastAsia="Calibri"/>
        </w:rPr>
        <w:t>г.; окончателно плащане по ПМС 90/29.05.2018 г.</w:t>
      </w:r>
      <w:r w:rsidR="0019645C" w:rsidRPr="00F50F69">
        <w:t xml:space="preserve"> </w:t>
      </w:r>
      <w:r w:rsidR="0019645C" w:rsidRPr="00F50F69">
        <w:rPr>
          <w:rFonts w:eastAsia="Calibri"/>
        </w:rPr>
        <w:t>за българските неделни училища в чужбина</w:t>
      </w:r>
      <w:r w:rsidR="0019645C">
        <w:rPr>
          <w:rFonts w:eastAsia="Calibri"/>
        </w:rPr>
        <w:t xml:space="preserve"> </w:t>
      </w:r>
      <w:r w:rsidR="0019645C" w:rsidRPr="00F50F69">
        <w:rPr>
          <w:rFonts w:eastAsia="Calibri"/>
        </w:rPr>
        <w:t>за</w:t>
      </w:r>
      <w:r w:rsidR="0019645C">
        <w:rPr>
          <w:rFonts w:eastAsia="Calibri"/>
        </w:rPr>
        <w:t xml:space="preserve"> учебната</w:t>
      </w:r>
      <w:r w:rsidR="0019645C" w:rsidRPr="00F50F69">
        <w:rPr>
          <w:rFonts w:eastAsia="Calibri"/>
        </w:rPr>
        <w:t xml:space="preserve"> 2021/2022 г.; превод първи тран</w:t>
      </w:r>
      <w:r w:rsidR="0019645C">
        <w:rPr>
          <w:rFonts w:eastAsia="Calibri"/>
        </w:rPr>
        <w:t xml:space="preserve">ш по ПМС 90/29.05.2018 г. за учебната </w:t>
      </w:r>
      <w:r w:rsidR="0019645C" w:rsidRPr="00F50F69">
        <w:rPr>
          <w:rFonts w:eastAsia="Calibri"/>
        </w:rPr>
        <w:t>2022/2023 г.; превод на първи транш по НП "Роден език и култура зад граница" за 2022 г.; възстановени неизразходвани средства по НП "Роден език и култура зад граница" за 2021 г.</w:t>
      </w:r>
      <w:r w:rsidRPr="003246BB">
        <w:rPr>
          <w:rFonts w:eastAsia="Calibri"/>
        </w:rPr>
        <w:t xml:space="preserve"> </w:t>
      </w:r>
    </w:p>
    <w:p w14:paraId="0B00A75A" w14:textId="77777777" w:rsidR="0016182D" w:rsidRPr="003246BB" w:rsidRDefault="0016182D" w:rsidP="0016182D">
      <w:pPr>
        <w:autoSpaceDE w:val="0"/>
        <w:autoSpaceDN w:val="0"/>
        <w:adjustRightInd w:val="0"/>
        <w:ind w:firstLine="567"/>
        <w:jc w:val="both"/>
      </w:pPr>
      <w:r w:rsidRPr="003246BB">
        <w:t xml:space="preserve">Чрез бюджета на </w:t>
      </w:r>
      <w:r w:rsidRPr="003246BB">
        <w:rPr>
          <w:b/>
        </w:rPr>
        <w:t>Министерството на външните работи</w:t>
      </w:r>
      <w:r w:rsidRPr="003246BB">
        <w:t xml:space="preserve"> в изпълнение на ангажиментите на Република България по линия на предоставянето на официална помощ за развитие и хуманитарна помощ през отчетния период са изплатени 7,2 млн. лв.</w:t>
      </w:r>
    </w:p>
    <w:p w14:paraId="3320D58D" w14:textId="77777777" w:rsidR="0016182D" w:rsidRPr="0016182D" w:rsidRDefault="0016182D" w:rsidP="002C703B">
      <w:pPr>
        <w:pStyle w:val="Heading3"/>
        <w:numPr>
          <w:ilvl w:val="2"/>
          <w:numId w:val="8"/>
        </w:numPr>
        <w:spacing w:after="0"/>
        <w:ind w:left="1276" w:hanging="556"/>
        <w:jc w:val="both"/>
        <w:rPr>
          <w:rFonts w:ascii="Times New Roman" w:hAnsi="Times New Roman" w:cs="Times New Roman"/>
          <w:sz w:val="24"/>
          <w:szCs w:val="24"/>
          <w:lang w:val="bg-BG"/>
        </w:rPr>
      </w:pPr>
      <w:bookmarkStart w:id="277" w:name="_Toc525125594"/>
      <w:bookmarkStart w:id="278" w:name="_Toc18316950"/>
      <w:bookmarkStart w:id="279" w:name="_Toc51339829"/>
      <w:bookmarkStart w:id="280" w:name="_Toc83045493"/>
      <w:bookmarkStart w:id="281" w:name="_Toc136967018"/>
      <w:bookmarkStart w:id="282" w:name="_Toc146037905"/>
      <w:r w:rsidRPr="003246BB">
        <w:rPr>
          <w:rFonts w:ascii="Times New Roman" w:hAnsi="Times New Roman" w:cs="Times New Roman"/>
          <w:sz w:val="24"/>
          <w:szCs w:val="24"/>
          <w:lang w:val="bg-BG"/>
        </w:rPr>
        <w:t>Лихвени разходи</w:t>
      </w:r>
      <w:bookmarkEnd w:id="261"/>
      <w:bookmarkEnd w:id="262"/>
      <w:bookmarkEnd w:id="263"/>
      <w:bookmarkEnd w:id="264"/>
      <w:bookmarkEnd w:id="265"/>
      <w:bookmarkEnd w:id="266"/>
      <w:bookmarkEnd w:id="267"/>
      <w:bookmarkEnd w:id="268"/>
      <w:bookmarkEnd w:id="269"/>
      <w:bookmarkEnd w:id="275"/>
      <w:bookmarkEnd w:id="277"/>
      <w:bookmarkEnd w:id="278"/>
      <w:bookmarkEnd w:id="279"/>
      <w:bookmarkEnd w:id="280"/>
      <w:bookmarkEnd w:id="281"/>
      <w:bookmarkEnd w:id="282"/>
    </w:p>
    <w:p w14:paraId="0DAD625C" w14:textId="77777777" w:rsidR="0016182D" w:rsidRPr="00385F1E" w:rsidRDefault="0016182D" w:rsidP="0016182D">
      <w:pPr>
        <w:rPr>
          <w:color w:val="0070C0"/>
          <w:sz w:val="8"/>
          <w:szCs w:val="8"/>
        </w:rPr>
      </w:pPr>
    </w:p>
    <w:p w14:paraId="4FA3189F" w14:textId="77777777" w:rsidR="0016182D" w:rsidRPr="00385F1E" w:rsidRDefault="0016182D" w:rsidP="0016182D">
      <w:pPr>
        <w:ind w:firstLine="720"/>
        <w:jc w:val="both"/>
        <w:rPr>
          <w:color w:val="0070C0"/>
        </w:rPr>
      </w:pPr>
      <w:r w:rsidRPr="003246BB">
        <w:t xml:space="preserve">Лихвените плащания по КФП през 2022 г. са в размер на 651,8 млн. лв., което представлява 98,1 % от предвидените с разчетите към ЗДБРБ за 2022 г. </w:t>
      </w:r>
    </w:p>
    <w:p w14:paraId="3EF46441" w14:textId="77777777" w:rsidR="0016182D" w:rsidRPr="00385F1E" w:rsidRDefault="0016182D" w:rsidP="0016182D">
      <w:pPr>
        <w:autoSpaceDE w:val="0"/>
        <w:autoSpaceDN w:val="0"/>
        <w:adjustRightInd w:val="0"/>
        <w:ind w:firstLine="720"/>
        <w:jc w:val="both"/>
        <w:rPr>
          <w:color w:val="0070C0"/>
        </w:rPr>
      </w:pPr>
      <w:r w:rsidRPr="00D26D46">
        <w:t>В структурно отношение по-висок относителен дял в лихвените плащания заемат плащанията на лихви по външни заеми (разходи по външния дълг) – 76,9 %, срещу 23,1 % за лихвените плащания по вътрешни заеми (разходи по вътрешния дълг).</w:t>
      </w:r>
    </w:p>
    <w:p w14:paraId="40B6D8F2" w14:textId="77777777" w:rsidR="0016182D" w:rsidRPr="00D26D46" w:rsidRDefault="0016182D" w:rsidP="0016182D">
      <w:pPr>
        <w:keepNext/>
        <w:spacing w:before="120" w:after="60"/>
        <w:ind w:left="709" w:firstLine="193"/>
        <w:outlineLvl w:val="3"/>
        <w:rPr>
          <w:b/>
          <w:bCs/>
          <w:i/>
        </w:rPr>
      </w:pPr>
      <w:r w:rsidRPr="00D26D46">
        <w:rPr>
          <w:b/>
          <w:bCs/>
          <w:i/>
        </w:rPr>
        <w:t>Разходи за лихви по външни заеми</w:t>
      </w:r>
    </w:p>
    <w:p w14:paraId="41AD92C2" w14:textId="6ED16CC4" w:rsidR="0016182D" w:rsidRPr="00740F52" w:rsidRDefault="0016182D" w:rsidP="00FC5963">
      <w:pPr>
        <w:spacing w:after="120"/>
        <w:ind w:firstLine="709"/>
        <w:jc w:val="both"/>
        <w:rPr>
          <w:color w:val="0070C0"/>
        </w:rPr>
      </w:pPr>
      <w:r w:rsidRPr="00D26D46">
        <w:t xml:space="preserve">Лихвените плащания по външни заеми през 2022 г. са в размер на 501,2 млн. лв. (вкл. лихвите по ДИЗ), което </w:t>
      </w:r>
      <w:r w:rsidRPr="004A0CC0">
        <w:t xml:space="preserve">представлява 99,5 % от планираните за годината. Разходите за лихви по външни заеми по централния бюджет </w:t>
      </w:r>
      <w:r w:rsidRPr="003E16FB">
        <w:t xml:space="preserve">са </w:t>
      </w:r>
      <w:r w:rsidRPr="003E16FB">
        <w:rPr>
          <w:lang w:val="ru-RU"/>
        </w:rPr>
        <w:t xml:space="preserve">464,6 </w:t>
      </w:r>
      <w:r w:rsidRPr="003E16FB">
        <w:t xml:space="preserve">млн. лв. </w:t>
      </w:r>
    </w:p>
    <w:p w14:paraId="3AE3E3F5" w14:textId="77777777" w:rsidR="0016182D" w:rsidRPr="00740F52" w:rsidRDefault="0016182D" w:rsidP="00FC5963">
      <w:pPr>
        <w:spacing w:after="120"/>
        <w:ind w:firstLine="709"/>
        <w:jc w:val="both"/>
        <w:rPr>
          <w:b/>
        </w:rPr>
      </w:pPr>
      <w:r w:rsidRPr="00740F52">
        <w:t>През отчетния период не са използвани средства за покриване на риска от активиране на държавни гаранции.</w:t>
      </w:r>
      <w:r w:rsidRPr="00740F52">
        <w:rPr>
          <w:b/>
        </w:rPr>
        <w:t xml:space="preserve"> </w:t>
      </w:r>
    </w:p>
    <w:p w14:paraId="53AD12C8" w14:textId="77777777" w:rsidR="0016182D" w:rsidRPr="008F0403" w:rsidRDefault="0016182D" w:rsidP="00BD39E0">
      <w:pPr>
        <w:numPr>
          <w:ilvl w:val="0"/>
          <w:numId w:val="34"/>
        </w:numPr>
        <w:tabs>
          <w:tab w:val="left" w:pos="993"/>
          <w:tab w:val="left" w:pos="1134"/>
          <w:tab w:val="num" w:pos="1211"/>
        </w:tabs>
        <w:ind w:left="1211"/>
        <w:jc w:val="both"/>
      </w:pPr>
      <w:r w:rsidRPr="008F0403">
        <w:t xml:space="preserve"> По централен бюджет в структурно отношение лихвите по облигации, емитирани на МКП, са с най-висок относителен дял от 87,</w:t>
      </w:r>
      <w:r w:rsidRPr="008F0403">
        <w:rPr>
          <w:lang w:val="ru-RU"/>
        </w:rPr>
        <w:t>0</w:t>
      </w:r>
      <w:r w:rsidRPr="008F0403">
        <w:t xml:space="preserve"> % (или 404,1 млн. лв.), следвани от изплатените лихви по заеми към ЕИБ и ЕК – 7,8 % от общия размер на външните лихви (или 36,1 млн. лв.) и към други кредитори – 5,2 % (или 24,3 млн. лв.).</w:t>
      </w:r>
    </w:p>
    <w:p w14:paraId="31B66843" w14:textId="77777777" w:rsidR="0016182D" w:rsidRPr="00740F52" w:rsidRDefault="0016182D" w:rsidP="00BD39E0">
      <w:pPr>
        <w:numPr>
          <w:ilvl w:val="0"/>
          <w:numId w:val="34"/>
        </w:numPr>
        <w:tabs>
          <w:tab w:val="clear" w:pos="1430"/>
        </w:tabs>
        <w:ind w:left="1170"/>
        <w:jc w:val="both"/>
      </w:pPr>
      <w:r w:rsidRPr="00740F52">
        <w:t>По ДИЗ, управлявани от министерства и ведомства, са в размер на 20,4 млн. лв. От тях 18,7 млн. лв. са лихвите по заемите, управлявани от министерства и ведомства и 1,7 млн. лв. по заемите с краен бенефициент - търговско дружество;</w:t>
      </w:r>
      <w:r w:rsidRPr="00740F52">
        <w:rPr>
          <w:lang w:val="ru-RU"/>
        </w:rPr>
        <w:t xml:space="preserve"> </w:t>
      </w:r>
    </w:p>
    <w:p w14:paraId="3DCA9181" w14:textId="77777777" w:rsidR="0016182D" w:rsidRPr="003E16FB" w:rsidRDefault="0016182D" w:rsidP="00BD39E0">
      <w:pPr>
        <w:numPr>
          <w:ilvl w:val="0"/>
          <w:numId w:val="34"/>
        </w:numPr>
        <w:tabs>
          <w:tab w:val="num" w:pos="709"/>
          <w:tab w:val="left" w:pos="993"/>
          <w:tab w:val="num" w:pos="1170"/>
          <w:tab w:val="num" w:pos="1211"/>
        </w:tabs>
        <w:ind w:left="1170" w:hanging="350"/>
        <w:jc w:val="both"/>
        <w:rPr>
          <w:color w:val="0070C0"/>
        </w:rPr>
      </w:pPr>
      <w:r w:rsidRPr="00D059E7">
        <w:t xml:space="preserve">Лихвените плащания от общинските бюджети по външни заеми през 2022 г. са в размер </w:t>
      </w:r>
      <w:r w:rsidRPr="00577583">
        <w:t xml:space="preserve">на 16,2 млн. лв. и бележат намаление със 7,6 % спрямо платените лихви през предходната година. </w:t>
      </w:r>
    </w:p>
    <w:p w14:paraId="1F3CE06D" w14:textId="0E5FC57F" w:rsidR="0016182D" w:rsidRPr="008F0403" w:rsidRDefault="0016182D" w:rsidP="00001B34">
      <w:pPr>
        <w:tabs>
          <w:tab w:val="left" w:pos="1140"/>
          <w:tab w:val="num" w:pos="1211"/>
          <w:tab w:val="num" w:pos="1430"/>
        </w:tabs>
        <w:ind w:firstLine="709"/>
        <w:jc w:val="both"/>
      </w:pPr>
      <w:r w:rsidRPr="008F0403">
        <w:t>Всички плащания са извършвани надлежно и в съответствие с предвидените в кредитните споразумения срокове и условия.</w:t>
      </w:r>
    </w:p>
    <w:p w14:paraId="7D7A71E9" w14:textId="77777777" w:rsidR="0016182D" w:rsidRPr="00385F1E" w:rsidRDefault="0016182D" w:rsidP="0016182D">
      <w:pPr>
        <w:tabs>
          <w:tab w:val="left" w:pos="993"/>
          <w:tab w:val="left" w:pos="1140"/>
          <w:tab w:val="num" w:pos="1211"/>
        </w:tabs>
        <w:ind w:left="1170"/>
        <w:jc w:val="both"/>
        <w:rPr>
          <w:color w:val="0070C0"/>
        </w:rPr>
      </w:pPr>
    </w:p>
    <w:p w14:paraId="3E5CCD7F" w14:textId="77777777" w:rsidR="00E930D9" w:rsidRDefault="00E930D9" w:rsidP="0016182D">
      <w:pPr>
        <w:tabs>
          <w:tab w:val="left" w:pos="993"/>
        </w:tabs>
        <w:spacing w:after="120"/>
        <w:ind w:firstLine="709"/>
        <w:jc w:val="both"/>
        <w:rPr>
          <w:color w:val="0070C0"/>
        </w:rPr>
      </w:pPr>
    </w:p>
    <w:p w14:paraId="5D710050" w14:textId="3FE13937" w:rsidR="0016182D" w:rsidRPr="006E029A" w:rsidRDefault="0016182D" w:rsidP="0016182D">
      <w:pPr>
        <w:tabs>
          <w:tab w:val="left" w:pos="993"/>
        </w:tabs>
        <w:spacing w:after="120"/>
        <w:ind w:firstLine="709"/>
        <w:jc w:val="both"/>
        <w:rPr>
          <w:b/>
          <w:bCs/>
          <w:i/>
        </w:rPr>
      </w:pPr>
      <w:r w:rsidRPr="00385F1E">
        <w:rPr>
          <w:color w:val="0070C0"/>
        </w:rPr>
        <w:t xml:space="preserve"> </w:t>
      </w:r>
      <w:r w:rsidRPr="006E029A">
        <w:rPr>
          <w:b/>
          <w:bCs/>
          <w:i/>
        </w:rPr>
        <w:t>Разходи за лихви по вътрешни заеми</w:t>
      </w:r>
    </w:p>
    <w:p w14:paraId="5325E2E4" w14:textId="77777777" w:rsidR="0016182D" w:rsidRPr="00385F1E" w:rsidRDefault="0016182D" w:rsidP="0016182D">
      <w:pPr>
        <w:spacing w:after="120"/>
        <w:ind w:firstLine="709"/>
        <w:jc w:val="both"/>
        <w:rPr>
          <w:color w:val="0070C0"/>
        </w:rPr>
      </w:pPr>
      <w:r w:rsidRPr="006E029A">
        <w:t xml:space="preserve">Общият размер на платените лихви по вътрешни заеми през 2022 г. е </w:t>
      </w:r>
      <w:r>
        <w:t>150</w:t>
      </w:r>
      <w:r w:rsidRPr="006E029A">
        <w:t xml:space="preserve">,6 млн. лв. или </w:t>
      </w:r>
      <w:r>
        <w:t>93,9</w:t>
      </w:r>
      <w:r w:rsidRPr="006E029A">
        <w:t xml:space="preserve"> % спрямо годишния разчет. </w:t>
      </w:r>
    </w:p>
    <w:p w14:paraId="6F7E18E5" w14:textId="4BEB3F3A" w:rsidR="0016182D" w:rsidRPr="000A6FB2" w:rsidRDefault="0016182D" w:rsidP="0016182D">
      <w:pPr>
        <w:numPr>
          <w:ilvl w:val="0"/>
          <w:numId w:val="30"/>
        </w:numPr>
        <w:spacing w:after="120"/>
        <w:contextualSpacing/>
        <w:jc w:val="both"/>
      </w:pPr>
      <w:r w:rsidRPr="000A6FB2">
        <w:t>Общият размер на платените лихви</w:t>
      </w:r>
      <w:r w:rsidR="004553F9">
        <w:t xml:space="preserve"> от ЦБ</w:t>
      </w:r>
      <w:r w:rsidRPr="000A6FB2">
        <w:t xml:space="preserve"> и отстъпки по вътрешния дълг през 2022 г. възлиза на 108,6 млн. лв. или 76,1 % спрямо планирания годишен разчет. </w:t>
      </w:r>
    </w:p>
    <w:p w14:paraId="538E01C0" w14:textId="77777777" w:rsidR="0016182D" w:rsidRPr="00D111D3" w:rsidRDefault="0016182D" w:rsidP="0016182D">
      <w:pPr>
        <w:numPr>
          <w:ilvl w:val="0"/>
          <w:numId w:val="30"/>
        </w:numPr>
        <w:spacing w:after="120"/>
        <w:contextualSpacing/>
        <w:jc w:val="both"/>
      </w:pPr>
      <w:r w:rsidRPr="00D111D3">
        <w:t>Общият размер на платените от общините лихви по вътрешни заеми и други лихви през 2022 г. е 19,2 млн. лв</w:t>
      </w:r>
      <w:r w:rsidRPr="00D111D3">
        <w:rPr>
          <w:color w:val="0070C0"/>
        </w:rPr>
        <w:t xml:space="preserve">. </w:t>
      </w:r>
      <w:r w:rsidRPr="00D111D3">
        <w:t>Отчетените от общините през 2022 г. лихви по облигационни заеми са 1,7 млн. лв., по заеми към местни банки и др. лица от страната („ФЛАГ“ ЕАД, ФЕЕ и др.) са 12,3 млн. лв. Лихвите по задължения, поети от общините под формата на финансов лизинг и търговски кредит са 0,2 млн. лв.; по заеми, предоставени от централния бюджет и от др. бюджетни организации (лихви за забава) са 0,2 млн. лв., а отчетените др. лихвени плащания (по изпълнителни листове, за забавено изпълнение по сключени договори и др.) са в размер на 4,8 млн. лв.</w:t>
      </w:r>
    </w:p>
    <w:p w14:paraId="58509468" w14:textId="77777777" w:rsidR="00B312CC" w:rsidRPr="007B48E9" w:rsidRDefault="00B312CC" w:rsidP="00B312CC">
      <w:pPr>
        <w:ind w:left="1211"/>
        <w:contextualSpacing/>
        <w:rPr>
          <w:color w:val="0070C0"/>
        </w:rPr>
      </w:pPr>
    </w:p>
    <w:p w14:paraId="265A4BE6" w14:textId="77777777" w:rsidR="00B312CC" w:rsidRPr="0016182D" w:rsidRDefault="00B312CC" w:rsidP="0016182D">
      <w:pPr>
        <w:pStyle w:val="Heading3"/>
        <w:numPr>
          <w:ilvl w:val="2"/>
          <w:numId w:val="8"/>
        </w:numPr>
        <w:ind w:left="1276" w:hanging="556"/>
        <w:jc w:val="both"/>
        <w:rPr>
          <w:rFonts w:ascii="Times New Roman" w:hAnsi="Times New Roman" w:cs="Times New Roman"/>
          <w:sz w:val="24"/>
          <w:szCs w:val="24"/>
          <w:lang w:val="bg-BG"/>
        </w:rPr>
      </w:pPr>
      <w:bookmarkStart w:id="283" w:name="_Toc494102637"/>
      <w:bookmarkStart w:id="284" w:name="_Toc525125595"/>
      <w:bookmarkStart w:id="285" w:name="_Toc18316951"/>
      <w:bookmarkStart w:id="286" w:name="_Toc51339830"/>
      <w:bookmarkStart w:id="287" w:name="_Toc83045494"/>
      <w:bookmarkStart w:id="288" w:name="_Toc146037906"/>
      <w:r w:rsidRPr="0016182D">
        <w:rPr>
          <w:rFonts w:ascii="Times New Roman" w:hAnsi="Times New Roman" w:cs="Times New Roman"/>
          <w:sz w:val="24"/>
          <w:szCs w:val="24"/>
          <w:lang w:val="bg-BG"/>
        </w:rPr>
        <w:t>Вноска на Република България в общия бюджет на Е</w:t>
      </w:r>
      <w:bookmarkEnd w:id="234"/>
      <w:bookmarkEnd w:id="235"/>
      <w:r w:rsidRPr="0016182D">
        <w:rPr>
          <w:rFonts w:ascii="Times New Roman" w:hAnsi="Times New Roman" w:cs="Times New Roman"/>
          <w:sz w:val="24"/>
          <w:szCs w:val="24"/>
          <w:lang w:val="bg-BG"/>
        </w:rPr>
        <w:t>С</w:t>
      </w:r>
      <w:bookmarkEnd w:id="236"/>
      <w:bookmarkEnd w:id="237"/>
      <w:bookmarkEnd w:id="238"/>
      <w:bookmarkEnd w:id="283"/>
      <w:bookmarkEnd w:id="284"/>
      <w:bookmarkEnd w:id="285"/>
      <w:bookmarkEnd w:id="286"/>
      <w:bookmarkEnd w:id="287"/>
      <w:bookmarkEnd w:id="288"/>
    </w:p>
    <w:p w14:paraId="711E8288" w14:textId="77777777" w:rsidR="00B312CC" w:rsidRPr="007B48E9" w:rsidRDefault="00B312CC" w:rsidP="00B312CC">
      <w:pPr>
        <w:tabs>
          <w:tab w:val="left" w:pos="720"/>
          <w:tab w:val="left" w:pos="969"/>
          <w:tab w:val="center" w:pos="4153"/>
          <w:tab w:val="right" w:pos="8306"/>
        </w:tabs>
        <w:ind w:right="57" w:firstLine="540"/>
        <w:jc w:val="both"/>
        <w:rPr>
          <w:color w:val="0070C0"/>
          <w:sz w:val="8"/>
          <w:szCs w:val="8"/>
        </w:rPr>
      </w:pPr>
    </w:p>
    <w:p w14:paraId="529A9091" w14:textId="73467AA9" w:rsidR="002831D4" w:rsidRDefault="002831D4" w:rsidP="00117CC3">
      <w:pPr>
        <w:ind w:firstLine="709"/>
        <w:jc w:val="both"/>
        <w:rPr>
          <w:color w:val="0070C0"/>
        </w:rPr>
      </w:pPr>
      <w:r w:rsidRPr="00E648EB">
        <w:t>През 2022 г. България регулярно и в срок превеждаше вноската си в общия бюджет на Европейския съюз в изпълнение на действащо</w:t>
      </w:r>
      <w:r w:rsidR="005A411A">
        <w:t>то</w:t>
      </w:r>
      <w:r w:rsidRPr="00E648EB">
        <w:t xml:space="preserve"> законодателство в областта на собствените ресурси на ЕС, приложено с дата от 01.01.2021 г.</w:t>
      </w:r>
    </w:p>
    <w:p w14:paraId="7F10D9D7" w14:textId="1F2BBEDF" w:rsidR="0045310F" w:rsidRPr="002831D4" w:rsidRDefault="002831D4" w:rsidP="00117CC3">
      <w:pPr>
        <w:ind w:firstLine="709"/>
        <w:jc w:val="both"/>
        <w:rPr>
          <w:color w:val="0070C0"/>
        </w:rPr>
      </w:pPr>
      <w:r w:rsidRPr="00E648EB">
        <w:t>Вноската на България за 2022 г. в общия бюджет на ЕС се формира от следните компоненти: традиционни собствени ресурси от събраните мита; ресурс, изчислен на база данъка върху добавената стойност; ресурс на база брутен национален доход; ресурс на база нерециклирани отпадъци от опаковки от пластмаса; участие на България във финансирането на брутните намаления за Австрия, Дания, Германия, Нидерландия и Швеция. П</w:t>
      </w:r>
      <w:r w:rsidRPr="00E648EB">
        <w:rPr>
          <w:rFonts w:eastAsia="Batang"/>
        </w:rPr>
        <w:t xml:space="preserve">рогнозният размер </w:t>
      </w:r>
      <w:r w:rsidRPr="00E648EB">
        <w:rPr>
          <w:lang w:eastAsia="zh-CN"/>
        </w:rPr>
        <w:t xml:space="preserve">на вноската на България в общия бюджет на ЕС за 2022 г. в </w:t>
      </w:r>
      <w:r w:rsidRPr="00E648EB">
        <w:rPr>
          <w:rFonts w:eastAsia="Batang"/>
        </w:rPr>
        <w:t>ЗДБРБ за 2022 година</w:t>
      </w:r>
      <w:r w:rsidRPr="00E648EB">
        <w:rPr>
          <w:lang w:eastAsia="zh-CN"/>
        </w:rPr>
        <w:t xml:space="preserve"> беше определен на 1 683,3 млн. лева.</w:t>
      </w:r>
      <w:r w:rsidRPr="004D5FFC">
        <w:rPr>
          <w:lang w:val="ru-RU" w:eastAsia="zh-CN"/>
        </w:rPr>
        <w:t xml:space="preserve"> С актуализацията на </w:t>
      </w:r>
      <w:r>
        <w:rPr>
          <w:lang w:eastAsia="zh-CN"/>
        </w:rPr>
        <w:t xml:space="preserve">държавния бюджет и приемането на ЗИД на ЗДБРБ за 2022 г. беше променен и </w:t>
      </w:r>
      <w:r>
        <w:rPr>
          <w:rFonts w:eastAsia="Batang"/>
        </w:rPr>
        <w:t>прогнозния</w:t>
      </w:r>
      <w:r w:rsidRPr="00E648EB">
        <w:rPr>
          <w:rFonts w:eastAsia="Batang"/>
        </w:rPr>
        <w:t xml:space="preserve"> размер </w:t>
      </w:r>
      <w:r w:rsidRPr="00E648EB">
        <w:rPr>
          <w:lang w:eastAsia="zh-CN"/>
        </w:rPr>
        <w:t>на вноската на България в общия бюджет на ЕС</w:t>
      </w:r>
      <w:r>
        <w:rPr>
          <w:lang w:eastAsia="zh-CN"/>
        </w:rPr>
        <w:t xml:space="preserve">, като тя възлезе на </w:t>
      </w:r>
      <w:r w:rsidRPr="00E648EB">
        <w:rPr>
          <w:lang w:eastAsia="zh-CN"/>
        </w:rPr>
        <w:t>1 839,9 млн. лева.</w:t>
      </w:r>
    </w:p>
    <w:p w14:paraId="44821B3F" w14:textId="33B8532A" w:rsidR="0045310F" w:rsidRPr="007B48E9" w:rsidRDefault="002831D4" w:rsidP="00117CC3">
      <w:pPr>
        <w:ind w:firstLine="709"/>
        <w:jc w:val="both"/>
        <w:rPr>
          <w:color w:val="0070C0"/>
        </w:rPr>
      </w:pPr>
      <w:r w:rsidRPr="00E648EB">
        <w:t xml:space="preserve">В края на 2022 г. във връзка с недостиг на планираните в ЗИД на ЗДБРБ за 2022 г. заложени средства за традиционни собствени ресурси (мита), както и за ресурс на база нерециклирани отпадъци от опаковки от пластмаса, </w:t>
      </w:r>
      <w:r>
        <w:t>беше</w:t>
      </w:r>
      <w:r w:rsidRPr="00E648EB">
        <w:t xml:space="preserve"> инициира</w:t>
      </w:r>
      <w:r>
        <w:t>но</w:t>
      </w:r>
      <w:r w:rsidRPr="00E648EB">
        <w:t xml:space="preserve"> изготвянето на актуализирана програма за преразпределение на средствата при запазване на общия съществуващ прогнозен размер на вноската на България в общия бюджет на ЕС в ЗИД на ЗДБРБ за 2022 г. Средствата</w:t>
      </w:r>
      <w:r w:rsidR="002968DE">
        <w:t>,</w:t>
      </w:r>
      <w:r w:rsidRPr="00E648EB">
        <w:t xml:space="preserve"> предназначени за ресурс на база брутен национален доход</w:t>
      </w:r>
      <w:r w:rsidR="002968DE">
        <w:t>,</w:t>
      </w:r>
      <w:r w:rsidRPr="00E648EB">
        <w:t xml:space="preserve"> бяха намалени с 60 001 000 лева, от които 60 000 000 лева бяха трансферирани съответно към  средствата</w:t>
      </w:r>
      <w:r>
        <w:t>,</w:t>
      </w:r>
      <w:r w:rsidRPr="00E648EB">
        <w:t xml:space="preserve"> предназначени за традиционни собствени ресурси (мита) и 1 000 лева бяха трансферирани към ресурс на база нерециклирани отпадъци от опаковки от пластмаса. В края на 2022 г. общо платената вноска на Република България в общия бюджет на ЕС възлиза на 1 705 022 709,42 лева.</w:t>
      </w:r>
      <w:r w:rsidR="0045310F" w:rsidRPr="007B48E9">
        <w:rPr>
          <w:color w:val="0070C0"/>
        </w:rPr>
        <w:t xml:space="preserve">  </w:t>
      </w:r>
    </w:p>
    <w:p w14:paraId="49B0DFEE" w14:textId="0B999163" w:rsidR="00B312CC" w:rsidRDefault="00B312CC" w:rsidP="00117CC3">
      <w:pPr>
        <w:tabs>
          <w:tab w:val="left" w:pos="720"/>
          <w:tab w:val="left" w:pos="969"/>
          <w:tab w:val="center" w:pos="4153"/>
          <w:tab w:val="right" w:pos="8306"/>
        </w:tabs>
        <w:ind w:right="57" w:firstLine="720"/>
        <w:jc w:val="both"/>
      </w:pPr>
      <w:r w:rsidRPr="002831D4">
        <w:t>По-долу са представени елементите, формиращи вноската на Република България в общия бюджет на ЕС по план и извършените касови плащания от централния бюджет за 202</w:t>
      </w:r>
      <w:r w:rsidR="002831D4" w:rsidRPr="002831D4">
        <w:t>2</w:t>
      </w:r>
      <w:r w:rsidRPr="002831D4">
        <w:t xml:space="preserve"> година.</w:t>
      </w:r>
    </w:p>
    <w:p w14:paraId="1D6B4B93" w14:textId="7E8A6728" w:rsidR="00E930D9" w:rsidRDefault="00E930D9" w:rsidP="00117CC3">
      <w:pPr>
        <w:tabs>
          <w:tab w:val="left" w:pos="720"/>
          <w:tab w:val="left" w:pos="969"/>
          <w:tab w:val="center" w:pos="4153"/>
          <w:tab w:val="right" w:pos="8306"/>
        </w:tabs>
        <w:ind w:right="57" w:firstLine="720"/>
        <w:jc w:val="both"/>
      </w:pPr>
    </w:p>
    <w:p w14:paraId="1EA45A9A" w14:textId="090112EF" w:rsidR="00E930D9" w:rsidRDefault="00E930D9" w:rsidP="00117CC3">
      <w:pPr>
        <w:tabs>
          <w:tab w:val="left" w:pos="720"/>
          <w:tab w:val="left" w:pos="969"/>
          <w:tab w:val="center" w:pos="4153"/>
          <w:tab w:val="right" w:pos="8306"/>
        </w:tabs>
        <w:ind w:right="57" w:firstLine="720"/>
        <w:jc w:val="both"/>
      </w:pPr>
    </w:p>
    <w:p w14:paraId="094009E2" w14:textId="1B5D542B" w:rsidR="00E930D9" w:rsidRDefault="00E930D9" w:rsidP="00117CC3">
      <w:pPr>
        <w:tabs>
          <w:tab w:val="left" w:pos="720"/>
          <w:tab w:val="left" w:pos="969"/>
          <w:tab w:val="center" w:pos="4153"/>
          <w:tab w:val="right" w:pos="8306"/>
        </w:tabs>
        <w:ind w:right="57" w:firstLine="720"/>
        <w:jc w:val="both"/>
      </w:pPr>
    </w:p>
    <w:p w14:paraId="6672AE1D" w14:textId="7F5ECD94" w:rsidR="00E930D9" w:rsidRDefault="00E930D9" w:rsidP="00117CC3">
      <w:pPr>
        <w:tabs>
          <w:tab w:val="left" w:pos="720"/>
          <w:tab w:val="left" w:pos="969"/>
          <w:tab w:val="center" w:pos="4153"/>
          <w:tab w:val="right" w:pos="8306"/>
        </w:tabs>
        <w:ind w:right="57" w:firstLine="720"/>
        <w:jc w:val="both"/>
      </w:pPr>
    </w:p>
    <w:p w14:paraId="730190A3" w14:textId="6B706214" w:rsidR="00E930D9" w:rsidRDefault="00E930D9" w:rsidP="00117CC3">
      <w:pPr>
        <w:tabs>
          <w:tab w:val="left" w:pos="720"/>
          <w:tab w:val="left" w:pos="969"/>
          <w:tab w:val="center" w:pos="4153"/>
          <w:tab w:val="right" w:pos="8306"/>
        </w:tabs>
        <w:ind w:right="57" w:firstLine="720"/>
        <w:jc w:val="both"/>
      </w:pPr>
    </w:p>
    <w:p w14:paraId="516F9AD1" w14:textId="77777777" w:rsidR="00E930D9" w:rsidRPr="002831D4" w:rsidRDefault="00E930D9" w:rsidP="00117CC3">
      <w:pPr>
        <w:tabs>
          <w:tab w:val="left" w:pos="720"/>
          <w:tab w:val="left" w:pos="969"/>
          <w:tab w:val="center" w:pos="4153"/>
          <w:tab w:val="right" w:pos="8306"/>
        </w:tabs>
        <w:ind w:right="57" w:firstLine="720"/>
        <w:jc w:val="both"/>
      </w:pPr>
    </w:p>
    <w:p w14:paraId="218B9AC9" w14:textId="77777777" w:rsidR="00B312CC" w:rsidRPr="007B48E9" w:rsidRDefault="00B312CC" w:rsidP="00B312CC">
      <w:pPr>
        <w:tabs>
          <w:tab w:val="left" w:pos="720"/>
          <w:tab w:val="left" w:pos="969"/>
          <w:tab w:val="center" w:pos="4153"/>
          <w:tab w:val="right" w:pos="8306"/>
        </w:tabs>
        <w:ind w:right="57" w:firstLine="720"/>
        <w:jc w:val="both"/>
        <w:rPr>
          <w:color w:val="0070C0"/>
          <w:sz w:val="8"/>
        </w:rPr>
      </w:pPr>
    </w:p>
    <w:p w14:paraId="03BDC506" w14:textId="77777777" w:rsidR="00B312CC" w:rsidRPr="00F8338F" w:rsidRDefault="00B312CC" w:rsidP="00B312CC">
      <w:pPr>
        <w:tabs>
          <w:tab w:val="left" w:pos="720"/>
          <w:tab w:val="left" w:pos="969"/>
          <w:tab w:val="center" w:pos="4153"/>
          <w:tab w:val="right" w:pos="8306"/>
        </w:tabs>
        <w:ind w:right="57" w:firstLine="7380"/>
        <w:jc w:val="both"/>
        <w:rPr>
          <w:b/>
          <w:sz w:val="20"/>
          <w:szCs w:val="20"/>
        </w:rPr>
      </w:pPr>
      <w:r w:rsidRPr="00F8338F">
        <w:rPr>
          <w:b/>
          <w:sz w:val="20"/>
          <w:szCs w:val="20"/>
        </w:rPr>
        <w:t xml:space="preserve">             (млн. лв.)</w:t>
      </w:r>
    </w:p>
    <w:tbl>
      <w:tblPr>
        <w:tblW w:w="9441" w:type="dxa"/>
        <w:tblInd w:w="-110" w:type="dxa"/>
        <w:tblCellMar>
          <w:left w:w="70" w:type="dxa"/>
          <w:right w:w="70" w:type="dxa"/>
        </w:tblCellMar>
        <w:tblLook w:val="04A0" w:firstRow="1" w:lastRow="0" w:firstColumn="1" w:lastColumn="0" w:noHBand="0" w:noVBand="1"/>
      </w:tblPr>
      <w:tblGrid>
        <w:gridCol w:w="5616"/>
        <w:gridCol w:w="1224"/>
        <w:gridCol w:w="1134"/>
        <w:gridCol w:w="1467"/>
      </w:tblGrid>
      <w:tr w:rsidR="007B48E9" w:rsidRPr="007B48E9" w14:paraId="7E6F9337" w14:textId="77777777" w:rsidTr="002E79BD">
        <w:trPr>
          <w:trHeight w:val="487"/>
        </w:trPr>
        <w:tc>
          <w:tcPr>
            <w:tcW w:w="5616"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223C2CE8" w14:textId="77777777" w:rsidR="00B312CC" w:rsidRPr="007B48E9" w:rsidRDefault="00B312CC" w:rsidP="00706DD3">
            <w:pPr>
              <w:jc w:val="center"/>
              <w:rPr>
                <w:b/>
                <w:color w:val="0070C0"/>
                <w:sz w:val="20"/>
                <w:szCs w:val="20"/>
              </w:rPr>
            </w:pPr>
            <w:r w:rsidRPr="002831D4">
              <w:rPr>
                <w:b/>
                <w:sz w:val="20"/>
                <w:szCs w:val="20"/>
              </w:rPr>
              <w:t>ВНОСКА В ОБЩИЯ БЮДЖЕТ НА ЕС</w:t>
            </w:r>
          </w:p>
        </w:tc>
        <w:tc>
          <w:tcPr>
            <w:tcW w:w="1224" w:type="dxa"/>
            <w:tcBorders>
              <w:top w:val="double" w:sz="6" w:space="0" w:color="800000"/>
              <w:left w:val="nil"/>
              <w:bottom w:val="double" w:sz="6" w:space="0" w:color="800000"/>
              <w:right w:val="single" w:sz="4" w:space="0" w:color="FFFFFF"/>
            </w:tcBorders>
            <w:shd w:val="clear" w:color="auto" w:fill="800000"/>
            <w:vAlign w:val="bottom"/>
            <w:hideMark/>
          </w:tcPr>
          <w:p w14:paraId="79937CD2" w14:textId="1B7CC0FF" w:rsidR="00B312CC" w:rsidRPr="00B710DB" w:rsidRDefault="00B710DB" w:rsidP="00706DD3">
            <w:pPr>
              <w:jc w:val="center"/>
              <w:rPr>
                <w:b/>
                <w:bCs/>
                <w:sz w:val="20"/>
                <w:szCs w:val="20"/>
              </w:rPr>
            </w:pPr>
            <w:r>
              <w:rPr>
                <w:b/>
                <w:bCs/>
                <w:sz w:val="20"/>
                <w:szCs w:val="20"/>
              </w:rPr>
              <w:t xml:space="preserve">ЗИД на </w:t>
            </w:r>
            <w:r w:rsidR="00B312CC" w:rsidRPr="00B710DB">
              <w:rPr>
                <w:b/>
                <w:bCs/>
                <w:sz w:val="20"/>
                <w:szCs w:val="20"/>
              </w:rPr>
              <w:t xml:space="preserve">ЗДБРБ </w:t>
            </w:r>
          </w:p>
          <w:p w14:paraId="2A287B80" w14:textId="2F43C111" w:rsidR="00B312CC" w:rsidRPr="00B710DB" w:rsidRDefault="00B312CC" w:rsidP="00706DD3">
            <w:pPr>
              <w:jc w:val="center"/>
              <w:rPr>
                <w:b/>
                <w:bCs/>
                <w:sz w:val="20"/>
                <w:szCs w:val="20"/>
              </w:rPr>
            </w:pPr>
            <w:r w:rsidRPr="00B710DB">
              <w:rPr>
                <w:b/>
                <w:bCs/>
                <w:sz w:val="20"/>
                <w:szCs w:val="20"/>
              </w:rPr>
              <w:t>за 202</w:t>
            </w:r>
            <w:r w:rsidR="00B710DB">
              <w:rPr>
                <w:b/>
                <w:bCs/>
                <w:sz w:val="20"/>
                <w:szCs w:val="20"/>
              </w:rPr>
              <w:t>2</w:t>
            </w:r>
            <w:r w:rsidRPr="00B710DB">
              <w:rPr>
                <w:b/>
                <w:bCs/>
                <w:sz w:val="20"/>
                <w:szCs w:val="20"/>
              </w:rPr>
              <w:t xml:space="preserve"> г.</w:t>
            </w:r>
          </w:p>
          <w:p w14:paraId="6E16B709" w14:textId="77777777" w:rsidR="00B312CC" w:rsidRPr="00B710DB" w:rsidRDefault="00B312CC" w:rsidP="00706DD3">
            <w:pPr>
              <w:jc w:val="center"/>
              <w:rPr>
                <w:b/>
                <w:bCs/>
                <w:sz w:val="20"/>
                <w:szCs w:val="20"/>
                <w:lang w:val="ru-RU"/>
              </w:rPr>
            </w:pPr>
            <w:r w:rsidRPr="00B710DB">
              <w:rPr>
                <w:b/>
                <w:bCs/>
                <w:sz w:val="20"/>
                <w:szCs w:val="20"/>
                <w:lang w:val="ru-RU"/>
              </w:rPr>
              <w:t>(</w:t>
            </w:r>
            <w:r w:rsidRPr="00B710DB">
              <w:rPr>
                <w:b/>
                <w:bCs/>
                <w:sz w:val="20"/>
                <w:szCs w:val="20"/>
              </w:rPr>
              <w:t>млн. лв.</w:t>
            </w:r>
            <w:r w:rsidRPr="00B710DB">
              <w:rPr>
                <w:b/>
                <w:bCs/>
                <w:sz w:val="20"/>
                <w:szCs w:val="20"/>
                <w:lang w:val="ru-RU"/>
              </w:rPr>
              <w:t>)</w:t>
            </w:r>
          </w:p>
        </w:tc>
        <w:tc>
          <w:tcPr>
            <w:tcW w:w="1134" w:type="dxa"/>
            <w:tcBorders>
              <w:top w:val="double" w:sz="6" w:space="0" w:color="800000"/>
              <w:left w:val="nil"/>
              <w:bottom w:val="double" w:sz="6" w:space="0" w:color="800000"/>
              <w:right w:val="single" w:sz="4" w:space="0" w:color="FFFFFF"/>
            </w:tcBorders>
            <w:shd w:val="clear" w:color="auto" w:fill="800000"/>
            <w:vAlign w:val="bottom"/>
            <w:hideMark/>
          </w:tcPr>
          <w:p w14:paraId="7878D6CB" w14:textId="77777777" w:rsidR="00B312CC" w:rsidRPr="00B710DB" w:rsidRDefault="00B312CC" w:rsidP="00706DD3">
            <w:pPr>
              <w:jc w:val="center"/>
              <w:rPr>
                <w:b/>
                <w:bCs/>
                <w:sz w:val="20"/>
                <w:szCs w:val="20"/>
              </w:rPr>
            </w:pPr>
            <w:r w:rsidRPr="00B710DB">
              <w:rPr>
                <w:b/>
                <w:bCs/>
                <w:sz w:val="20"/>
                <w:szCs w:val="20"/>
              </w:rPr>
              <w:t xml:space="preserve">Отчет </w:t>
            </w:r>
          </w:p>
          <w:p w14:paraId="4ED513C5" w14:textId="03F4358E" w:rsidR="00B312CC" w:rsidRPr="00B710DB" w:rsidRDefault="00B312CC" w:rsidP="00706DD3">
            <w:pPr>
              <w:jc w:val="center"/>
              <w:rPr>
                <w:b/>
                <w:bCs/>
                <w:sz w:val="20"/>
                <w:szCs w:val="20"/>
              </w:rPr>
            </w:pPr>
            <w:r w:rsidRPr="00B710DB">
              <w:rPr>
                <w:b/>
                <w:bCs/>
                <w:sz w:val="20"/>
                <w:szCs w:val="20"/>
              </w:rPr>
              <w:t>202</w:t>
            </w:r>
            <w:r w:rsidR="00B710DB">
              <w:rPr>
                <w:b/>
                <w:bCs/>
                <w:sz w:val="20"/>
                <w:szCs w:val="20"/>
              </w:rPr>
              <w:t>2</w:t>
            </w:r>
            <w:r w:rsidRPr="00B710DB">
              <w:rPr>
                <w:b/>
                <w:bCs/>
                <w:sz w:val="20"/>
                <w:szCs w:val="20"/>
              </w:rPr>
              <w:t xml:space="preserve"> г.</w:t>
            </w:r>
          </w:p>
          <w:p w14:paraId="5F64474E" w14:textId="77777777" w:rsidR="00B312CC" w:rsidRPr="00B710DB" w:rsidRDefault="00B312CC" w:rsidP="00706DD3">
            <w:pPr>
              <w:jc w:val="center"/>
              <w:rPr>
                <w:b/>
                <w:bCs/>
                <w:sz w:val="20"/>
                <w:szCs w:val="20"/>
              </w:rPr>
            </w:pPr>
            <w:r w:rsidRPr="00B710DB">
              <w:rPr>
                <w:b/>
                <w:bCs/>
                <w:sz w:val="20"/>
                <w:szCs w:val="20"/>
              </w:rPr>
              <w:t>(млн. лв.)</w:t>
            </w:r>
          </w:p>
        </w:tc>
        <w:tc>
          <w:tcPr>
            <w:tcW w:w="1467" w:type="dxa"/>
            <w:tcBorders>
              <w:top w:val="double" w:sz="6" w:space="0" w:color="800000"/>
              <w:left w:val="nil"/>
              <w:bottom w:val="double" w:sz="6" w:space="0" w:color="800000"/>
              <w:right w:val="double" w:sz="6" w:space="0" w:color="800000"/>
            </w:tcBorders>
            <w:shd w:val="clear" w:color="auto" w:fill="800000"/>
            <w:vAlign w:val="bottom"/>
            <w:hideMark/>
          </w:tcPr>
          <w:p w14:paraId="251053E7" w14:textId="6359B4AB" w:rsidR="00B312CC" w:rsidRPr="00B710DB" w:rsidRDefault="00B312CC" w:rsidP="00B710DB">
            <w:pPr>
              <w:jc w:val="center"/>
              <w:rPr>
                <w:b/>
                <w:bCs/>
                <w:sz w:val="20"/>
                <w:szCs w:val="20"/>
                <w:lang w:val="ru-RU"/>
              </w:rPr>
            </w:pPr>
            <w:r w:rsidRPr="00B710DB">
              <w:rPr>
                <w:b/>
                <w:bCs/>
                <w:sz w:val="20"/>
                <w:szCs w:val="20"/>
              </w:rPr>
              <w:t>Отчет 202</w:t>
            </w:r>
            <w:r w:rsidR="00B710DB">
              <w:rPr>
                <w:b/>
                <w:bCs/>
                <w:sz w:val="20"/>
                <w:szCs w:val="20"/>
              </w:rPr>
              <w:t>2</w:t>
            </w:r>
            <w:r w:rsidRPr="00B710DB">
              <w:rPr>
                <w:b/>
                <w:bCs/>
                <w:sz w:val="20"/>
                <w:szCs w:val="20"/>
              </w:rPr>
              <w:t xml:space="preserve"> към </w:t>
            </w:r>
            <w:r w:rsidR="00F8338F">
              <w:rPr>
                <w:b/>
                <w:bCs/>
                <w:sz w:val="20"/>
                <w:szCs w:val="20"/>
              </w:rPr>
              <w:t xml:space="preserve">ЗИД на </w:t>
            </w:r>
            <w:r w:rsidRPr="00B710DB">
              <w:rPr>
                <w:b/>
                <w:bCs/>
                <w:sz w:val="20"/>
                <w:szCs w:val="20"/>
              </w:rPr>
              <w:t xml:space="preserve">ЗДБРБ </w:t>
            </w:r>
            <w:r w:rsidR="00F8338F">
              <w:rPr>
                <w:b/>
                <w:bCs/>
                <w:sz w:val="20"/>
                <w:szCs w:val="20"/>
              </w:rPr>
              <w:t>2022 г.</w:t>
            </w:r>
          </w:p>
        </w:tc>
      </w:tr>
      <w:tr w:rsidR="00F8338F" w:rsidRPr="00F8338F" w14:paraId="7FA02716" w14:textId="77777777" w:rsidTr="002E79BD">
        <w:trPr>
          <w:trHeight w:val="121"/>
        </w:trPr>
        <w:tc>
          <w:tcPr>
            <w:tcW w:w="5616" w:type="dxa"/>
            <w:tcBorders>
              <w:top w:val="nil"/>
              <w:left w:val="double" w:sz="6" w:space="0" w:color="800000"/>
              <w:bottom w:val="nil"/>
              <w:right w:val="single" w:sz="4" w:space="0" w:color="800000"/>
            </w:tcBorders>
            <w:shd w:val="clear" w:color="auto" w:fill="FFFFCC"/>
            <w:noWrap/>
            <w:vAlign w:val="bottom"/>
            <w:hideMark/>
          </w:tcPr>
          <w:p w14:paraId="196F9E11" w14:textId="6439F9C3" w:rsidR="00B710DB" w:rsidRPr="002831D4" w:rsidRDefault="00B710DB" w:rsidP="00B710DB">
            <w:pPr>
              <w:rPr>
                <w:sz w:val="18"/>
                <w:szCs w:val="18"/>
              </w:rPr>
            </w:pPr>
            <w:r w:rsidRPr="002831D4">
              <w:rPr>
                <w:sz w:val="18"/>
                <w:szCs w:val="18"/>
              </w:rPr>
              <w:t>Вноска на база брутен национален доход</w:t>
            </w:r>
          </w:p>
        </w:tc>
        <w:tc>
          <w:tcPr>
            <w:tcW w:w="1224" w:type="dxa"/>
            <w:tcBorders>
              <w:top w:val="nil"/>
              <w:left w:val="nil"/>
              <w:bottom w:val="nil"/>
              <w:right w:val="single" w:sz="4" w:space="0" w:color="800000"/>
            </w:tcBorders>
            <w:shd w:val="clear" w:color="auto" w:fill="FFFFCC"/>
            <w:noWrap/>
          </w:tcPr>
          <w:p w14:paraId="6A0FBA08" w14:textId="090F8B56" w:rsidR="00B710DB" w:rsidRPr="00B710DB" w:rsidRDefault="00B710DB" w:rsidP="004553F9">
            <w:pPr>
              <w:jc w:val="right"/>
              <w:rPr>
                <w:sz w:val="18"/>
                <w:szCs w:val="18"/>
              </w:rPr>
            </w:pPr>
            <w:r w:rsidRPr="00B710DB">
              <w:rPr>
                <w:sz w:val="20"/>
              </w:rPr>
              <w:t>1 </w:t>
            </w:r>
            <w:r w:rsidR="004553F9">
              <w:rPr>
                <w:sz w:val="20"/>
              </w:rPr>
              <w:t>07</w:t>
            </w:r>
            <w:r w:rsidRPr="00B710DB">
              <w:rPr>
                <w:sz w:val="20"/>
              </w:rPr>
              <w:t>3,5</w:t>
            </w:r>
          </w:p>
        </w:tc>
        <w:tc>
          <w:tcPr>
            <w:tcW w:w="1134" w:type="dxa"/>
            <w:tcBorders>
              <w:top w:val="nil"/>
              <w:left w:val="nil"/>
              <w:bottom w:val="nil"/>
              <w:right w:val="single" w:sz="4" w:space="0" w:color="800000"/>
            </w:tcBorders>
            <w:shd w:val="clear" w:color="auto" w:fill="FFFFCC"/>
            <w:noWrap/>
            <w:vAlign w:val="bottom"/>
          </w:tcPr>
          <w:p w14:paraId="7860A629" w14:textId="751A053D" w:rsidR="00B710DB" w:rsidRPr="00B710DB" w:rsidRDefault="00B710DB" w:rsidP="00683C65">
            <w:pPr>
              <w:jc w:val="right"/>
              <w:rPr>
                <w:sz w:val="18"/>
                <w:szCs w:val="18"/>
                <w:lang w:val="ru-RU"/>
              </w:rPr>
            </w:pPr>
            <w:r w:rsidRPr="00B710DB">
              <w:rPr>
                <w:sz w:val="18"/>
                <w:szCs w:val="18"/>
                <w:lang w:val="ru-RU"/>
              </w:rPr>
              <w:t>1 005,</w:t>
            </w:r>
            <w:r w:rsidR="00683C65">
              <w:rPr>
                <w:sz w:val="18"/>
                <w:szCs w:val="18"/>
                <w:lang w:val="ru-RU"/>
              </w:rPr>
              <w:t>3</w:t>
            </w:r>
          </w:p>
        </w:tc>
        <w:tc>
          <w:tcPr>
            <w:tcW w:w="1467" w:type="dxa"/>
            <w:tcBorders>
              <w:top w:val="nil"/>
              <w:left w:val="nil"/>
              <w:bottom w:val="nil"/>
              <w:right w:val="double" w:sz="6" w:space="0" w:color="800000"/>
            </w:tcBorders>
            <w:shd w:val="clear" w:color="auto" w:fill="FFFFCC"/>
            <w:noWrap/>
            <w:vAlign w:val="bottom"/>
          </w:tcPr>
          <w:p w14:paraId="2ED36A42" w14:textId="54F09F57" w:rsidR="00B710DB" w:rsidRPr="00F8338F" w:rsidRDefault="004553F9" w:rsidP="004553F9">
            <w:pPr>
              <w:jc w:val="right"/>
              <w:rPr>
                <w:sz w:val="18"/>
                <w:szCs w:val="18"/>
              </w:rPr>
            </w:pPr>
            <w:r>
              <w:rPr>
                <w:sz w:val="18"/>
                <w:szCs w:val="18"/>
              </w:rPr>
              <w:t>93</w:t>
            </w:r>
            <w:r w:rsidR="00B710DB" w:rsidRPr="00F8338F">
              <w:rPr>
                <w:sz w:val="18"/>
                <w:szCs w:val="18"/>
              </w:rPr>
              <w:t>,</w:t>
            </w:r>
            <w:r>
              <w:rPr>
                <w:sz w:val="18"/>
                <w:szCs w:val="18"/>
              </w:rPr>
              <w:t>6</w:t>
            </w:r>
            <w:r w:rsidR="00B710DB" w:rsidRPr="00F8338F">
              <w:rPr>
                <w:sz w:val="18"/>
                <w:szCs w:val="18"/>
              </w:rPr>
              <w:t>%</w:t>
            </w:r>
          </w:p>
        </w:tc>
      </w:tr>
      <w:tr w:rsidR="00F8338F" w:rsidRPr="00F8338F" w14:paraId="50D0465E" w14:textId="77777777" w:rsidTr="002E79BD">
        <w:trPr>
          <w:trHeight w:val="94"/>
        </w:trPr>
        <w:tc>
          <w:tcPr>
            <w:tcW w:w="5616" w:type="dxa"/>
            <w:tcBorders>
              <w:top w:val="nil"/>
              <w:left w:val="double" w:sz="6" w:space="0" w:color="800000"/>
              <w:bottom w:val="nil"/>
              <w:right w:val="single" w:sz="4" w:space="0" w:color="800000"/>
            </w:tcBorders>
            <w:shd w:val="clear" w:color="auto" w:fill="FFFFCC"/>
            <w:noWrap/>
            <w:vAlign w:val="bottom"/>
            <w:hideMark/>
          </w:tcPr>
          <w:p w14:paraId="3E087147" w14:textId="47C4AAF2" w:rsidR="00B710DB" w:rsidRPr="002831D4" w:rsidRDefault="00B710DB" w:rsidP="00B710DB">
            <w:pPr>
              <w:rPr>
                <w:sz w:val="18"/>
                <w:szCs w:val="18"/>
              </w:rPr>
            </w:pPr>
            <w:r w:rsidRPr="002831D4">
              <w:rPr>
                <w:sz w:val="18"/>
                <w:szCs w:val="18"/>
              </w:rPr>
              <w:t>Вноска на база данък върху добавената стойност</w:t>
            </w:r>
          </w:p>
        </w:tc>
        <w:tc>
          <w:tcPr>
            <w:tcW w:w="1224" w:type="dxa"/>
            <w:tcBorders>
              <w:top w:val="nil"/>
              <w:left w:val="nil"/>
              <w:bottom w:val="nil"/>
              <w:right w:val="single" w:sz="4" w:space="0" w:color="800000"/>
            </w:tcBorders>
            <w:shd w:val="clear" w:color="auto" w:fill="FFFFCC"/>
            <w:noWrap/>
          </w:tcPr>
          <w:p w14:paraId="64EE750D" w14:textId="20308B88" w:rsidR="00B710DB" w:rsidRPr="00B710DB" w:rsidRDefault="00B710DB" w:rsidP="00B710DB">
            <w:pPr>
              <w:jc w:val="right"/>
              <w:rPr>
                <w:sz w:val="18"/>
                <w:szCs w:val="18"/>
              </w:rPr>
            </w:pPr>
            <w:r>
              <w:rPr>
                <w:sz w:val="18"/>
                <w:szCs w:val="18"/>
              </w:rPr>
              <w:t>221,1</w:t>
            </w:r>
          </w:p>
        </w:tc>
        <w:tc>
          <w:tcPr>
            <w:tcW w:w="1134" w:type="dxa"/>
            <w:tcBorders>
              <w:top w:val="nil"/>
              <w:left w:val="nil"/>
              <w:bottom w:val="nil"/>
              <w:right w:val="single" w:sz="4" w:space="0" w:color="800000"/>
            </w:tcBorders>
            <w:shd w:val="clear" w:color="auto" w:fill="FFFFCC"/>
            <w:noWrap/>
            <w:vAlign w:val="bottom"/>
          </w:tcPr>
          <w:p w14:paraId="2B0D5FC5" w14:textId="148C98AD" w:rsidR="00B710DB" w:rsidRPr="00B710DB" w:rsidRDefault="00B710DB" w:rsidP="00B710DB">
            <w:pPr>
              <w:jc w:val="right"/>
              <w:rPr>
                <w:sz w:val="18"/>
                <w:szCs w:val="18"/>
                <w:lang w:val="ru-RU"/>
              </w:rPr>
            </w:pPr>
            <w:r w:rsidRPr="00B710DB">
              <w:rPr>
                <w:sz w:val="18"/>
                <w:szCs w:val="18"/>
                <w:lang w:val="ru-RU"/>
              </w:rPr>
              <w:t>216,6</w:t>
            </w:r>
          </w:p>
        </w:tc>
        <w:tc>
          <w:tcPr>
            <w:tcW w:w="1467" w:type="dxa"/>
            <w:tcBorders>
              <w:top w:val="nil"/>
              <w:left w:val="nil"/>
              <w:bottom w:val="nil"/>
              <w:right w:val="double" w:sz="6" w:space="0" w:color="800000"/>
            </w:tcBorders>
            <w:shd w:val="clear" w:color="auto" w:fill="FFFFCC"/>
            <w:noWrap/>
            <w:vAlign w:val="bottom"/>
          </w:tcPr>
          <w:p w14:paraId="3B1FDF8F" w14:textId="1B65C95C" w:rsidR="00B710DB" w:rsidRPr="00F8338F" w:rsidRDefault="00F8338F" w:rsidP="00F8338F">
            <w:pPr>
              <w:jc w:val="right"/>
              <w:rPr>
                <w:sz w:val="18"/>
                <w:szCs w:val="18"/>
              </w:rPr>
            </w:pPr>
            <w:r w:rsidRPr="00F8338F">
              <w:rPr>
                <w:sz w:val="18"/>
                <w:szCs w:val="18"/>
              </w:rPr>
              <w:t>98</w:t>
            </w:r>
            <w:r w:rsidR="00B710DB" w:rsidRPr="00F8338F">
              <w:rPr>
                <w:sz w:val="18"/>
                <w:szCs w:val="18"/>
              </w:rPr>
              <w:t>,0%</w:t>
            </w:r>
          </w:p>
        </w:tc>
      </w:tr>
      <w:tr w:rsidR="002E79BD" w:rsidRPr="00F8338F" w14:paraId="2556E0C6" w14:textId="77777777" w:rsidTr="002E79BD">
        <w:trPr>
          <w:trHeight w:val="232"/>
        </w:trPr>
        <w:tc>
          <w:tcPr>
            <w:tcW w:w="5616" w:type="dxa"/>
            <w:tcBorders>
              <w:top w:val="nil"/>
              <w:left w:val="double" w:sz="6" w:space="0" w:color="800000"/>
              <w:bottom w:val="nil"/>
              <w:right w:val="single" w:sz="4" w:space="0" w:color="800000"/>
            </w:tcBorders>
            <w:shd w:val="clear" w:color="auto" w:fill="FFFFCC"/>
            <w:noWrap/>
            <w:vAlign w:val="bottom"/>
          </w:tcPr>
          <w:p w14:paraId="4B0B5584" w14:textId="610FCD85" w:rsidR="00B710DB" w:rsidRPr="00B710DB" w:rsidRDefault="00B710DB" w:rsidP="00B710DB">
            <w:pPr>
              <w:rPr>
                <w:sz w:val="18"/>
                <w:szCs w:val="18"/>
                <w:lang w:val="ru-RU"/>
              </w:rPr>
            </w:pPr>
            <w:r w:rsidRPr="00B710DB">
              <w:rPr>
                <w:sz w:val="18"/>
                <w:szCs w:val="18"/>
                <w:lang w:val="ru-RU"/>
              </w:rPr>
              <w:t>Вноска на база нерециклирани опаковки от пластмаса</w:t>
            </w:r>
          </w:p>
        </w:tc>
        <w:tc>
          <w:tcPr>
            <w:tcW w:w="1224" w:type="dxa"/>
            <w:tcBorders>
              <w:top w:val="nil"/>
              <w:left w:val="nil"/>
              <w:bottom w:val="nil"/>
              <w:right w:val="single" w:sz="4" w:space="0" w:color="800000"/>
            </w:tcBorders>
            <w:shd w:val="clear" w:color="auto" w:fill="FFFFCC"/>
            <w:noWrap/>
          </w:tcPr>
          <w:p w14:paraId="0CDC886A" w14:textId="21C58BE2" w:rsidR="00B710DB" w:rsidRPr="00B710DB" w:rsidRDefault="00B710DB" w:rsidP="00B710DB">
            <w:pPr>
              <w:jc w:val="right"/>
              <w:rPr>
                <w:sz w:val="18"/>
                <w:szCs w:val="18"/>
              </w:rPr>
            </w:pPr>
            <w:r>
              <w:rPr>
                <w:sz w:val="20"/>
              </w:rPr>
              <w:t>86</w:t>
            </w:r>
            <w:r w:rsidRPr="00B710DB">
              <w:rPr>
                <w:sz w:val="20"/>
              </w:rPr>
              <w:t>,</w:t>
            </w:r>
            <w:r>
              <w:rPr>
                <w:sz w:val="20"/>
              </w:rPr>
              <w:t>0</w:t>
            </w:r>
          </w:p>
        </w:tc>
        <w:tc>
          <w:tcPr>
            <w:tcW w:w="1134" w:type="dxa"/>
            <w:tcBorders>
              <w:top w:val="nil"/>
              <w:left w:val="nil"/>
              <w:bottom w:val="nil"/>
              <w:right w:val="single" w:sz="4" w:space="0" w:color="800000"/>
            </w:tcBorders>
            <w:shd w:val="clear" w:color="auto" w:fill="FFFFCC"/>
            <w:noWrap/>
            <w:vAlign w:val="bottom"/>
          </w:tcPr>
          <w:p w14:paraId="036A0DB9" w14:textId="30C5C5F0" w:rsidR="00B710DB" w:rsidRPr="00B710DB" w:rsidRDefault="00B710DB" w:rsidP="00B710DB">
            <w:pPr>
              <w:jc w:val="right"/>
              <w:rPr>
                <w:sz w:val="18"/>
                <w:szCs w:val="18"/>
                <w:lang w:val="ru-RU"/>
              </w:rPr>
            </w:pPr>
            <w:r w:rsidRPr="00B710DB">
              <w:rPr>
                <w:sz w:val="18"/>
                <w:szCs w:val="18"/>
                <w:lang w:val="ru-RU"/>
              </w:rPr>
              <w:t>86,0</w:t>
            </w:r>
          </w:p>
        </w:tc>
        <w:tc>
          <w:tcPr>
            <w:tcW w:w="1467" w:type="dxa"/>
            <w:tcBorders>
              <w:top w:val="nil"/>
              <w:left w:val="nil"/>
              <w:bottom w:val="nil"/>
              <w:right w:val="double" w:sz="6" w:space="0" w:color="800000"/>
            </w:tcBorders>
            <w:shd w:val="clear" w:color="auto" w:fill="FFFFCC"/>
            <w:noWrap/>
            <w:vAlign w:val="bottom"/>
          </w:tcPr>
          <w:p w14:paraId="169D2310" w14:textId="18E787E3" w:rsidR="00B710DB" w:rsidRPr="00F8338F" w:rsidRDefault="00F8338F" w:rsidP="00B710DB">
            <w:pPr>
              <w:jc w:val="right"/>
              <w:rPr>
                <w:sz w:val="18"/>
                <w:szCs w:val="18"/>
              </w:rPr>
            </w:pPr>
            <w:r w:rsidRPr="00F8338F">
              <w:rPr>
                <w:sz w:val="18"/>
                <w:szCs w:val="18"/>
              </w:rPr>
              <w:t>100,0%</w:t>
            </w:r>
          </w:p>
        </w:tc>
      </w:tr>
      <w:tr w:rsidR="002E79BD" w:rsidRPr="002E79BD" w14:paraId="14D81E89" w14:textId="77777777" w:rsidTr="002E79BD">
        <w:trPr>
          <w:trHeight w:val="232"/>
        </w:trPr>
        <w:tc>
          <w:tcPr>
            <w:tcW w:w="5616" w:type="dxa"/>
            <w:tcBorders>
              <w:top w:val="nil"/>
              <w:left w:val="double" w:sz="6" w:space="0" w:color="800000"/>
              <w:bottom w:val="nil"/>
              <w:right w:val="single" w:sz="4" w:space="0" w:color="800000"/>
            </w:tcBorders>
            <w:shd w:val="clear" w:color="auto" w:fill="FFFFCC"/>
            <w:noWrap/>
            <w:vAlign w:val="bottom"/>
            <w:hideMark/>
          </w:tcPr>
          <w:p w14:paraId="612860AF" w14:textId="289F905E" w:rsidR="00B710DB" w:rsidRPr="00B710DB" w:rsidRDefault="00B710DB" w:rsidP="00B710DB">
            <w:pPr>
              <w:rPr>
                <w:sz w:val="18"/>
                <w:szCs w:val="18"/>
              </w:rPr>
            </w:pPr>
            <w:r w:rsidRPr="00B710DB">
              <w:rPr>
                <w:sz w:val="18"/>
                <w:szCs w:val="18"/>
                <w:lang w:val="ru-RU"/>
              </w:rPr>
              <w:t>Вноска традиционни собствени ресурси - мита</w:t>
            </w:r>
          </w:p>
        </w:tc>
        <w:tc>
          <w:tcPr>
            <w:tcW w:w="1224" w:type="dxa"/>
            <w:tcBorders>
              <w:top w:val="nil"/>
              <w:left w:val="nil"/>
              <w:bottom w:val="nil"/>
              <w:right w:val="single" w:sz="4" w:space="0" w:color="800000"/>
            </w:tcBorders>
            <w:shd w:val="clear" w:color="auto" w:fill="FFFFCC"/>
            <w:noWrap/>
          </w:tcPr>
          <w:p w14:paraId="6511FFED" w14:textId="206D1AAA" w:rsidR="00B710DB" w:rsidRPr="00B710DB" w:rsidRDefault="004553F9" w:rsidP="00B710DB">
            <w:pPr>
              <w:jc w:val="right"/>
              <w:rPr>
                <w:sz w:val="18"/>
                <w:szCs w:val="18"/>
              </w:rPr>
            </w:pPr>
            <w:r>
              <w:rPr>
                <w:sz w:val="18"/>
                <w:szCs w:val="18"/>
              </w:rPr>
              <w:t>340</w:t>
            </w:r>
            <w:r w:rsidR="00B710DB" w:rsidRPr="00B710DB">
              <w:rPr>
                <w:sz w:val="18"/>
                <w:szCs w:val="18"/>
              </w:rPr>
              <w:t>,0</w:t>
            </w:r>
          </w:p>
        </w:tc>
        <w:tc>
          <w:tcPr>
            <w:tcW w:w="1134" w:type="dxa"/>
            <w:tcBorders>
              <w:top w:val="nil"/>
              <w:left w:val="nil"/>
              <w:bottom w:val="nil"/>
              <w:right w:val="single" w:sz="4" w:space="0" w:color="800000"/>
            </w:tcBorders>
            <w:shd w:val="clear" w:color="auto" w:fill="FFFFCC"/>
            <w:noWrap/>
            <w:vAlign w:val="bottom"/>
          </w:tcPr>
          <w:p w14:paraId="7E940594" w14:textId="681E4829" w:rsidR="00B710DB" w:rsidRPr="00B710DB" w:rsidRDefault="00B710DB" w:rsidP="00B710DB">
            <w:pPr>
              <w:jc w:val="right"/>
              <w:rPr>
                <w:sz w:val="18"/>
                <w:szCs w:val="18"/>
                <w:lang w:val="ru-RU"/>
              </w:rPr>
            </w:pPr>
            <w:r w:rsidRPr="00B710DB">
              <w:rPr>
                <w:sz w:val="18"/>
                <w:szCs w:val="18"/>
                <w:lang w:val="ru-RU"/>
              </w:rPr>
              <w:t>323,6</w:t>
            </w:r>
          </w:p>
        </w:tc>
        <w:tc>
          <w:tcPr>
            <w:tcW w:w="1467" w:type="dxa"/>
            <w:tcBorders>
              <w:top w:val="nil"/>
              <w:left w:val="nil"/>
              <w:bottom w:val="nil"/>
              <w:right w:val="double" w:sz="6" w:space="0" w:color="800000"/>
            </w:tcBorders>
            <w:shd w:val="clear" w:color="auto" w:fill="FFFFCC"/>
            <w:noWrap/>
            <w:vAlign w:val="bottom"/>
          </w:tcPr>
          <w:p w14:paraId="0FA700D8" w14:textId="16846CA5" w:rsidR="00B710DB" w:rsidRPr="002E79BD" w:rsidRDefault="004553F9" w:rsidP="004553F9">
            <w:pPr>
              <w:jc w:val="right"/>
              <w:rPr>
                <w:sz w:val="18"/>
                <w:szCs w:val="18"/>
              </w:rPr>
            </w:pPr>
            <w:r>
              <w:rPr>
                <w:sz w:val="18"/>
                <w:szCs w:val="18"/>
              </w:rPr>
              <w:t>9</w:t>
            </w:r>
            <w:r w:rsidR="002E79BD" w:rsidRPr="002E79BD">
              <w:rPr>
                <w:sz w:val="18"/>
                <w:szCs w:val="18"/>
              </w:rPr>
              <w:t>5</w:t>
            </w:r>
            <w:r w:rsidR="00B710DB" w:rsidRPr="002E79BD">
              <w:rPr>
                <w:sz w:val="18"/>
                <w:szCs w:val="18"/>
              </w:rPr>
              <w:t>,</w:t>
            </w:r>
            <w:r>
              <w:rPr>
                <w:sz w:val="18"/>
                <w:szCs w:val="18"/>
              </w:rPr>
              <w:t>2</w:t>
            </w:r>
            <w:r w:rsidR="00B710DB" w:rsidRPr="002E79BD">
              <w:rPr>
                <w:sz w:val="18"/>
                <w:szCs w:val="18"/>
              </w:rPr>
              <w:t>%</w:t>
            </w:r>
          </w:p>
        </w:tc>
      </w:tr>
      <w:tr w:rsidR="00B710DB" w:rsidRPr="007B48E9" w14:paraId="77B301BD" w14:textId="77777777" w:rsidTr="002E79BD">
        <w:trPr>
          <w:trHeight w:val="232"/>
        </w:trPr>
        <w:tc>
          <w:tcPr>
            <w:tcW w:w="5616" w:type="dxa"/>
            <w:tcBorders>
              <w:top w:val="nil"/>
              <w:left w:val="double" w:sz="6" w:space="0" w:color="800000"/>
              <w:bottom w:val="nil"/>
              <w:right w:val="single" w:sz="4" w:space="0" w:color="800000"/>
            </w:tcBorders>
            <w:shd w:val="clear" w:color="auto" w:fill="FFFFCC"/>
            <w:noWrap/>
            <w:vAlign w:val="bottom"/>
          </w:tcPr>
          <w:p w14:paraId="65212096" w14:textId="3CF000C2" w:rsidR="00B710DB" w:rsidRPr="00B710DB" w:rsidRDefault="00B710DB" w:rsidP="00B710DB">
            <w:pPr>
              <w:rPr>
                <w:sz w:val="18"/>
                <w:szCs w:val="18"/>
                <w:lang w:val="ru-RU"/>
              </w:rPr>
            </w:pPr>
            <w:r w:rsidRPr="00B710DB">
              <w:rPr>
                <w:sz w:val="18"/>
                <w:szCs w:val="18"/>
                <w:lang w:val="ru-RU"/>
              </w:rPr>
              <w:t>Вноска тра</w:t>
            </w:r>
            <w:r>
              <w:rPr>
                <w:sz w:val="18"/>
                <w:szCs w:val="18"/>
                <w:lang w:val="ru-RU"/>
              </w:rPr>
              <w:t>диционни собствени ресурси – други корекции</w:t>
            </w:r>
          </w:p>
        </w:tc>
        <w:tc>
          <w:tcPr>
            <w:tcW w:w="1224" w:type="dxa"/>
            <w:tcBorders>
              <w:top w:val="nil"/>
              <w:left w:val="nil"/>
              <w:bottom w:val="nil"/>
              <w:right w:val="single" w:sz="4" w:space="0" w:color="800000"/>
            </w:tcBorders>
            <w:shd w:val="clear" w:color="auto" w:fill="FFFFCC"/>
            <w:noWrap/>
          </w:tcPr>
          <w:p w14:paraId="42EC1500" w14:textId="4AC9E887" w:rsidR="00B710DB" w:rsidRPr="00B710DB" w:rsidRDefault="00B710DB" w:rsidP="00B710DB">
            <w:pPr>
              <w:jc w:val="right"/>
              <w:rPr>
                <w:sz w:val="18"/>
                <w:szCs w:val="18"/>
              </w:rPr>
            </w:pPr>
            <w:r>
              <w:rPr>
                <w:sz w:val="20"/>
              </w:rPr>
              <w:t>42,1</w:t>
            </w:r>
          </w:p>
        </w:tc>
        <w:tc>
          <w:tcPr>
            <w:tcW w:w="1134" w:type="dxa"/>
            <w:tcBorders>
              <w:top w:val="nil"/>
              <w:left w:val="nil"/>
              <w:bottom w:val="nil"/>
              <w:right w:val="single" w:sz="4" w:space="0" w:color="800000"/>
            </w:tcBorders>
            <w:shd w:val="clear" w:color="auto" w:fill="FFFFCC"/>
            <w:noWrap/>
            <w:vAlign w:val="bottom"/>
          </w:tcPr>
          <w:p w14:paraId="75EE7A29" w14:textId="35857267" w:rsidR="00B710DB" w:rsidRPr="00B710DB" w:rsidRDefault="00B710DB" w:rsidP="00B710DB">
            <w:pPr>
              <w:jc w:val="right"/>
              <w:rPr>
                <w:sz w:val="18"/>
                <w:szCs w:val="18"/>
                <w:lang w:val="ru-RU"/>
              </w:rPr>
            </w:pPr>
          </w:p>
        </w:tc>
        <w:tc>
          <w:tcPr>
            <w:tcW w:w="1467" w:type="dxa"/>
            <w:tcBorders>
              <w:top w:val="nil"/>
              <w:left w:val="nil"/>
              <w:bottom w:val="nil"/>
              <w:right w:val="double" w:sz="6" w:space="0" w:color="800000"/>
            </w:tcBorders>
            <w:shd w:val="clear" w:color="auto" w:fill="FFFFCC"/>
            <w:noWrap/>
            <w:vAlign w:val="bottom"/>
          </w:tcPr>
          <w:p w14:paraId="58D17CF1" w14:textId="77777777" w:rsidR="00B710DB" w:rsidRPr="007B48E9" w:rsidRDefault="00B710DB" w:rsidP="00B710DB">
            <w:pPr>
              <w:jc w:val="right"/>
              <w:rPr>
                <w:color w:val="0070C0"/>
                <w:sz w:val="18"/>
                <w:szCs w:val="18"/>
              </w:rPr>
            </w:pPr>
          </w:p>
        </w:tc>
      </w:tr>
      <w:tr w:rsidR="00B710DB" w:rsidRPr="007B48E9" w14:paraId="3BE2700F" w14:textId="77777777" w:rsidTr="002E79BD">
        <w:trPr>
          <w:trHeight w:val="356"/>
        </w:trPr>
        <w:tc>
          <w:tcPr>
            <w:tcW w:w="5616" w:type="dxa"/>
            <w:tcBorders>
              <w:top w:val="nil"/>
              <w:left w:val="double" w:sz="6" w:space="0" w:color="800000"/>
              <w:bottom w:val="nil"/>
              <w:right w:val="single" w:sz="4" w:space="0" w:color="800000"/>
            </w:tcBorders>
            <w:shd w:val="clear" w:color="auto" w:fill="FFFFCC"/>
            <w:noWrap/>
          </w:tcPr>
          <w:p w14:paraId="58F54764" w14:textId="290AB1EA" w:rsidR="00B710DB" w:rsidRPr="007B48E9" w:rsidRDefault="00B710DB" w:rsidP="00B710DB">
            <w:pPr>
              <w:spacing w:after="240"/>
              <w:rPr>
                <w:color w:val="0070C0"/>
                <w:sz w:val="18"/>
                <w:szCs w:val="18"/>
              </w:rPr>
            </w:pPr>
            <w:r w:rsidRPr="00B710DB">
              <w:rPr>
                <w:sz w:val="18"/>
                <w:szCs w:val="18"/>
              </w:rPr>
              <w:t>Участие във финансирането на брутното намаление за Австрия, Дания, Германия, Нидерландия и Швеция</w:t>
            </w:r>
          </w:p>
        </w:tc>
        <w:tc>
          <w:tcPr>
            <w:tcW w:w="1224" w:type="dxa"/>
            <w:tcBorders>
              <w:top w:val="nil"/>
              <w:left w:val="nil"/>
              <w:bottom w:val="nil"/>
              <w:right w:val="single" w:sz="4" w:space="0" w:color="800000"/>
            </w:tcBorders>
            <w:shd w:val="clear" w:color="auto" w:fill="FFFFCC"/>
            <w:noWrap/>
          </w:tcPr>
          <w:p w14:paraId="2ACBAE00" w14:textId="77777777" w:rsidR="00B710DB" w:rsidRDefault="00B710DB" w:rsidP="00B710DB">
            <w:pPr>
              <w:jc w:val="right"/>
              <w:rPr>
                <w:color w:val="0070C0"/>
                <w:sz w:val="18"/>
                <w:szCs w:val="18"/>
              </w:rPr>
            </w:pPr>
          </w:p>
          <w:p w14:paraId="3A7CCF6A" w14:textId="4DF3B1A7" w:rsidR="00B710DB" w:rsidRPr="00B710DB" w:rsidRDefault="00B710DB" w:rsidP="00B710DB">
            <w:pPr>
              <w:jc w:val="right"/>
              <w:rPr>
                <w:color w:val="0070C0"/>
                <w:sz w:val="18"/>
                <w:szCs w:val="18"/>
              </w:rPr>
            </w:pPr>
            <w:r w:rsidRPr="00B710DB">
              <w:rPr>
                <w:sz w:val="18"/>
                <w:szCs w:val="18"/>
              </w:rPr>
              <w:t>77,2</w:t>
            </w:r>
          </w:p>
        </w:tc>
        <w:tc>
          <w:tcPr>
            <w:tcW w:w="1134" w:type="dxa"/>
            <w:tcBorders>
              <w:top w:val="nil"/>
              <w:left w:val="nil"/>
              <w:bottom w:val="nil"/>
              <w:right w:val="single" w:sz="4" w:space="0" w:color="800000"/>
            </w:tcBorders>
            <w:shd w:val="clear" w:color="auto" w:fill="FFFFCC"/>
            <w:noWrap/>
          </w:tcPr>
          <w:p w14:paraId="61A9F33B" w14:textId="77777777" w:rsidR="00B710DB" w:rsidRPr="00B710DB" w:rsidRDefault="00B710DB" w:rsidP="00B710DB">
            <w:pPr>
              <w:jc w:val="right"/>
              <w:rPr>
                <w:sz w:val="18"/>
                <w:szCs w:val="18"/>
                <w:lang w:val="ru-RU"/>
              </w:rPr>
            </w:pPr>
          </w:p>
          <w:p w14:paraId="64FA1654" w14:textId="5EFB16E3" w:rsidR="00B710DB" w:rsidRPr="00B710DB" w:rsidRDefault="00B710DB" w:rsidP="00B710DB">
            <w:pPr>
              <w:jc w:val="right"/>
              <w:rPr>
                <w:sz w:val="18"/>
                <w:szCs w:val="18"/>
                <w:lang w:val="ru-RU"/>
              </w:rPr>
            </w:pPr>
            <w:r w:rsidRPr="00B710DB">
              <w:rPr>
                <w:sz w:val="18"/>
                <w:szCs w:val="18"/>
                <w:lang w:val="ru-RU"/>
              </w:rPr>
              <w:t>73,6</w:t>
            </w:r>
          </w:p>
        </w:tc>
        <w:tc>
          <w:tcPr>
            <w:tcW w:w="1467" w:type="dxa"/>
            <w:tcBorders>
              <w:top w:val="nil"/>
              <w:left w:val="nil"/>
              <w:bottom w:val="nil"/>
              <w:right w:val="double" w:sz="6" w:space="0" w:color="800000"/>
            </w:tcBorders>
            <w:shd w:val="clear" w:color="auto" w:fill="FFFFCC"/>
            <w:noWrap/>
          </w:tcPr>
          <w:p w14:paraId="0ABAA118" w14:textId="77777777" w:rsidR="00B710DB" w:rsidRPr="002E79BD" w:rsidRDefault="00B710DB" w:rsidP="00B710DB">
            <w:pPr>
              <w:jc w:val="right"/>
              <w:rPr>
                <w:sz w:val="18"/>
                <w:szCs w:val="18"/>
              </w:rPr>
            </w:pPr>
          </w:p>
          <w:p w14:paraId="6BC6922B" w14:textId="0683DA2D" w:rsidR="002E79BD" w:rsidRPr="007B48E9" w:rsidRDefault="002E79BD" w:rsidP="00B710DB">
            <w:pPr>
              <w:jc w:val="right"/>
              <w:rPr>
                <w:color w:val="0070C0"/>
                <w:sz w:val="18"/>
                <w:szCs w:val="18"/>
              </w:rPr>
            </w:pPr>
            <w:r w:rsidRPr="002E79BD">
              <w:rPr>
                <w:sz w:val="18"/>
                <w:szCs w:val="18"/>
              </w:rPr>
              <w:t>95,3%</w:t>
            </w:r>
          </w:p>
        </w:tc>
      </w:tr>
      <w:tr w:rsidR="007B48E9" w:rsidRPr="007B48E9" w14:paraId="0C1D47B7" w14:textId="77777777" w:rsidTr="002E79BD">
        <w:trPr>
          <w:trHeight w:val="320"/>
        </w:trPr>
        <w:tc>
          <w:tcPr>
            <w:tcW w:w="5616" w:type="dxa"/>
            <w:tcBorders>
              <w:top w:val="single" w:sz="4" w:space="0" w:color="800000"/>
              <w:left w:val="double" w:sz="6" w:space="0" w:color="800000"/>
              <w:bottom w:val="double" w:sz="6" w:space="0" w:color="800000"/>
              <w:right w:val="single" w:sz="4" w:space="0" w:color="800000"/>
            </w:tcBorders>
            <w:shd w:val="clear" w:color="auto" w:fill="FFFFCC"/>
            <w:noWrap/>
            <w:vAlign w:val="bottom"/>
            <w:hideMark/>
          </w:tcPr>
          <w:p w14:paraId="78F1D3C6" w14:textId="3999EC5F" w:rsidR="00B312CC" w:rsidRPr="00B710DB" w:rsidRDefault="00B312CC" w:rsidP="00B710DB">
            <w:pPr>
              <w:rPr>
                <w:b/>
                <w:bCs/>
                <w:sz w:val="18"/>
                <w:szCs w:val="18"/>
              </w:rPr>
            </w:pPr>
            <w:r w:rsidRPr="00B710DB">
              <w:rPr>
                <w:b/>
                <w:bCs/>
                <w:sz w:val="18"/>
                <w:szCs w:val="18"/>
              </w:rPr>
              <w:t>ВНОСКА В ОБЩИЯ БЮДЖЕТ НА ЕС ЗА 202</w:t>
            </w:r>
            <w:r w:rsidR="00B710DB" w:rsidRPr="00B710DB">
              <w:rPr>
                <w:b/>
                <w:bCs/>
                <w:sz w:val="18"/>
                <w:szCs w:val="18"/>
              </w:rPr>
              <w:t>2</w:t>
            </w:r>
            <w:r w:rsidRPr="00B710DB">
              <w:rPr>
                <w:b/>
                <w:bCs/>
                <w:sz w:val="18"/>
                <w:szCs w:val="18"/>
              </w:rPr>
              <w:t xml:space="preserve"> г.</w:t>
            </w:r>
          </w:p>
        </w:tc>
        <w:tc>
          <w:tcPr>
            <w:tcW w:w="1224" w:type="dxa"/>
            <w:tcBorders>
              <w:top w:val="single" w:sz="4" w:space="0" w:color="800000"/>
              <w:left w:val="nil"/>
              <w:bottom w:val="double" w:sz="6" w:space="0" w:color="800000"/>
              <w:right w:val="single" w:sz="4" w:space="0" w:color="800000"/>
            </w:tcBorders>
            <w:shd w:val="clear" w:color="auto" w:fill="FFFFCC"/>
            <w:noWrap/>
            <w:vAlign w:val="bottom"/>
          </w:tcPr>
          <w:p w14:paraId="70565B72" w14:textId="5E2186B0" w:rsidR="00B312CC" w:rsidRPr="00B710DB" w:rsidRDefault="00B312CC" w:rsidP="00B710DB">
            <w:pPr>
              <w:jc w:val="right"/>
              <w:rPr>
                <w:b/>
                <w:bCs/>
                <w:sz w:val="18"/>
                <w:szCs w:val="18"/>
              </w:rPr>
            </w:pPr>
            <w:r w:rsidRPr="00B710DB">
              <w:rPr>
                <w:b/>
                <w:bCs/>
                <w:sz w:val="18"/>
                <w:szCs w:val="18"/>
              </w:rPr>
              <w:t xml:space="preserve">1 </w:t>
            </w:r>
            <w:r w:rsidR="00B710DB" w:rsidRPr="00B710DB">
              <w:rPr>
                <w:b/>
                <w:bCs/>
                <w:sz w:val="18"/>
                <w:szCs w:val="18"/>
              </w:rPr>
              <w:t>839</w:t>
            </w:r>
            <w:r w:rsidRPr="00B710DB">
              <w:rPr>
                <w:b/>
                <w:bCs/>
                <w:sz w:val="18"/>
                <w:szCs w:val="18"/>
              </w:rPr>
              <w:t>,</w:t>
            </w:r>
            <w:r w:rsidR="00B710DB" w:rsidRPr="00B710DB">
              <w:rPr>
                <w:b/>
                <w:bCs/>
                <w:sz w:val="18"/>
                <w:szCs w:val="18"/>
              </w:rPr>
              <w:t>9</w:t>
            </w:r>
          </w:p>
        </w:tc>
        <w:tc>
          <w:tcPr>
            <w:tcW w:w="1134" w:type="dxa"/>
            <w:tcBorders>
              <w:top w:val="single" w:sz="4" w:space="0" w:color="800000"/>
              <w:left w:val="nil"/>
              <w:bottom w:val="double" w:sz="6" w:space="0" w:color="800000"/>
              <w:right w:val="single" w:sz="4" w:space="0" w:color="800000"/>
            </w:tcBorders>
            <w:shd w:val="clear" w:color="auto" w:fill="FFFFCC"/>
            <w:noWrap/>
            <w:vAlign w:val="bottom"/>
          </w:tcPr>
          <w:p w14:paraId="3BFF22D2" w14:textId="77777777" w:rsidR="00B312CC" w:rsidRPr="00B710DB" w:rsidRDefault="00B312CC" w:rsidP="00706DD3">
            <w:pPr>
              <w:rPr>
                <w:b/>
                <w:bCs/>
                <w:sz w:val="18"/>
                <w:szCs w:val="18"/>
                <w:lang w:val="ru-RU"/>
              </w:rPr>
            </w:pPr>
          </w:p>
          <w:p w14:paraId="45E79640" w14:textId="38631F20" w:rsidR="00B312CC" w:rsidRPr="00B710DB" w:rsidRDefault="00B312CC" w:rsidP="00B710DB">
            <w:pPr>
              <w:jc w:val="right"/>
              <w:rPr>
                <w:b/>
                <w:bCs/>
                <w:sz w:val="18"/>
                <w:szCs w:val="18"/>
              </w:rPr>
            </w:pPr>
            <w:r w:rsidRPr="00B710DB">
              <w:rPr>
                <w:b/>
                <w:bCs/>
                <w:sz w:val="18"/>
                <w:szCs w:val="18"/>
              </w:rPr>
              <w:t xml:space="preserve">1 </w:t>
            </w:r>
            <w:r w:rsidR="00B710DB">
              <w:rPr>
                <w:b/>
                <w:bCs/>
                <w:sz w:val="18"/>
                <w:szCs w:val="18"/>
              </w:rPr>
              <w:t>705</w:t>
            </w:r>
            <w:r w:rsidRPr="00B710DB">
              <w:rPr>
                <w:b/>
                <w:bCs/>
                <w:sz w:val="18"/>
                <w:szCs w:val="18"/>
              </w:rPr>
              <w:t>,0</w:t>
            </w:r>
          </w:p>
        </w:tc>
        <w:tc>
          <w:tcPr>
            <w:tcW w:w="1467" w:type="dxa"/>
            <w:tcBorders>
              <w:top w:val="single" w:sz="4" w:space="0" w:color="800000"/>
              <w:left w:val="nil"/>
              <w:bottom w:val="double" w:sz="6" w:space="0" w:color="800000"/>
              <w:right w:val="double" w:sz="6" w:space="0" w:color="800000"/>
            </w:tcBorders>
            <w:shd w:val="clear" w:color="auto" w:fill="FFFFCC"/>
            <w:noWrap/>
            <w:vAlign w:val="bottom"/>
            <w:hideMark/>
          </w:tcPr>
          <w:p w14:paraId="607BE56C" w14:textId="153F4922" w:rsidR="00B312CC" w:rsidRPr="00B710DB" w:rsidRDefault="002E79BD" w:rsidP="002E79BD">
            <w:pPr>
              <w:ind w:left="-19" w:firstLine="19"/>
              <w:jc w:val="right"/>
              <w:rPr>
                <w:b/>
                <w:bCs/>
                <w:sz w:val="18"/>
                <w:szCs w:val="18"/>
              </w:rPr>
            </w:pPr>
            <w:r>
              <w:rPr>
                <w:b/>
                <w:bCs/>
                <w:sz w:val="18"/>
                <w:szCs w:val="18"/>
              </w:rPr>
              <w:t>92</w:t>
            </w:r>
            <w:r w:rsidR="00B312CC" w:rsidRPr="00B710DB">
              <w:rPr>
                <w:b/>
                <w:bCs/>
                <w:sz w:val="18"/>
                <w:szCs w:val="18"/>
              </w:rPr>
              <w:t>,</w:t>
            </w:r>
            <w:r>
              <w:rPr>
                <w:b/>
                <w:bCs/>
                <w:sz w:val="18"/>
                <w:szCs w:val="18"/>
              </w:rPr>
              <w:t>7</w:t>
            </w:r>
            <w:r w:rsidR="00B312CC" w:rsidRPr="00B710DB">
              <w:rPr>
                <w:b/>
                <w:bCs/>
                <w:sz w:val="18"/>
                <w:szCs w:val="18"/>
              </w:rPr>
              <w:t xml:space="preserve"> %</w:t>
            </w:r>
          </w:p>
        </w:tc>
      </w:tr>
    </w:tbl>
    <w:p w14:paraId="640F0476" w14:textId="77777777" w:rsidR="008D3142" w:rsidRPr="007B48E9" w:rsidRDefault="008D3142" w:rsidP="008D3142">
      <w:pPr>
        <w:rPr>
          <w:color w:val="0070C0"/>
        </w:rPr>
      </w:pPr>
    </w:p>
    <w:p w14:paraId="2C27B6F8" w14:textId="5AF797F4" w:rsidR="00EC7A58" w:rsidRPr="00180BB7" w:rsidRDefault="00B63AB6" w:rsidP="004D74B5">
      <w:pPr>
        <w:pStyle w:val="Heading3"/>
        <w:numPr>
          <w:ilvl w:val="2"/>
          <w:numId w:val="8"/>
        </w:numPr>
        <w:ind w:left="1276" w:hanging="556"/>
        <w:jc w:val="both"/>
        <w:rPr>
          <w:rFonts w:ascii="Times New Roman" w:hAnsi="Times New Roman" w:cs="Times New Roman"/>
          <w:sz w:val="24"/>
          <w:szCs w:val="24"/>
          <w:lang w:val="bg-BG"/>
        </w:rPr>
      </w:pPr>
      <w:bookmarkStart w:id="289" w:name="_Toc146037907"/>
      <w:r w:rsidRPr="00180BB7">
        <w:rPr>
          <w:rFonts w:ascii="Times New Roman" w:hAnsi="Times New Roman" w:cs="Times New Roman"/>
          <w:sz w:val="24"/>
          <w:szCs w:val="24"/>
          <w:lang w:val="bg-BG"/>
        </w:rPr>
        <w:t>Изпълнение на утвърдените ангажименти за разход</w:t>
      </w:r>
      <w:r w:rsidR="00924945" w:rsidRPr="00180BB7">
        <w:rPr>
          <w:rFonts w:ascii="Times New Roman" w:hAnsi="Times New Roman" w:cs="Times New Roman"/>
          <w:sz w:val="24"/>
          <w:szCs w:val="24"/>
          <w:lang w:val="bg-BG"/>
        </w:rPr>
        <w:t>и</w:t>
      </w:r>
      <w:r w:rsidRPr="00180BB7">
        <w:rPr>
          <w:rFonts w:ascii="Times New Roman" w:hAnsi="Times New Roman" w:cs="Times New Roman"/>
          <w:sz w:val="24"/>
          <w:szCs w:val="24"/>
          <w:lang w:val="bg-BG"/>
        </w:rPr>
        <w:t>, които могат да бъдат поети през 20</w:t>
      </w:r>
      <w:r w:rsidR="002333E4" w:rsidRPr="00180BB7">
        <w:rPr>
          <w:rFonts w:ascii="Times New Roman" w:hAnsi="Times New Roman" w:cs="Times New Roman"/>
          <w:sz w:val="24"/>
          <w:szCs w:val="24"/>
          <w:lang w:val="bg-BG"/>
        </w:rPr>
        <w:t>2</w:t>
      </w:r>
      <w:r w:rsidR="00180BB7" w:rsidRPr="004D5FFC">
        <w:rPr>
          <w:rFonts w:ascii="Times New Roman" w:hAnsi="Times New Roman" w:cs="Times New Roman"/>
          <w:sz w:val="24"/>
          <w:szCs w:val="24"/>
          <w:lang w:val="ru-RU"/>
        </w:rPr>
        <w:t>2</w:t>
      </w:r>
      <w:r w:rsidRPr="00180BB7">
        <w:rPr>
          <w:rFonts w:ascii="Times New Roman" w:hAnsi="Times New Roman" w:cs="Times New Roman"/>
          <w:sz w:val="24"/>
          <w:szCs w:val="24"/>
          <w:lang w:val="bg-BG"/>
        </w:rPr>
        <w:t xml:space="preserve"> г. и на новите задължения</w:t>
      </w:r>
      <w:r w:rsidR="00924945" w:rsidRPr="00180BB7">
        <w:rPr>
          <w:rFonts w:ascii="Times New Roman" w:hAnsi="Times New Roman" w:cs="Times New Roman"/>
          <w:sz w:val="24"/>
          <w:szCs w:val="24"/>
          <w:lang w:val="bg-BG"/>
        </w:rPr>
        <w:t xml:space="preserve"> за разходи</w:t>
      </w:r>
      <w:r w:rsidRPr="00180BB7">
        <w:rPr>
          <w:rFonts w:ascii="Times New Roman" w:hAnsi="Times New Roman" w:cs="Times New Roman"/>
          <w:sz w:val="24"/>
          <w:szCs w:val="24"/>
          <w:lang w:val="bg-BG"/>
        </w:rPr>
        <w:t xml:space="preserve">, които могат да бъдат натрупани през </w:t>
      </w:r>
      <w:r w:rsidR="0049435A" w:rsidRPr="00180BB7">
        <w:rPr>
          <w:rFonts w:ascii="Times New Roman" w:hAnsi="Times New Roman" w:cs="Times New Roman"/>
          <w:sz w:val="24"/>
          <w:szCs w:val="24"/>
          <w:lang w:val="bg-BG"/>
        </w:rPr>
        <w:t>20</w:t>
      </w:r>
      <w:r w:rsidR="002333E4" w:rsidRPr="00180BB7">
        <w:rPr>
          <w:rFonts w:ascii="Times New Roman" w:hAnsi="Times New Roman" w:cs="Times New Roman"/>
          <w:sz w:val="24"/>
          <w:szCs w:val="24"/>
          <w:lang w:val="bg-BG"/>
        </w:rPr>
        <w:t>2</w:t>
      </w:r>
      <w:r w:rsidR="00180BB7" w:rsidRPr="004D5FFC">
        <w:rPr>
          <w:rFonts w:ascii="Times New Roman" w:hAnsi="Times New Roman" w:cs="Times New Roman"/>
          <w:sz w:val="24"/>
          <w:szCs w:val="24"/>
          <w:lang w:val="ru-RU"/>
        </w:rPr>
        <w:t>2</w:t>
      </w:r>
      <w:r w:rsidR="0049435A" w:rsidRPr="00180BB7">
        <w:rPr>
          <w:rFonts w:ascii="Times New Roman" w:hAnsi="Times New Roman" w:cs="Times New Roman"/>
          <w:sz w:val="24"/>
          <w:szCs w:val="24"/>
          <w:lang w:val="bg-BG"/>
        </w:rPr>
        <w:t xml:space="preserve"> </w:t>
      </w:r>
      <w:r w:rsidRPr="00180BB7">
        <w:rPr>
          <w:rFonts w:ascii="Times New Roman" w:hAnsi="Times New Roman" w:cs="Times New Roman"/>
          <w:sz w:val="24"/>
          <w:szCs w:val="24"/>
          <w:lang w:val="bg-BG"/>
        </w:rPr>
        <w:t>г. от първостепенните разпоредители с</w:t>
      </w:r>
      <w:bookmarkEnd w:id="239"/>
      <w:bookmarkEnd w:id="240"/>
      <w:r w:rsidRPr="00180BB7">
        <w:rPr>
          <w:rFonts w:ascii="Times New Roman" w:hAnsi="Times New Roman" w:cs="Times New Roman"/>
          <w:sz w:val="24"/>
          <w:szCs w:val="24"/>
          <w:lang w:val="bg-BG"/>
        </w:rPr>
        <w:t xml:space="preserve"> бюджет</w:t>
      </w:r>
      <w:bookmarkEnd w:id="289"/>
    </w:p>
    <w:p w14:paraId="737CBECE" w14:textId="77777777" w:rsidR="004C7AFE" w:rsidRPr="00023A8B" w:rsidRDefault="004C7AFE" w:rsidP="000935DE">
      <w:pPr>
        <w:spacing w:before="120"/>
        <w:ind w:firstLine="709"/>
        <w:jc w:val="both"/>
        <w:rPr>
          <w:bCs/>
        </w:rPr>
      </w:pPr>
      <w:bookmarkStart w:id="290" w:name="_Toc136597751"/>
      <w:bookmarkStart w:id="291" w:name="_Toc136601654"/>
      <w:bookmarkStart w:id="292" w:name="_Toc167181041"/>
      <w:bookmarkStart w:id="293" w:name="_Toc230007077"/>
      <w:bookmarkStart w:id="294" w:name="_Toc324863431"/>
      <w:bookmarkEnd w:id="241"/>
      <w:bookmarkEnd w:id="242"/>
      <w:bookmarkEnd w:id="243"/>
      <w:bookmarkEnd w:id="244"/>
      <w:bookmarkEnd w:id="245"/>
      <w:bookmarkEnd w:id="246"/>
      <w:r w:rsidRPr="00533C64">
        <w:rPr>
          <w:bCs/>
        </w:rPr>
        <w:t xml:space="preserve">В резултат на предприети действия и въведените контролни процедури от страна на </w:t>
      </w:r>
      <w:r w:rsidRPr="00023A8B">
        <w:rPr>
          <w:bCs/>
        </w:rPr>
        <w:t xml:space="preserve">Министерството на финансите за своевременно уведомяване на първостепенните разпоредители с бюджет за предприемане на мерки в процеса на поемането на ангажименти, произтичащи от сключване на договори, споразумения, решения, нормативни актове и др. и недопускане на превишение на определените им максимални размери на ангажиментите за разходи и на новите задължения за разходи, които могат да бъдат поети или натрупани през 2022 г. болшинството ПРБ по ДБ са спазили утвърдените им максимални размери на тези показатели. </w:t>
      </w:r>
    </w:p>
    <w:p w14:paraId="13B0E890" w14:textId="25D7F5A3" w:rsidR="004C7AFE" w:rsidRPr="00023A8B" w:rsidRDefault="004C7AFE" w:rsidP="000935DE">
      <w:pPr>
        <w:autoSpaceDE w:val="0"/>
        <w:autoSpaceDN w:val="0"/>
        <w:adjustRightInd w:val="0"/>
        <w:ind w:firstLine="709"/>
        <w:jc w:val="both"/>
        <w:rPr>
          <w:bCs/>
        </w:rPr>
      </w:pPr>
      <w:r w:rsidRPr="00023A8B">
        <w:rPr>
          <w:bCs/>
        </w:rPr>
        <w:t>Максималният размер на ангажиментите за разходи, които могат да бъдат поети през 2022 г. съгласно ЗДБРБ за 2022 г. е 12 844,1 млн. лв., в т. ч. министерства и ведомства, Сметна палата, Народно събрание и ВСС. От тях за министерствата и ведомствата максималните размери са 12 683,0  млн. лв. или 98,7</w:t>
      </w:r>
      <w:r w:rsidR="00B23DF0" w:rsidRPr="004D5FFC">
        <w:rPr>
          <w:bCs/>
          <w:lang w:val="ru-RU"/>
        </w:rPr>
        <w:t xml:space="preserve"> </w:t>
      </w:r>
      <w:r w:rsidRPr="00023A8B">
        <w:rPr>
          <w:bCs/>
        </w:rPr>
        <w:t xml:space="preserve">% от общо определените със закона. По уточнен план общата сума е в размер на 17 308, </w:t>
      </w:r>
      <w:r w:rsidR="004553F9">
        <w:rPr>
          <w:bCs/>
        </w:rPr>
        <w:t>9</w:t>
      </w:r>
      <w:r w:rsidRPr="00023A8B">
        <w:rPr>
          <w:bCs/>
        </w:rPr>
        <w:t xml:space="preserve"> млн. лв.  или с 34,8</w:t>
      </w:r>
      <w:r w:rsidR="007F3FC7" w:rsidRPr="004D5FFC">
        <w:rPr>
          <w:bCs/>
          <w:lang w:val="ru-RU"/>
        </w:rPr>
        <w:t xml:space="preserve"> </w:t>
      </w:r>
      <w:r w:rsidRPr="00023A8B">
        <w:rPr>
          <w:bCs/>
        </w:rPr>
        <w:t>% повече от първоначално предвиденото в ЗДБРБ за 2022 г. Максималните размери на ангажиментите за разходи за министерствата и ведомствата по уточнен план заемат 98,9</w:t>
      </w:r>
      <w:r w:rsidR="007F3FC7" w:rsidRPr="004D5FFC">
        <w:rPr>
          <w:bCs/>
          <w:lang w:val="ru-RU"/>
        </w:rPr>
        <w:t xml:space="preserve"> </w:t>
      </w:r>
      <w:r w:rsidRPr="00023A8B">
        <w:rPr>
          <w:bCs/>
        </w:rPr>
        <w:t>% от общо одобрените и са с 35,0 % повече от разчетените със ЗДБРБ за 2022 година.</w:t>
      </w:r>
    </w:p>
    <w:p w14:paraId="04D69C61" w14:textId="77777777" w:rsidR="004C7AFE" w:rsidRPr="00023A8B" w:rsidRDefault="004C7AFE" w:rsidP="000935DE">
      <w:pPr>
        <w:autoSpaceDE w:val="0"/>
        <w:autoSpaceDN w:val="0"/>
        <w:adjustRightInd w:val="0"/>
        <w:ind w:firstLine="709"/>
        <w:jc w:val="both"/>
        <w:rPr>
          <w:bCs/>
        </w:rPr>
      </w:pPr>
      <w:r w:rsidRPr="00023A8B">
        <w:rPr>
          <w:bCs/>
        </w:rPr>
        <w:t>Анализите на годишните отчети по отношение на максималните размери на ангажиментите за разходи, които могат да бъдат поети през 2022 г., показват, че повечето първостепенни разпоредители с бюджет са отчели поети ангажименти за разходи през годината в рамките на утвърдените им размери по уточнен план за 2022 г. с изключение на Министерството на вътрешните работи (МВР), което отчита превишение на показателя „Максимален размер на ангажиментите за разходи, които могат да бъдат поети през 2022</w:t>
      </w:r>
      <w:r>
        <w:rPr>
          <w:bCs/>
          <w:lang w:val="en-US"/>
        </w:rPr>
        <w:t> </w:t>
      </w:r>
      <w:r w:rsidRPr="00023A8B">
        <w:rPr>
          <w:bCs/>
        </w:rPr>
        <w:t>г.“.</w:t>
      </w:r>
    </w:p>
    <w:p w14:paraId="3839F454" w14:textId="65876E7B" w:rsidR="004C7AFE" w:rsidRPr="001846EF" w:rsidRDefault="004C7AFE" w:rsidP="000935DE">
      <w:pPr>
        <w:autoSpaceDE w:val="0"/>
        <w:autoSpaceDN w:val="0"/>
        <w:adjustRightInd w:val="0"/>
        <w:ind w:firstLine="709"/>
        <w:jc w:val="both"/>
        <w:rPr>
          <w:bCs/>
        </w:rPr>
      </w:pPr>
      <w:r w:rsidRPr="001846EF">
        <w:rPr>
          <w:bCs/>
        </w:rPr>
        <w:t>МВР отчита превишение на поетите ангажименти за разходи през годината в размер на 128</w:t>
      </w:r>
      <w:r w:rsidR="007F3FC7" w:rsidRPr="004D5FFC">
        <w:rPr>
          <w:bCs/>
          <w:lang w:val="ru-RU"/>
        </w:rPr>
        <w:t xml:space="preserve"> </w:t>
      </w:r>
      <w:r w:rsidRPr="001846EF">
        <w:rPr>
          <w:bCs/>
        </w:rPr>
        <w:t xml:space="preserve">%. Утвърденият размер на показателя „Максимален размер на ангажиментите за разходи, които могат да бъдат поети през 2022 г.“ е надвишен  със 138 072 566 лв., вследствие основно на сключен договор № 5785мп-83/22.12.2022 г. с предмет „Проектиране, изграждане и управление на Система за издаване на български лични документи поколение 2019“. Сключването на горецитирания договор е забавено в резултат на спряна процедура по ЗОП през 2020 г., във връзка с обжалването на решението за определяне на изпълнител по обявената за целта обществена поръчка пред Комисията за защита на конкуренцията и Върховния административен съд. </w:t>
      </w:r>
    </w:p>
    <w:p w14:paraId="225F121C" w14:textId="37BB9ECC" w:rsidR="004C7AFE" w:rsidRPr="001846EF" w:rsidRDefault="004C7AFE" w:rsidP="000935DE">
      <w:pPr>
        <w:autoSpaceDE w:val="0"/>
        <w:autoSpaceDN w:val="0"/>
        <w:adjustRightInd w:val="0"/>
        <w:ind w:firstLine="709"/>
        <w:jc w:val="both"/>
      </w:pPr>
      <w:r w:rsidRPr="001846EF">
        <w:t>Съгласно ЗДБРБ през 2022 г. максималният размер на новите задължения за разходи е 10 371,7 млн. лв. С уточнения план е приет максимален размер на натрупаните нови задължения за разходи 12 25</w:t>
      </w:r>
      <w:r w:rsidR="004553F9">
        <w:t>8</w:t>
      </w:r>
      <w:r w:rsidRPr="001846EF">
        <w:t>,</w:t>
      </w:r>
      <w:r w:rsidR="004553F9">
        <w:t>1</w:t>
      </w:r>
      <w:r w:rsidRPr="001846EF">
        <w:t xml:space="preserve"> млн. лв., или с 18,2</w:t>
      </w:r>
      <w:r w:rsidR="007F3FC7" w:rsidRPr="004D5FFC">
        <w:rPr>
          <w:lang w:val="ru-RU"/>
        </w:rPr>
        <w:t xml:space="preserve"> </w:t>
      </w:r>
      <w:r w:rsidRPr="001846EF">
        <w:t xml:space="preserve">% повече от първоначално приетия със ЗДБРБ за 2022 г.  През годината показателят е претърпял увеличение при 22 първостепенни разпоредителя с бюджет по държавния бюджет и ВСС, и е намален при 17 ПРБ по ДБ, НС и Сметна палата. </w:t>
      </w:r>
    </w:p>
    <w:p w14:paraId="6C1167F8" w14:textId="1FEF1935" w:rsidR="00526457" w:rsidRPr="007B48E9" w:rsidRDefault="004C7AFE" w:rsidP="000935DE">
      <w:pPr>
        <w:autoSpaceDE w:val="0"/>
        <w:autoSpaceDN w:val="0"/>
        <w:adjustRightInd w:val="0"/>
        <w:ind w:firstLine="709"/>
        <w:jc w:val="both"/>
        <w:rPr>
          <w:color w:val="0070C0"/>
        </w:rPr>
      </w:pPr>
      <w:r w:rsidRPr="001846EF">
        <w:t>Анализите на годишните отчети по отношение на максималните размери на новите задължения за разходи, които могат да бъдат натрупани през 2022 г., показват, че всички първостепенни разпоредители с бюджет са отчели изпълнение на показателя в рамките на утвърдените им размери по уточнен план за 2022 г.</w:t>
      </w:r>
    </w:p>
    <w:p w14:paraId="4DB7F19D" w14:textId="1DCA658F" w:rsidR="007A4A64" w:rsidRPr="007B48E9" w:rsidRDefault="007A4A64" w:rsidP="000A6D16">
      <w:pPr>
        <w:autoSpaceDE w:val="0"/>
        <w:autoSpaceDN w:val="0"/>
        <w:adjustRightInd w:val="0"/>
        <w:spacing w:after="120"/>
        <w:ind w:firstLine="709"/>
        <w:jc w:val="both"/>
        <w:rPr>
          <w:color w:val="0070C0"/>
        </w:rPr>
      </w:pPr>
    </w:p>
    <w:p w14:paraId="74167953" w14:textId="379BAE7F" w:rsidR="00CC09AC" w:rsidRDefault="00CC09AC">
      <w:pPr>
        <w:rPr>
          <w:color w:val="0070C0"/>
        </w:rPr>
      </w:pPr>
      <w:r>
        <w:rPr>
          <w:color w:val="0070C0"/>
        </w:rPr>
        <w:br w:type="page"/>
      </w:r>
    </w:p>
    <w:p w14:paraId="09F57B92" w14:textId="24954604" w:rsidR="00623138" w:rsidRPr="00CC09AC" w:rsidRDefault="00623138" w:rsidP="004D74B5">
      <w:pPr>
        <w:pStyle w:val="Heading3"/>
        <w:numPr>
          <w:ilvl w:val="1"/>
          <w:numId w:val="7"/>
        </w:numPr>
        <w:tabs>
          <w:tab w:val="left" w:pos="1134"/>
        </w:tabs>
        <w:ind w:left="1134" w:hanging="425"/>
        <w:rPr>
          <w:rFonts w:ascii="Times New Roman" w:hAnsi="Times New Roman"/>
          <w:sz w:val="24"/>
          <w:lang w:val="bg-BG"/>
        </w:rPr>
      </w:pPr>
      <w:bookmarkStart w:id="295" w:name="_Toc146037908"/>
      <w:r w:rsidRPr="00CC09AC">
        <w:rPr>
          <w:rFonts w:ascii="Times New Roman" w:hAnsi="Times New Roman"/>
          <w:sz w:val="24"/>
          <w:lang w:val="bg-BG"/>
        </w:rPr>
        <w:t>Изпълнение на разходите</w:t>
      </w:r>
      <w:r w:rsidRPr="00CC09AC">
        <w:rPr>
          <w:rStyle w:val="FootnoteReference"/>
          <w:rFonts w:ascii="Times New Roman" w:hAnsi="Times New Roman" w:cs="Arial"/>
          <w:sz w:val="18"/>
          <w:szCs w:val="18"/>
          <w:lang w:val="bg-BG"/>
        </w:rPr>
        <w:footnoteReference w:id="22"/>
      </w:r>
      <w:r w:rsidRPr="00CC09AC">
        <w:rPr>
          <w:rFonts w:ascii="Times New Roman" w:hAnsi="Times New Roman"/>
          <w:sz w:val="18"/>
          <w:szCs w:val="18"/>
          <w:lang w:val="bg-BG"/>
        </w:rPr>
        <w:t xml:space="preserve"> </w:t>
      </w:r>
      <w:r w:rsidRPr="00CC09AC">
        <w:rPr>
          <w:rFonts w:ascii="Times New Roman" w:hAnsi="Times New Roman"/>
          <w:sz w:val="24"/>
          <w:lang w:val="bg-BG"/>
        </w:rPr>
        <w:t>по функции по консолидираната фискална програма за 202</w:t>
      </w:r>
      <w:r w:rsidR="00CC09AC" w:rsidRPr="004D5FFC">
        <w:rPr>
          <w:rFonts w:ascii="Times New Roman" w:hAnsi="Times New Roman"/>
          <w:sz w:val="24"/>
          <w:lang w:val="ru-RU"/>
        </w:rPr>
        <w:t>2</w:t>
      </w:r>
      <w:r w:rsidRPr="00CC09AC">
        <w:rPr>
          <w:rFonts w:ascii="Times New Roman" w:hAnsi="Times New Roman"/>
          <w:sz w:val="24"/>
          <w:lang w:val="bg-BG"/>
        </w:rPr>
        <w:t>г.</w:t>
      </w:r>
      <w:bookmarkEnd w:id="295"/>
    </w:p>
    <w:p w14:paraId="505C935A" w14:textId="4D87CDC2" w:rsidR="00CC09AC" w:rsidRDefault="00CC09AC" w:rsidP="001E478C">
      <w:pPr>
        <w:spacing w:before="120"/>
        <w:ind w:firstLine="709"/>
        <w:jc w:val="both"/>
      </w:pPr>
      <w:r w:rsidRPr="002B40E8">
        <w:t>Прегледът на разходите по консолидираната фискална програма по функционален признак представя политиките в отделните области на публичните услуги. Някои от тях са отговорност на министерствата и ведомствата, докато за други отговорностите са и на общините или социалноосигурителните фондове.</w:t>
      </w:r>
    </w:p>
    <w:p w14:paraId="6DED7798" w14:textId="77777777" w:rsidR="003D0EF9" w:rsidRDefault="003D0EF9" w:rsidP="001E478C">
      <w:pPr>
        <w:spacing w:before="120"/>
        <w:ind w:firstLine="709"/>
        <w:jc w:val="both"/>
      </w:pPr>
    </w:p>
    <w:p w14:paraId="0B216530" w14:textId="185F2895" w:rsidR="00C75D19" w:rsidRDefault="00413B10" w:rsidP="003D0EF9">
      <w:pPr>
        <w:spacing w:before="120"/>
        <w:jc w:val="both"/>
      </w:pPr>
      <w:r>
        <w:rPr>
          <w:noProof/>
        </w:rPr>
        <w:drawing>
          <wp:inline distT="0" distB="0" distL="0" distR="0" wp14:anchorId="2E64138E" wp14:editId="3C68ACA8">
            <wp:extent cx="5962650" cy="384111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62650" cy="3841115"/>
                    </a:xfrm>
                    <a:prstGeom prst="rect">
                      <a:avLst/>
                    </a:prstGeom>
                    <a:noFill/>
                  </pic:spPr>
                </pic:pic>
              </a:graphicData>
            </a:graphic>
          </wp:inline>
        </w:drawing>
      </w:r>
    </w:p>
    <w:p w14:paraId="399D7B1B" w14:textId="77777777" w:rsidR="00CC09AC" w:rsidRPr="00644951" w:rsidRDefault="00CC09AC" w:rsidP="00CC09AC">
      <w:pPr>
        <w:pStyle w:val="Heading3"/>
        <w:numPr>
          <w:ilvl w:val="2"/>
          <w:numId w:val="8"/>
        </w:numPr>
        <w:rPr>
          <w:rFonts w:ascii="Times New Roman" w:hAnsi="Times New Roman"/>
          <w:sz w:val="24"/>
          <w:lang w:val="bg-BG"/>
        </w:rPr>
      </w:pPr>
      <w:bookmarkStart w:id="296" w:name="_Toc326315914"/>
      <w:bookmarkStart w:id="297" w:name="_Toc324863422"/>
      <w:bookmarkStart w:id="298" w:name="_Toc261276586"/>
      <w:bookmarkStart w:id="299" w:name="_Toc483234286"/>
      <w:bookmarkStart w:id="300" w:name="_Toc494102640"/>
      <w:bookmarkStart w:id="301" w:name="_Toc525125598"/>
      <w:bookmarkStart w:id="302" w:name="_Toc18316954"/>
      <w:bookmarkStart w:id="303" w:name="_Toc136361869"/>
      <w:bookmarkStart w:id="304" w:name="_Toc146037909"/>
      <w:r w:rsidRPr="00644951">
        <w:rPr>
          <w:rFonts w:ascii="Times New Roman" w:hAnsi="Times New Roman"/>
          <w:sz w:val="24"/>
          <w:lang w:val="bg-BG"/>
        </w:rPr>
        <w:t>Общи държавни служби</w:t>
      </w:r>
      <w:bookmarkEnd w:id="296"/>
      <w:bookmarkEnd w:id="297"/>
      <w:bookmarkEnd w:id="298"/>
      <w:bookmarkEnd w:id="299"/>
      <w:bookmarkEnd w:id="300"/>
      <w:bookmarkEnd w:id="301"/>
      <w:bookmarkEnd w:id="302"/>
      <w:bookmarkEnd w:id="303"/>
      <w:bookmarkEnd w:id="304"/>
    </w:p>
    <w:p w14:paraId="69887D31" w14:textId="77777777" w:rsidR="00CC09AC" w:rsidRPr="007B48E9" w:rsidRDefault="00CC09AC" w:rsidP="00CC09AC">
      <w:pPr>
        <w:tabs>
          <w:tab w:val="left" w:pos="900"/>
        </w:tabs>
        <w:autoSpaceDE w:val="0"/>
        <w:autoSpaceDN w:val="0"/>
        <w:adjustRightInd w:val="0"/>
        <w:ind w:firstLine="709"/>
        <w:jc w:val="both"/>
        <w:rPr>
          <w:color w:val="0070C0"/>
        </w:rPr>
      </w:pPr>
    </w:p>
    <w:p w14:paraId="3437BE75" w14:textId="77777777" w:rsidR="00CC09AC" w:rsidRPr="007B48E9" w:rsidRDefault="00CC09AC" w:rsidP="00CC09AC">
      <w:pPr>
        <w:tabs>
          <w:tab w:val="left" w:pos="900"/>
        </w:tabs>
        <w:autoSpaceDE w:val="0"/>
        <w:autoSpaceDN w:val="0"/>
        <w:adjustRightInd w:val="0"/>
        <w:ind w:firstLine="709"/>
        <w:jc w:val="both"/>
        <w:rPr>
          <w:color w:val="0070C0"/>
        </w:rPr>
      </w:pPr>
      <w:r w:rsidRPr="000A52D9">
        <w:t xml:space="preserve">Функция „Общи държавни служби” отразява финансирането на публичната администрация – централна и местна, както и </w:t>
      </w:r>
      <w:r w:rsidRPr="001029B8">
        <w:t>средства в областта на науката. Общата сума на разходите по тази функция на консолидирана основа е 3 186,2 млн. лв. или 1,9 % от БВП.</w:t>
      </w:r>
    </w:p>
    <w:p w14:paraId="5992596E" w14:textId="77777777" w:rsidR="00CC09AC" w:rsidRPr="007B48E9" w:rsidRDefault="00CC09AC" w:rsidP="00CC09AC">
      <w:pPr>
        <w:tabs>
          <w:tab w:val="left" w:pos="900"/>
        </w:tabs>
        <w:autoSpaceDE w:val="0"/>
        <w:autoSpaceDN w:val="0"/>
        <w:adjustRightInd w:val="0"/>
        <w:ind w:firstLine="709"/>
        <w:jc w:val="both"/>
        <w:rPr>
          <w:color w:val="0070C0"/>
        </w:rPr>
      </w:pPr>
    </w:p>
    <w:p w14:paraId="5E7DC360" w14:textId="77777777" w:rsidR="00CC09AC" w:rsidRPr="007B48E9" w:rsidRDefault="00CC09AC" w:rsidP="00CC09AC">
      <w:pPr>
        <w:tabs>
          <w:tab w:val="left" w:pos="900"/>
        </w:tabs>
        <w:autoSpaceDE w:val="0"/>
        <w:autoSpaceDN w:val="0"/>
        <w:adjustRightInd w:val="0"/>
        <w:ind w:firstLine="709"/>
        <w:jc w:val="both"/>
        <w:rPr>
          <w:color w:val="0070C0"/>
        </w:rPr>
      </w:pPr>
    </w:p>
    <w:p w14:paraId="19BD21BA" w14:textId="77777777" w:rsidR="00CC09AC" w:rsidRPr="007B48E9" w:rsidRDefault="00CC09AC" w:rsidP="00CC09AC">
      <w:pPr>
        <w:tabs>
          <w:tab w:val="left" w:pos="900"/>
        </w:tabs>
        <w:autoSpaceDE w:val="0"/>
        <w:autoSpaceDN w:val="0"/>
        <w:adjustRightInd w:val="0"/>
        <w:ind w:firstLine="709"/>
        <w:jc w:val="both"/>
        <w:rPr>
          <w:color w:val="0070C0"/>
        </w:rPr>
      </w:pPr>
    </w:p>
    <w:p w14:paraId="07C3ACF9" w14:textId="25FA6B51" w:rsidR="00CC09AC" w:rsidRDefault="00CC09AC" w:rsidP="00CC09AC">
      <w:pPr>
        <w:tabs>
          <w:tab w:val="left" w:pos="900"/>
        </w:tabs>
        <w:autoSpaceDE w:val="0"/>
        <w:autoSpaceDN w:val="0"/>
        <w:adjustRightInd w:val="0"/>
        <w:ind w:firstLine="709"/>
        <w:jc w:val="both"/>
        <w:rPr>
          <w:color w:val="0070C0"/>
        </w:rPr>
      </w:pPr>
    </w:p>
    <w:p w14:paraId="12F3C08B" w14:textId="2BF10D6C" w:rsidR="00190BA6" w:rsidRDefault="00190BA6" w:rsidP="00CC09AC">
      <w:pPr>
        <w:tabs>
          <w:tab w:val="left" w:pos="900"/>
        </w:tabs>
        <w:autoSpaceDE w:val="0"/>
        <w:autoSpaceDN w:val="0"/>
        <w:adjustRightInd w:val="0"/>
        <w:ind w:firstLine="709"/>
        <w:jc w:val="both"/>
        <w:rPr>
          <w:color w:val="0070C0"/>
        </w:rPr>
      </w:pPr>
    </w:p>
    <w:p w14:paraId="599CB88E" w14:textId="5976389C" w:rsidR="00190BA6" w:rsidRDefault="00190BA6" w:rsidP="00CC09AC">
      <w:pPr>
        <w:tabs>
          <w:tab w:val="left" w:pos="900"/>
        </w:tabs>
        <w:autoSpaceDE w:val="0"/>
        <w:autoSpaceDN w:val="0"/>
        <w:adjustRightInd w:val="0"/>
        <w:ind w:firstLine="709"/>
        <w:jc w:val="both"/>
        <w:rPr>
          <w:color w:val="0070C0"/>
        </w:rPr>
      </w:pPr>
    </w:p>
    <w:p w14:paraId="2766AF96" w14:textId="708C276E" w:rsidR="00190BA6" w:rsidRDefault="00190BA6" w:rsidP="00CC09AC">
      <w:pPr>
        <w:tabs>
          <w:tab w:val="left" w:pos="900"/>
        </w:tabs>
        <w:autoSpaceDE w:val="0"/>
        <w:autoSpaceDN w:val="0"/>
        <w:adjustRightInd w:val="0"/>
        <w:ind w:firstLine="709"/>
        <w:jc w:val="both"/>
        <w:rPr>
          <w:color w:val="0070C0"/>
        </w:rPr>
      </w:pPr>
    </w:p>
    <w:p w14:paraId="4BD189F1" w14:textId="77777777" w:rsidR="00190BA6" w:rsidRPr="007B48E9" w:rsidRDefault="00190BA6" w:rsidP="00CC09AC">
      <w:pPr>
        <w:tabs>
          <w:tab w:val="left" w:pos="900"/>
        </w:tabs>
        <w:autoSpaceDE w:val="0"/>
        <w:autoSpaceDN w:val="0"/>
        <w:adjustRightInd w:val="0"/>
        <w:ind w:firstLine="709"/>
        <w:jc w:val="both"/>
        <w:rPr>
          <w:color w:val="0070C0"/>
        </w:rPr>
      </w:pPr>
    </w:p>
    <w:p w14:paraId="78CF7C1C" w14:textId="70286112" w:rsidR="00CC09AC" w:rsidRDefault="00CC09AC" w:rsidP="00CC09AC">
      <w:pPr>
        <w:tabs>
          <w:tab w:val="left" w:pos="900"/>
        </w:tabs>
        <w:autoSpaceDE w:val="0"/>
        <w:autoSpaceDN w:val="0"/>
        <w:adjustRightInd w:val="0"/>
        <w:ind w:firstLine="709"/>
        <w:jc w:val="both"/>
        <w:rPr>
          <w:color w:val="0070C0"/>
        </w:rPr>
      </w:pPr>
    </w:p>
    <w:p w14:paraId="5820F369" w14:textId="77777777" w:rsidR="001E478C" w:rsidRPr="007B48E9" w:rsidRDefault="001E478C" w:rsidP="00CC09AC">
      <w:pPr>
        <w:tabs>
          <w:tab w:val="left" w:pos="900"/>
        </w:tabs>
        <w:autoSpaceDE w:val="0"/>
        <w:autoSpaceDN w:val="0"/>
        <w:adjustRightInd w:val="0"/>
        <w:ind w:firstLine="709"/>
        <w:jc w:val="both"/>
        <w:rPr>
          <w:color w:val="0070C0"/>
        </w:rPr>
      </w:pPr>
    </w:p>
    <w:p w14:paraId="4AD92C17" w14:textId="77777777" w:rsidR="00CC09AC" w:rsidRPr="007B48E9" w:rsidRDefault="00CC09AC" w:rsidP="00CC09AC">
      <w:pPr>
        <w:tabs>
          <w:tab w:val="left" w:pos="900"/>
        </w:tabs>
        <w:autoSpaceDE w:val="0"/>
        <w:autoSpaceDN w:val="0"/>
        <w:adjustRightInd w:val="0"/>
        <w:ind w:firstLine="709"/>
        <w:jc w:val="both"/>
        <w:rPr>
          <w:color w:val="0070C0"/>
        </w:rPr>
      </w:pPr>
    </w:p>
    <w:p w14:paraId="087D5A2E" w14:textId="77777777" w:rsidR="00CC09AC" w:rsidRPr="007B48E9" w:rsidRDefault="00CC09AC" w:rsidP="00CC09AC">
      <w:pPr>
        <w:tabs>
          <w:tab w:val="left" w:pos="900"/>
        </w:tabs>
        <w:autoSpaceDE w:val="0"/>
        <w:autoSpaceDN w:val="0"/>
        <w:adjustRightInd w:val="0"/>
        <w:ind w:firstLine="709"/>
        <w:jc w:val="both"/>
        <w:rPr>
          <w:color w:val="0070C0"/>
        </w:rPr>
      </w:pPr>
    </w:p>
    <w:p w14:paraId="4BF958CC" w14:textId="77777777" w:rsidR="00CC09AC" w:rsidRPr="00F31B6B" w:rsidRDefault="00CC09AC" w:rsidP="00CC09AC">
      <w:pPr>
        <w:tabs>
          <w:tab w:val="left" w:pos="900"/>
        </w:tabs>
        <w:autoSpaceDE w:val="0"/>
        <w:autoSpaceDN w:val="0"/>
        <w:adjustRightInd w:val="0"/>
        <w:ind w:firstLine="539"/>
        <w:jc w:val="both"/>
        <w:rPr>
          <w:b/>
          <w:sz w:val="18"/>
          <w:szCs w:val="18"/>
        </w:rPr>
      </w:pPr>
      <w:r w:rsidRPr="00F31B6B">
        <w:tab/>
      </w:r>
      <w:r w:rsidRPr="00F31B6B">
        <w:tab/>
      </w:r>
      <w:r w:rsidRPr="00F31B6B">
        <w:tab/>
      </w:r>
      <w:r w:rsidRPr="00F31B6B">
        <w:tab/>
      </w:r>
      <w:r w:rsidRPr="00F31B6B">
        <w:tab/>
      </w:r>
      <w:r w:rsidRPr="00F31B6B">
        <w:tab/>
      </w:r>
      <w:r w:rsidRPr="00F31B6B">
        <w:tab/>
      </w:r>
      <w:r w:rsidRPr="00F31B6B">
        <w:tab/>
      </w:r>
      <w:r w:rsidRPr="00F31B6B">
        <w:tab/>
      </w:r>
      <w:r w:rsidRPr="00F31B6B">
        <w:tab/>
      </w:r>
      <w:r w:rsidRPr="00F31B6B">
        <w:tab/>
      </w:r>
      <w:r w:rsidRPr="00F31B6B">
        <w:tab/>
        <w:t xml:space="preserve"> </w:t>
      </w:r>
      <w:r w:rsidRPr="00F31B6B">
        <w:rPr>
          <w:b/>
          <w:sz w:val="18"/>
          <w:szCs w:val="18"/>
        </w:rPr>
        <w:t>(млн. лв.)</w:t>
      </w:r>
    </w:p>
    <w:tbl>
      <w:tblPr>
        <w:tblW w:w="10065" w:type="dxa"/>
        <w:tblInd w:w="-23" w:type="dxa"/>
        <w:tblLayout w:type="fixed"/>
        <w:tblCellMar>
          <w:left w:w="70" w:type="dxa"/>
          <w:right w:w="70" w:type="dxa"/>
        </w:tblCellMar>
        <w:tblLook w:val="04A0" w:firstRow="1" w:lastRow="0" w:firstColumn="1" w:lastColumn="0" w:noHBand="0" w:noVBand="1"/>
      </w:tblPr>
      <w:tblGrid>
        <w:gridCol w:w="2552"/>
        <w:gridCol w:w="726"/>
        <w:gridCol w:w="720"/>
        <w:gridCol w:w="538"/>
        <w:gridCol w:w="567"/>
        <w:gridCol w:w="670"/>
        <w:gridCol w:w="709"/>
        <w:gridCol w:w="709"/>
        <w:gridCol w:w="747"/>
        <w:gridCol w:w="567"/>
        <w:gridCol w:w="567"/>
        <w:gridCol w:w="993"/>
      </w:tblGrid>
      <w:tr w:rsidR="00CC09AC" w:rsidRPr="007B48E9" w14:paraId="1533A901" w14:textId="77777777" w:rsidTr="003B085A">
        <w:trPr>
          <w:trHeight w:val="495"/>
        </w:trPr>
        <w:tc>
          <w:tcPr>
            <w:tcW w:w="2552"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37D06BE4"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ОТЧЕТ 202</w:t>
            </w:r>
            <w:r>
              <w:rPr>
                <w:b/>
                <w:bCs/>
                <w:color w:val="FFFFFF" w:themeColor="background1"/>
                <w:sz w:val="18"/>
                <w:szCs w:val="18"/>
              </w:rPr>
              <w:t>2</w:t>
            </w:r>
            <w:r w:rsidRPr="00F31B6B">
              <w:rPr>
                <w:b/>
                <w:bCs/>
                <w:color w:val="FFFFFF" w:themeColor="background1"/>
                <w:sz w:val="18"/>
                <w:szCs w:val="18"/>
              </w:rPr>
              <w:t xml:space="preserve"> г.</w:t>
            </w:r>
          </w:p>
        </w:tc>
        <w:tc>
          <w:tcPr>
            <w:tcW w:w="726" w:type="dxa"/>
            <w:tcBorders>
              <w:top w:val="double" w:sz="6" w:space="0" w:color="800000"/>
              <w:left w:val="nil"/>
              <w:bottom w:val="double" w:sz="6" w:space="0" w:color="800000"/>
              <w:right w:val="single" w:sz="4" w:space="0" w:color="FFFFFF"/>
            </w:tcBorders>
            <w:shd w:val="clear" w:color="auto" w:fill="800000"/>
            <w:noWrap/>
            <w:vAlign w:val="center"/>
            <w:hideMark/>
          </w:tcPr>
          <w:p w14:paraId="51C7E53D"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КФП</w:t>
            </w:r>
          </w:p>
        </w:tc>
        <w:tc>
          <w:tcPr>
            <w:tcW w:w="720" w:type="dxa"/>
            <w:tcBorders>
              <w:top w:val="double" w:sz="6" w:space="0" w:color="800000"/>
              <w:left w:val="nil"/>
              <w:bottom w:val="double" w:sz="6" w:space="0" w:color="800000"/>
              <w:right w:val="single" w:sz="4" w:space="0" w:color="FFFFFF"/>
            </w:tcBorders>
            <w:shd w:val="clear" w:color="auto" w:fill="800000"/>
            <w:noWrap/>
            <w:vAlign w:val="center"/>
            <w:hideMark/>
          </w:tcPr>
          <w:p w14:paraId="7CB24613"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ДБ</w:t>
            </w:r>
          </w:p>
        </w:tc>
        <w:tc>
          <w:tcPr>
            <w:tcW w:w="538" w:type="dxa"/>
            <w:tcBorders>
              <w:top w:val="double" w:sz="6" w:space="0" w:color="800000"/>
              <w:left w:val="nil"/>
              <w:bottom w:val="double" w:sz="6" w:space="0" w:color="800000"/>
              <w:right w:val="single" w:sz="4" w:space="0" w:color="FFFFFF"/>
            </w:tcBorders>
            <w:shd w:val="clear" w:color="auto" w:fill="800000"/>
            <w:noWrap/>
            <w:vAlign w:val="center"/>
            <w:hideMark/>
          </w:tcPr>
          <w:p w14:paraId="5E373CD7"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ДВУ</w:t>
            </w:r>
          </w:p>
        </w:tc>
        <w:tc>
          <w:tcPr>
            <w:tcW w:w="567" w:type="dxa"/>
            <w:tcBorders>
              <w:top w:val="double" w:sz="6" w:space="0" w:color="800000"/>
              <w:left w:val="nil"/>
              <w:bottom w:val="double" w:sz="6" w:space="0" w:color="800000"/>
              <w:right w:val="single" w:sz="4" w:space="0" w:color="FFFFFF"/>
            </w:tcBorders>
            <w:shd w:val="clear" w:color="auto" w:fill="800000"/>
            <w:noWrap/>
            <w:vAlign w:val="center"/>
            <w:hideMark/>
          </w:tcPr>
          <w:p w14:paraId="0825DA5A"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БАН</w:t>
            </w:r>
          </w:p>
        </w:tc>
        <w:tc>
          <w:tcPr>
            <w:tcW w:w="670" w:type="dxa"/>
            <w:tcBorders>
              <w:top w:val="double" w:sz="6" w:space="0" w:color="800000"/>
              <w:left w:val="nil"/>
              <w:bottom w:val="double" w:sz="6" w:space="0" w:color="800000"/>
              <w:right w:val="double" w:sz="6" w:space="0" w:color="800000"/>
            </w:tcBorders>
            <w:shd w:val="clear" w:color="auto" w:fill="800000"/>
            <w:vAlign w:val="center"/>
          </w:tcPr>
          <w:p w14:paraId="2F3664CB"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ССА</w:t>
            </w:r>
          </w:p>
        </w:tc>
        <w:tc>
          <w:tcPr>
            <w:tcW w:w="709"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54C59F21"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Общи</w:t>
            </w:r>
            <w:r w:rsidRPr="00F31B6B">
              <w:rPr>
                <w:b/>
                <w:bCs/>
                <w:color w:val="FFFFFF" w:themeColor="background1"/>
                <w:sz w:val="18"/>
                <w:szCs w:val="18"/>
                <w:lang w:val="en-US"/>
              </w:rPr>
              <w:t>-</w:t>
            </w:r>
            <w:r w:rsidRPr="00F31B6B">
              <w:rPr>
                <w:b/>
                <w:bCs/>
                <w:color w:val="FFFFFF" w:themeColor="background1"/>
                <w:sz w:val="18"/>
                <w:szCs w:val="18"/>
              </w:rPr>
              <w:t>ни</w:t>
            </w:r>
          </w:p>
        </w:tc>
        <w:tc>
          <w:tcPr>
            <w:tcW w:w="709" w:type="dxa"/>
            <w:tcBorders>
              <w:top w:val="double" w:sz="6" w:space="0" w:color="800000"/>
              <w:left w:val="nil"/>
              <w:bottom w:val="double" w:sz="6" w:space="0" w:color="800000"/>
              <w:right w:val="single" w:sz="4" w:space="0" w:color="FFFFFF"/>
            </w:tcBorders>
            <w:shd w:val="clear" w:color="auto" w:fill="800000"/>
            <w:noWrap/>
            <w:vAlign w:val="center"/>
            <w:hideMark/>
          </w:tcPr>
          <w:p w14:paraId="3C769798"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ДМП</w:t>
            </w:r>
            <w:r w:rsidRPr="00F31B6B">
              <w:rPr>
                <w:rStyle w:val="FootnoteReference"/>
                <w:b/>
                <w:bCs/>
                <w:color w:val="FFFFFF" w:themeColor="background1"/>
                <w:sz w:val="18"/>
                <w:szCs w:val="18"/>
              </w:rPr>
              <w:footnoteReference w:id="23"/>
            </w:r>
          </w:p>
        </w:tc>
        <w:tc>
          <w:tcPr>
            <w:tcW w:w="747" w:type="dxa"/>
            <w:tcBorders>
              <w:top w:val="double" w:sz="6" w:space="0" w:color="800000"/>
              <w:left w:val="nil"/>
              <w:bottom w:val="double" w:sz="6" w:space="0" w:color="800000"/>
              <w:right w:val="nil"/>
            </w:tcBorders>
            <w:shd w:val="clear" w:color="auto" w:fill="800000"/>
            <w:vAlign w:val="center"/>
            <w:hideMark/>
          </w:tcPr>
          <w:p w14:paraId="2CA27D8F"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8"/>
              </w:rPr>
              <w:t>Европ. средства</w:t>
            </w:r>
            <w:r w:rsidRPr="00F31B6B">
              <w:rPr>
                <w:rStyle w:val="FootnoteReference"/>
                <w:b/>
                <w:bCs/>
                <w:color w:val="FFFFFF" w:themeColor="background1"/>
                <w:sz w:val="18"/>
                <w:szCs w:val="18"/>
              </w:rPr>
              <w:footnoteReference w:id="24"/>
            </w:r>
          </w:p>
        </w:tc>
        <w:tc>
          <w:tcPr>
            <w:tcW w:w="567" w:type="dxa"/>
            <w:tcBorders>
              <w:top w:val="double" w:sz="6" w:space="0" w:color="800000"/>
              <w:left w:val="single" w:sz="4" w:space="0" w:color="FFFFFF"/>
              <w:bottom w:val="double" w:sz="6" w:space="0" w:color="800000"/>
              <w:right w:val="single" w:sz="4" w:space="0" w:color="FFFFFF"/>
            </w:tcBorders>
            <w:shd w:val="clear" w:color="auto" w:fill="800000"/>
            <w:vAlign w:val="center"/>
          </w:tcPr>
          <w:p w14:paraId="70B79A88" w14:textId="77777777" w:rsidR="00CC09AC" w:rsidRPr="00F31B6B" w:rsidRDefault="00CC09AC" w:rsidP="003B085A">
            <w:pPr>
              <w:jc w:val="center"/>
              <w:rPr>
                <w:b/>
                <w:bCs/>
                <w:color w:val="FFFFFF" w:themeColor="background1"/>
                <w:sz w:val="18"/>
                <w:szCs w:val="16"/>
              </w:rPr>
            </w:pPr>
            <w:r w:rsidRPr="00F31B6B">
              <w:rPr>
                <w:b/>
                <w:bCs/>
                <w:color w:val="FFFFFF" w:themeColor="background1"/>
                <w:sz w:val="18"/>
                <w:szCs w:val="16"/>
              </w:rPr>
              <w:t>ДП НПЦ</w:t>
            </w:r>
          </w:p>
          <w:p w14:paraId="4EB04D77" w14:textId="77777777" w:rsidR="00CC09AC" w:rsidRPr="00F31B6B" w:rsidRDefault="00CC09AC" w:rsidP="003B085A">
            <w:pPr>
              <w:jc w:val="center"/>
              <w:rPr>
                <w:b/>
                <w:bCs/>
                <w:color w:val="FFFFFF" w:themeColor="background1"/>
                <w:sz w:val="18"/>
                <w:szCs w:val="18"/>
              </w:rPr>
            </w:pPr>
          </w:p>
        </w:tc>
        <w:tc>
          <w:tcPr>
            <w:tcW w:w="567" w:type="dxa"/>
            <w:tcBorders>
              <w:top w:val="double" w:sz="6" w:space="0" w:color="800000"/>
              <w:left w:val="single" w:sz="4" w:space="0" w:color="FFFFFF"/>
              <w:bottom w:val="double" w:sz="6" w:space="0" w:color="800000"/>
              <w:right w:val="single" w:sz="4" w:space="0" w:color="FFFFFF"/>
            </w:tcBorders>
            <w:shd w:val="clear" w:color="auto" w:fill="800000"/>
            <w:vAlign w:val="center"/>
          </w:tcPr>
          <w:p w14:paraId="5C98A406" w14:textId="77777777" w:rsidR="00CC09AC" w:rsidRPr="00F31B6B" w:rsidRDefault="00CC09AC" w:rsidP="003B085A">
            <w:pPr>
              <w:jc w:val="center"/>
              <w:rPr>
                <w:b/>
                <w:bCs/>
                <w:color w:val="FFFFFF" w:themeColor="background1"/>
                <w:sz w:val="18"/>
                <w:szCs w:val="16"/>
              </w:rPr>
            </w:pPr>
            <w:r w:rsidRPr="00F31B6B">
              <w:rPr>
                <w:b/>
                <w:bCs/>
                <w:color w:val="FFFFFF" w:themeColor="background1"/>
                <w:sz w:val="18"/>
                <w:szCs w:val="16"/>
              </w:rPr>
              <w:t>ДП ДПК</w:t>
            </w:r>
          </w:p>
          <w:p w14:paraId="66D95331" w14:textId="77777777" w:rsidR="00CC09AC" w:rsidRPr="00F31B6B" w:rsidRDefault="00CC09AC" w:rsidP="003B085A">
            <w:pPr>
              <w:jc w:val="center"/>
              <w:rPr>
                <w:b/>
                <w:bCs/>
                <w:color w:val="FFFFFF" w:themeColor="background1"/>
                <w:sz w:val="18"/>
                <w:szCs w:val="16"/>
              </w:rPr>
            </w:pPr>
          </w:p>
        </w:tc>
        <w:tc>
          <w:tcPr>
            <w:tcW w:w="993" w:type="dxa"/>
            <w:tcBorders>
              <w:top w:val="double" w:sz="6" w:space="0" w:color="800000"/>
              <w:left w:val="single" w:sz="4" w:space="0" w:color="FFFFFF"/>
              <w:bottom w:val="double" w:sz="6" w:space="0" w:color="800000"/>
              <w:right w:val="double" w:sz="6" w:space="0" w:color="800000"/>
            </w:tcBorders>
            <w:shd w:val="clear" w:color="auto" w:fill="800000"/>
            <w:hideMark/>
          </w:tcPr>
          <w:p w14:paraId="3A5976E9" w14:textId="77777777" w:rsidR="00CC09AC" w:rsidRPr="00F31B6B" w:rsidRDefault="00CC09AC" w:rsidP="003B085A">
            <w:pPr>
              <w:jc w:val="center"/>
              <w:rPr>
                <w:b/>
                <w:bCs/>
                <w:color w:val="FFFFFF" w:themeColor="background1"/>
                <w:sz w:val="18"/>
                <w:szCs w:val="18"/>
              </w:rPr>
            </w:pPr>
            <w:r w:rsidRPr="00F31B6B">
              <w:rPr>
                <w:b/>
                <w:bCs/>
                <w:color w:val="FFFFFF" w:themeColor="background1"/>
                <w:sz w:val="18"/>
                <w:szCs w:val="16"/>
              </w:rPr>
              <w:t>др. сметки /чужди ср/ва на общини</w:t>
            </w:r>
            <w:r w:rsidRPr="00F31B6B">
              <w:rPr>
                <w:b/>
                <w:bCs/>
                <w:color w:val="FFFFFF" w:themeColor="background1"/>
                <w:sz w:val="18"/>
                <w:szCs w:val="18"/>
              </w:rPr>
              <w:t>/</w:t>
            </w:r>
          </w:p>
        </w:tc>
      </w:tr>
      <w:tr w:rsidR="00CC09AC" w:rsidRPr="007B48E9" w14:paraId="374697FA" w14:textId="77777777" w:rsidTr="003B085A">
        <w:trPr>
          <w:trHeight w:val="288"/>
        </w:trPr>
        <w:tc>
          <w:tcPr>
            <w:tcW w:w="2552" w:type="dxa"/>
            <w:tcBorders>
              <w:top w:val="double" w:sz="6" w:space="0" w:color="800000"/>
              <w:left w:val="double" w:sz="6" w:space="0" w:color="800000"/>
              <w:bottom w:val="nil"/>
              <w:right w:val="single" w:sz="4" w:space="0" w:color="800000"/>
            </w:tcBorders>
            <w:shd w:val="clear" w:color="auto" w:fill="FFFFCC"/>
            <w:noWrap/>
            <w:vAlign w:val="bottom"/>
            <w:hideMark/>
          </w:tcPr>
          <w:p w14:paraId="79E75577" w14:textId="77777777" w:rsidR="00CC09AC" w:rsidRPr="00E80980" w:rsidRDefault="00CC09AC" w:rsidP="003B085A">
            <w:pPr>
              <w:rPr>
                <w:b/>
                <w:bCs/>
                <w:sz w:val="18"/>
                <w:szCs w:val="18"/>
              </w:rPr>
            </w:pPr>
            <w:r w:rsidRPr="00E80980">
              <w:rPr>
                <w:b/>
                <w:bCs/>
                <w:sz w:val="18"/>
                <w:szCs w:val="18"/>
              </w:rPr>
              <w:t>I. ОБЩИ ДЪРЖАВНИ СЛУЖБИ</w:t>
            </w:r>
          </w:p>
        </w:tc>
        <w:tc>
          <w:tcPr>
            <w:tcW w:w="726" w:type="dxa"/>
            <w:tcBorders>
              <w:top w:val="double" w:sz="6" w:space="0" w:color="800000"/>
              <w:left w:val="single" w:sz="4" w:space="0" w:color="800000"/>
              <w:bottom w:val="nil"/>
              <w:right w:val="single" w:sz="4" w:space="0" w:color="800000"/>
            </w:tcBorders>
            <w:shd w:val="clear" w:color="000000" w:fill="FFFFCC"/>
            <w:noWrap/>
            <w:vAlign w:val="bottom"/>
            <w:hideMark/>
          </w:tcPr>
          <w:p w14:paraId="3AC6A8B9" w14:textId="77777777" w:rsidR="00CC09AC" w:rsidRPr="007B48E9" w:rsidRDefault="00CC09AC" w:rsidP="003B085A">
            <w:pPr>
              <w:jc w:val="right"/>
              <w:rPr>
                <w:b/>
                <w:bCs/>
                <w:color w:val="0070C0"/>
                <w:sz w:val="18"/>
                <w:szCs w:val="18"/>
              </w:rPr>
            </w:pPr>
            <w:r>
              <w:rPr>
                <w:b/>
                <w:bCs/>
                <w:color w:val="000000"/>
                <w:sz w:val="18"/>
                <w:szCs w:val="18"/>
              </w:rPr>
              <w:t>3 186,2</w:t>
            </w:r>
          </w:p>
        </w:tc>
        <w:tc>
          <w:tcPr>
            <w:tcW w:w="720" w:type="dxa"/>
            <w:tcBorders>
              <w:top w:val="double" w:sz="6" w:space="0" w:color="800000"/>
              <w:left w:val="nil"/>
              <w:bottom w:val="nil"/>
              <w:right w:val="single" w:sz="4" w:space="0" w:color="800000"/>
            </w:tcBorders>
            <w:shd w:val="clear" w:color="000000" w:fill="FFFFCC"/>
            <w:noWrap/>
            <w:vAlign w:val="bottom"/>
            <w:hideMark/>
          </w:tcPr>
          <w:p w14:paraId="724389A9" w14:textId="77777777" w:rsidR="00CC09AC" w:rsidRPr="007B48E9" w:rsidRDefault="00CC09AC" w:rsidP="003B085A">
            <w:pPr>
              <w:jc w:val="right"/>
              <w:rPr>
                <w:b/>
                <w:bCs/>
                <w:color w:val="0070C0"/>
                <w:sz w:val="18"/>
                <w:szCs w:val="18"/>
              </w:rPr>
            </w:pPr>
            <w:r>
              <w:rPr>
                <w:b/>
                <w:bCs/>
                <w:color w:val="000000"/>
                <w:sz w:val="18"/>
                <w:szCs w:val="18"/>
              </w:rPr>
              <w:t>1 722,3</w:t>
            </w:r>
          </w:p>
        </w:tc>
        <w:tc>
          <w:tcPr>
            <w:tcW w:w="538" w:type="dxa"/>
            <w:tcBorders>
              <w:top w:val="double" w:sz="6" w:space="0" w:color="800000"/>
              <w:left w:val="nil"/>
              <w:bottom w:val="nil"/>
              <w:right w:val="single" w:sz="4" w:space="0" w:color="800000"/>
            </w:tcBorders>
            <w:shd w:val="clear" w:color="000000" w:fill="FFFFCC"/>
            <w:noWrap/>
            <w:vAlign w:val="bottom"/>
            <w:hideMark/>
          </w:tcPr>
          <w:p w14:paraId="24050B09" w14:textId="77777777" w:rsidR="00CC09AC" w:rsidRPr="007B48E9" w:rsidRDefault="00CC09AC" w:rsidP="003B085A">
            <w:pPr>
              <w:jc w:val="right"/>
              <w:rPr>
                <w:b/>
                <w:bCs/>
                <w:color w:val="0070C0"/>
                <w:sz w:val="18"/>
                <w:szCs w:val="18"/>
              </w:rPr>
            </w:pPr>
            <w:r>
              <w:rPr>
                <w:b/>
                <w:bCs/>
                <w:color w:val="000000"/>
                <w:sz w:val="18"/>
                <w:szCs w:val="18"/>
              </w:rPr>
              <w:t>33,1</w:t>
            </w:r>
          </w:p>
        </w:tc>
        <w:tc>
          <w:tcPr>
            <w:tcW w:w="567" w:type="dxa"/>
            <w:tcBorders>
              <w:top w:val="double" w:sz="6" w:space="0" w:color="800000"/>
              <w:left w:val="nil"/>
              <w:bottom w:val="nil"/>
              <w:right w:val="single" w:sz="4" w:space="0" w:color="800000"/>
            </w:tcBorders>
            <w:shd w:val="clear" w:color="000000" w:fill="FFFFCC"/>
            <w:noWrap/>
            <w:vAlign w:val="bottom"/>
            <w:hideMark/>
          </w:tcPr>
          <w:p w14:paraId="70852ECF" w14:textId="77777777" w:rsidR="00CC09AC" w:rsidRPr="007B48E9" w:rsidRDefault="00CC09AC" w:rsidP="003B085A">
            <w:pPr>
              <w:jc w:val="right"/>
              <w:rPr>
                <w:b/>
                <w:bCs/>
                <w:color w:val="0070C0"/>
                <w:sz w:val="18"/>
                <w:szCs w:val="18"/>
              </w:rPr>
            </w:pPr>
            <w:r>
              <w:rPr>
                <w:b/>
                <w:bCs/>
                <w:color w:val="000000"/>
                <w:sz w:val="18"/>
                <w:szCs w:val="18"/>
              </w:rPr>
              <w:t>191,6</w:t>
            </w:r>
          </w:p>
        </w:tc>
        <w:tc>
          <w:tcPr>
            <w:tcW w:w="670" w:type="dxa"/>
            <w:tcBorders>
              <w:top w:val="double" w:sz="6" w:space="0" w:color="800000"/>
              <w:left w:val="nil"/>
              <w:bottom w:val="nil"/>
              <w:right w:val="single" w:sz="4" w:space="0" w:color="800000"/>
            </w:tcBorders>
            <w:shd w:val="clear" w:color="000000" w:fill="FFFFCC"/>
            <w:vAlign w:val="bottom"/>
          </w:tcPr>
          <w:p w14:paraId="4061B389" w14:textId="77777777" w:rsidR="00CC09AC" w:rsidRPr="007B48E9" w:rsidRDefault="00CC09AC" w:rsidP="003B085A">
            <w:pPr>
              <w:jc w:val="right"/>
              <w:rPr>
                <w:b/>
                <w:bCs/>
                <w:color w:val="0070C0"/>
                <w:sz w:val="18"/>
                <w:szCs w:val="18"/>
              </w:rPr>
            </w:pPr>
            <w:r>
              <w:rPr>
                <w:b/>
                <w:bCs/>
                <w:color w:val="000000"/>
                <w:sz w:val="18"/>
                <w:szCs w:val="18"/>
              </w:rPr>
              <w:t>62,4</w:t>
            </w:r>
          </w:p>
        </w:tc>
        <w:tc>
          <w:tcPr>
            <w:tcW w:w="709" w:type="dxa"/>
            <w:tcBorders>
              <w:top w:val="double" w:sz="6" w:space="0" w:color="800000"/>
              <w:left w:val="nil"/>
              <w:bottom w:val="nil"/>
              <w:right w:val="single" w:sz="4" w:space="0" w:color="800000"/>
            </w:tcBorders>
            <w:shd w:val="clear" w:color="000000" w:fill="FFFFCC"/>
            <w:noWrap/>
            <w:vAlign w:val="bottom"/>
            <w:hideMark/>
          </w:tcPr>
          <w:p w14:paraId="7F315DD1" w14:textId="77777777" w:rsidR="00CC09AC" w:rsidRPr="007B48E9" w:rsidRDefault="00CC09AC" w:rsidP="003B085A">
            <w:pPr>
              <w:jc w:val="right"/>
              <w:rPr>
                <w:b/>
                <w:bCs/>
                <w:color w:val="0070C0"/>
                <w:sz w:val="18"/>
                <w:szCs w:val="18"/>
              </w:rPr>
            </w:pPr>
            <w:r>
              <w:rPr>
                <w:b/>
                <w:bCs/>
                <w:color w:val="000000"/>
                <w:sz w:val="18"/>
                <w:szCs w:val="18"/>
              </w:rPr>
              <w:t>978,9</w:t>
            </w:r>
          </w:p>
        </w:tc>
        <w:tc>
          <w:tcPr>
            <w:tcW w:w="709" w:type="dxa"/>
            <w:tcBorders>
              <w:top w:val="double" w:sz="6" w:space="0" w:color="800000"/>
              <w:left w:val="nil"/>
              <w:bottom w:val="nil"/>
              <w:right w:val="single" w:sz="4" w:space="0" w:color="800000"/>
            </w:tcBorders>
            <w:shd w:val="clear" w:color="000000" w:fill="FFFFCC"/>
            <w:noWrap/>
            <w:vAlign w:val="bottom"/>
            <w:hideMark/>
          </w:tcPr>
          <w:p w14:paraId="23E90CF8" w14:textId="77777777" w:rsidR="00CC09AC" w:rsidRPr="007B48E9" w:rsidRDefault="00CC09AC" w:rsidP="003B085A">
            <w:pPr>
              <w:jc w:val="right"/>
              <w:rPr>
                <w:b/>
                <w:bCs/>
                <w:color w:val="0070C0"/>
                <w:sz w:val="18"/>
                <w:szCs w:val="18"/>
              </w:rPr>
            </w:pPr>
            <w:r>
              <w:rPr>
                <w:b/>
                <w:bCs/>
                <w:color w:val="000000"/>
                <w:sz w:val="18"/>
                <w:szCs w:val="18"/>
              </w:rPr>
              <w:t>3,1</w:t>
            </w:r>
          </w:p>
        </w:tc>
        <w:tc>
          <w:tcPr>
            <w:tcW w:w="747" w:type="dxa"/>
            <w:tcBorders>
              <w:top w:val="double" w:sz="6" w:space="0" w:color="800000"/>
              <w:left w:val="nil"/>
              <w:bottom w:val="nil"/>
              <w:right w:val="single" w:sz="4" w:space="0" w:color="800000"/>
            </w:tcBorders>
            <w:shd w:val="clear" w:color="000000" w:fill="FFFFCC"/>
            <w:noWrap/>
            <w:vAlign w:val="bottom"/>
            <w:hideMark/>
          </w:tcPr>
          <w:p w14:paraId="3EA34B41" w14:textId="77777777" w:rsidR="00CC09AC" w:rsidRPr="007B48E9" w:rsidRDefault="00CC09AC" w:rsidP="003B085A">
            <w:pPr>
              <w:jc w:val="right"/>
              <w:rPr>
                <w:b/>
                <w:bCs/>
                <w:color w:val="0070C0"/>
                <w:sz w:val="18"/>
                <w:szCs w:val="18"/>
              </w:rPr>
            </w:pPr>
            <w:r>
              <w:rPr>
                <w:b/>
                <w:bCs/>
                <w:color w:val="000000"/>
                <w:sz w:val="18"/>
                <w:szCs w:val="18"/>
              </w:rPr>
              <w:t>190,3</w:t>
            </w:r>
          </w:p>
        </w:tc>
        <w:tc>
          <w:tcPr>
            <w:tcW w:w="567" w:type="dxa"/>
            <w:tcBorders>
              <w:top w:val="double" w:sz="6" w:space="0" w:color="800000"/>
              <w:left w:val="nil"/>
              <w:bottom w:val="nil"/>
              <w:right w:val="single" w:sz="4" w:space="0" w:color="800000"/>
            </w:tcBorders>
            <w:shd w:val="clear" w:color="000000" w:fill="FFFFCC"/>
            <w:vAlign w:val="bottom"/>
          </w:tcPr>
          <w:p w14:paraId="198AC931" w14:textId="77777777" w:rsidR="00CC09AC" w:rsidRPr="007B48E9" w:rsidRDefault="00CC09AC" w:rsidP="003B085A">
            <w:pPr>
              <w:jc w:val="right"/>
              <w:rPr>
                <w:b/>
                <w:bCs/>
                <w:color w:val="0070C0"/>
                <w:sz w:val="18"/>
                <w:szCs w:val="18"/>
              </w:rPr>
            </w:pPr>
            <w:r>
              <w:rPr>
                <w:b/>
                <w:bCs/>
                <w:color w:val="000000"/>
                <w:sz w:val="18"/>
                <w:szCs w:val="18"/>
              </w:rPr>
              <w:t>3,3</w:t>
            </w:r>
          </w:p>
        </w:tc>
        <w:tc>
          <w:tcPr>
            <w:tcW w:w="567" w:type="dxa"/>
            <w:tcBorders>
              <w:top w:val="double" w:sz="6" w:space="0" w:color="800000"/>
              <w:left w:val="nil"/>
              <w:bottom w:val="nil"/>
              <w:right w:val="single" w:sz="4" w:space="0" w:color="800000"/>
            </w:tcBorders>
            <w:shd w:val="clear" w:color="000000" w:fill="FFFFCC"/>
            <w:vAlign w:val="bottom"/>
          </w:tcPr>
          <w:p w14:paraId="7C5528B3" w14:textId="77777777" w:rsidR="00CC09AC" w:rsidRPr="007B48E9" w:rsidRDefault="00CC09AC" w:rsidP="003B085A">
            <w:pPr>
              <w:jc w:val="center"/>
              <w:rPr>
                <w:b/>
                <w:bCs/>
                <w:color w:val="0070C0"/>
                <w:sz w:val="18"/>
                <w:szCs w:val="16"/>
              </w:rPr>
            </w:pPr>
            <w:r>
              <w:rPr>
                <w:b/>
                <w:bCs/>
                <w:color w:val="000000"/>
                <w:sz w:val="18"/>
                <w:szCs w:val="18"/>
              </w:rPr>
              <w:t>0,8</w:t>
            </w:r>
          </w:p>
        </w:tc>
        <w:tc>
          <w:tcPr>
            <w:tcW w:w="993" w:type="dxa"/>
            <w:tcBorders>
              <w:top w:val="double" w:sz="6" w:space="0" w:color="800000"/>
              <w:left w:val="nil"/>
              <w:bottom w:val="nil"/>
              <w:right w:val="double" w:sz="6" w:space="0" w:color="800000"/>
            </w:tcBorders>
            <w:shd w:val="clear" w:color="000000" w:fill="FFFFCC"/>
            <w:vAlign w:val="bottom"/>
            <w:hideMark/>
          </w:tcPr>
          <w:p w14:paraId="6A075B4D" w14:textId="77777777" w:rsidR="00CC09AC" w:rsidRPr="007B48E9" w:rsidRDefault="00CC09AC" w:rsidP="003B085A">
            <w:pPr>
              <w:jc w:val="right"/>
              <w:rPr>
                <w:b/>
                <w:bCs/>
                <w:color w:val="0070C0"/>
                <w:sz w:val="18"/>
                <w:szCs w:val="18"/>
              </w:rPr>
            </w:pPr>
            <w:r>
              <w:rPr>
                <w:b/>
                <w:bCs/>
                <w:color w:val="000000"/>
                <w:sz w:val="18"/>
                <w:szCs w:val="18"/>
              </w:rPr>
              <w:t>0,5</w:t>
            </w:r>
          </w:p>
        </w:tc>
      </w:tr>
      <w:tr w:rsidR="00CC09AC" w:rsidRPr="007B48E9" w14:paraId="2CB41E78" w14:textId="77777777" w:rsidTr="003B085A">
        <w:trPr>
          <w:trHeight w:val="255"/>
        </w:trPr>
        <w:tc>
          <w:tcPr>
            <w:tcW w:w="2552" w:type="dxa"/>
            <w:tcBorders>
              <w:top w:val="nil"/>
              <w:left w:val="double" w:sz="6" w:space="0" w:color="800000"/>
              <w:bottom w:val="nil"/>
              <w:right w:val="single" w:sz="4" w:space="0" w:color="800000"/>
            </w:tcBorders>
            <w:shd w:val="clear" w:color="auto" w:fill="FFFFCC"/>
            <w:noWrap/>
            <w:vAlign w:val="bottom"/>
            <w:hideMark/>
          </w:tcPr>
          <w:p w14:paraId="2A412717" w14:textId="77777777" w:rsidR="00CC09AC" w:rsidRPr="00E80980" w:rsidRDefault="00CC09AC" w:rsidP="003B085A">
            <w:pPr>
              <w:rPr>
                <w:b/>
                <w:bCs/>
                <w:sz w:val="18"/>
                <w:szCs w:val="18"/>
              </w:rPr>
            </w:pPr>
            <w:r w:rsidRPr="00E80980">
              <w:rPr>
                <w:b/>
                <w:bCs/>
                <w:sz w:val="18"/>
                <w:szCs w:val="18"/>
              </w:rPr>
              <w:t>А. ИЗПЪЛНИТЕЛНИ И ЗАКОНОДАТЕЛНИ ОРГАНИ</w:t>
            </w:r>
          </w:p>
        </w:tc>
        <w:tc>
          <w:tcPr>
            <w:tcW w:w="726" w:type="dxa"/>
            <w:tcBorders>
              <w:top w:val="nil"/>
              <w:left w:val="single" w:sz="4" w:space="0" w:color="800000"/>
              <w:bottom w:val="nil"/>
              <w:right w:val="single" w:sz="4" w:space="0" w:color="800000"/>
            </w:tcBorders>
            <w:shd w:val="clear" w:color="000000" w:fill="FFFFCC"/>
            <w:noWrap/>
            <w:vAlign w:val="bottom"/>
            <w:hideMark/>
          </w:tcPr>
          <w:p w14:paraId="20856BF5" w14:textId="77777777" w:rsidR="00CC09AC" w:rsidRPr="007B48E9" w:rsidRDefault="00CC09AC" w:rsidP="003B085A">
            <w:pPr>
              <w:jc w:val="right"/>
              <w:rPr>
                <w:b/>
                <w:bCs/>
                <w:color w:val="0070C0"/>
                <w:sz w:val="18"/>
                <w:szCs w:val="18"/>
              </w:rPr>
            </w:pPr>
            <w:r>
              <w:rPr>
                <w:b/>
                <w:bCs/>
                <w:color w:val="000000"/>
                <w:sz w:val="18"/>
                <w:szCs w:val="18"/>
              </w:rPr>
              <w:t>2 573,8</w:t>
            </w:r>
          </w:p>
        </w:tc>
        <w:tc>
          <w:tcPr>
            <w:tcW w:w="720" w:type="dxa"/>
            <w:tcBorders>
              <w:top w:val="nil"/>
              <w:left w:val="nil"/>
              <w:bottom w:val="nil"/>
              <w:right w:val="single" w:sz="4" w:space="0" w:color="800000"/>
            </w:tcBorders>
            <w:shd w:val="clear" w:color="000000" w:fill="FFFFCC"/>
            <w:noWrap/>
            <w:vAlign w:val="bottom"/>
            <w:hideMark/>
          </w:tcPr>
          <w:p w14:paraId="398B5E3C" w14:textId="77777777" w:rsidR="00CC09AC" w:rsidRPr="007B48E9" w:rsidRDefault="00CC09AC" w:rsidP="003B085A">
            <w:pPr>
              <w:jc w:val="right"/>
              <w:rPr>
                <w:b/>
                <w:bCs/>
                <w:color w:val="0070C0"/>
                <w:sz w:val="18"/>
                <w:szCs w:val="18"/>
              </w:rPr>
            </w:pPr>
            <w:r>
              <w:rPr>
                <w:b/>
                <w:bCs/>
                <w:color w:val="000000"/>
                <w:sz w:val="18"/>
                <w:szCs w:val="18"/>
              </w:rPr>
              <w:t>1 450,8</w:t>
            </w:r>
          </w:p>
        </w:tc>
        <w:tc>
          <w:tcPr>
            <w:tcW w:w="538" w:type="dxa"/>
            <w:tcBorders>
              <w:top w:val="nil"/>
              <w:left w:val="nil"/>
              <w:bottom w:val="nil"/>
              <w:right w:val="single" w:sz="4" w:space="0" w:color="800000"/>
            </w:tcBorders>
            <w:shd w:val="clear" w:color="000000" w:fill="FFFFCC"/>
            <w:noWrap/>
            <w:vAlign w:val="bottom"/>
            <w:hideMark/>
          </w:tcPr>
          <w:p w14:paraId="32AB0189"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6566A129" w14:textId="77777777" w:rsidR="00CC09AC" w:rsidRPr="007B48E9" w:rsidRDefault="00CC09AC" w:rsidP="003B085A">
            <w:pPr>
              <w:jc w:val="right"/>
              <w:rPr>
                <w:b/>
                <w:bCs/>
                <w:color w:val="0070C0"/>
                <w:sz w:val="18"/>
                <w:szCs w:val="18"/>
              </w:rPr>
            </w:pPr>
            <w:r>
              <w:rPr>
                <w:b/>
                <w:bCs/>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2D418B2C"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4684D254" w14:textId="77777777" w:rsidR="00CC09AC" w:rsidRPr="007B48E9" w:rsidRDefault="00CC09AC" w:rsidP="003B085A">
            <w:pPr>
              <w:jc w:val="right"/>
              <w:rPr>
                <w:b/>
                <w:bCs/>
                <w:color w:val="0070C0"/>
                <w:sz w:val="18"/>
                <w:szCs w:val="18"/>
              </w:rPr>
            </w:pPr>
            <w:r>
              <w:rPr>
                <w:b/>
                <w:bCs/>
                <w:color w:val="000000"/>
                <w:sz w:val="18"/>
                <w:szCs w:val="18"/>
              </w:rPr>
              <w:t>978,9</w:t>
            </w:r>
          </w:p>
        </w:tc>
        <w:tc>
          <w:tcPr>
            <w:tcW w:w="709" w:type="dxa"/>
            <w:tcBorders>
              <w:top w:val="nil"/>
              <w:left w:val="nil"/>
              <w:bottom w:val="nil"/>
              <w:right w:val="single" w:sz="4" w:space="0" w:color="800000"/>
            </w:tcBorders>
            <w:shd w:val="clear" w:color="000000" w:fill="FFFFCC"/>
            <w:noWrap/>
            <w:vAlign w:val="bottom"/>
            <w:hideMark/>
          </w:tcPr>
          <w:p w14:paraId="7085B4F5" w14:textId="77777777" w:rsidR="00CC09AC" w:rsidRPr="007B48E9" w:rsidRDefault="00CC09AC" w:rsidP="003B085A">
            <w:pPr>
              <w:jc w:val="right"/>
              <w:rPr>
                <w:b/>
                <w:bCs/>
                <w:color w:val="0070C0"/>
                <w:sz w:val="18"/>
                <w:szCs w:val="18"/>
              </w:rPr>
            </w:pPr>
            <w:r>
              <w:rPr>
                <w:b/>
                <w:bCs/>
                <w:color w:val="000000"/>
                <w:sz w:val="18"/>
                <w:szCs w:val="18"/>
              </w:rPr>
              <w:t>2,4</w:t>
            </w:r>
          </w:p>
        </w:tc>
        <w:tc>
          <w:tcPr>
            <w:tcW w:w="747" w:type="dxa"/>
            <w:tcBorders>
              <w:top w:val="nil"/>
              <w:left w:val="nil"/>
              <w:bottom w:val="nil"/>
              <w:right w:val="single" w:sz="4" w:space="0" w:color="800000"/>
            </w:tcBorders>
            <w:shd w:val="clear" w:color="000000" w:fill="FFFFCC"/>
            <w:noWrap/>
            <w:vAlign w:val="bottom"/>
            <w:hideMark/>
          </w:tcPr>
          <w:p w14:paraId="547C100A" w14:textId="77777777" w:rsidR="00CC09AC" w:rsidRPr="007B48E9" w:rsidRDefault="00CC09AC" w:rsidP="003B085A">
            <w:pPr>
              <w:jc w:val="right"/>
              <w:rPr>
                <w:b/>
                <w:bCs/>
                <w:color w:val="0070C0"/>
                <w:sz w:val="18"/>
                <w:szCs w:val="18"/>
              </w:rPr>
            </w:pPr>
            <w:r>
              <w:rPr>
                <w:b/>
                <w:bCs/>
                <w:color w:val="000000"/>
                <w:sz w:val="18"/>
                <w:szCs w:val="18"/>
              </w:rPr>
              <w:t>141,2</w:t>
            </w:r>
          </w:p>
        </w:tc>
        <w:tc>
          <w:tcPr>
            <w:tcW w:w="567" w:type="dxa"/>
            <w:tcBorders>
              <w:top w:val="nil"/>
              <w:left w:val="nil"/>
              <w:bottom w:val="nil"/>
              <w:right w:val="single" w:sz="4" w:space="0" w:color="800000"/>
            </w:tcBorders>
            <w:shd w:val="clear" w:color="000000" w:fill="FFFFCC"/>
            <w:vAlign w:val="bottom"/>
          </w:tcPr>
          <w:p w14:paraId="36804559"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71F12884" w14:textId="77777777" w:rsidR="00CC09AC" w:rsidRPr="007B48E9" w:rsidRDefault="00CC09AC" w:rsidP="003B085A">
            <w:pPr>
              <w:jc w:val="center"/>
              <w:rPr>
                <w:b/>
                <w:bCs/>
                <w:color w:val="0070C0"/>
                <w:sz w:val="18"/>
                <w:szCs w:val="16"/>
              </w:rPr>
            </w:pPr>
            <w:r>
              <w:rPr>
                <w:b/>
                <w:bCs/>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4BAC5134" w14:textId="77777777" w:rsidR="00CC09AC" w:rsidRPr="007B48E9" w:rsidRDefault="00CC09AC" w:rsidP="003B085A">
            <w:pPr>
              <w:jc w:val="right"/>
              <w:rPr>
                <w:b/>
                <w:bCs/>
                <w:color w:val="0070C0"/>
                <w:sz w:val="18"/>
                <w:szCs w:val="18"/>
              </w:rPr>
            </w:pPr>
            <w:r>
              <w:rPr>
                <w:b/>
                <w:bCs/>
                <w:color w:val="000000"/>
                <w:sz w:val="18"/>
                <w:szCs w:val="18"/>
              </w:rPr>
              <w:t>0,5</w:t>
            </w:r>
          </w:p>
        </w:tc>
      </w:tr>
      <w:tr w:rsidR="00CC09AC" w:rsidRPr="007B48E9" w14:paraId="73A78CF0"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hideMark/>
          </w:tcPr>
          <w:p w14:paraId="1501AE9F" w14:textId="77777777" w:rsidR="00CC09AC" w:rsidRPr="00E80980" w:rsidRDefault="00CC09AC" w:rsidP="003B085A">
            <w:pPr>
              <w:rPr>
                <w:sz w:val="18"/>
                <w:szCs w:val="18"/>
              </w:rPr>
            </w:pPr>
            <w:r w:rsidRPr="00E80980">
              <w:rPr>
                <w:sz w:val="18"/>
                <w:szCs w:val="18"/>
              </w:rPr>
              <w:t xml:space="preserve">    Текущи нелихвени разходи</w:t>
            </w:r>
          </w:p>
        </w:tc>
        <w:tc>
          <w:tcPr>
            <w:tcW w:w="726" w:type="dxa"/>
            <w:tcBorders>
              <w:top w:val="nil"/>
              <w:left w:val="single" w:sz="4" w:space="0" w:color="800000"/>
              <w:bottom w:val="nil"/>
              <w:right w:val="single" w:sz="4" w:space="0" w:color="800000"/>
            </w:tcBorders>
            <w:shd w:val="clear" w:color="000000" w:fill="FFFFCC"/>
            <w:noWrap/>
            <w:vAlign w:val="bottom"/>
            <w:hideMark/>
          </w:tcPr>
          <w:p w14:paraId="7C94D91B" w14:textId="77777777" w:rsidR="00CC09AC" w:rsidRPr="007B48E9" w:rsidRDefault="00CC09AC" w:rsidP="003B085A">
            <w:pPr>
              <w:jc w:val="right"/>
              <w:rPr>
                <w:color w:val="0070C0"/>
                <w:sz w:val="18"/>
                <w:szCs w:val="18"/>
              </w:rPr>
            </w:pPr>
            <w:r>
              <w:rPr>
                <w:sz w:val="18"/>
                <w:szCs w:val="18"/>
              </w:rPr>
              <w:t>2 331,4</w:t>
            </w:r>
          </w:p>
        </w:tc>
        <w:tc>
          <w:tcPr>
            <w:tcW w:w="720" w:type="dxa"/>
            <w:tcBorders>
              <w:top w:val="nil"/>
              <w:left w:val="nil"/>
              <w:bottom w:val="nil"/>
              <w:right w:val="single" w:sz="4" w:space="0" w:color="800000"/>
            </w:tcBorders>
            <w:shd w:val="clear" w:color="000000" w:fill="FFFFCC"/>
            <w:noWrap/>
            <w:vAlign w:val="bottom"/>
            <w:hideMark/>
          </w:tcPr>
          <w:p w14:paraId="7559EEB8" w14:textId="77777777" w:rsidR="00CC09AC" w:rsidRPr="007B48E9" w:rsidRDefault="00CC09AC" w:rsidP="003B085A">
            <w:pPr>
              <w:jc w:val="right"/>
              <w:rPr>
                <w:color w:val="0070C0"/>
                <w:sz w:val="18"/>
                <w:szCs w:val="18"/>
              </w:rPr>
            </w:pPr>
            <w:r>
              <w:rPr>
                <w:color w:val="000000"/>
                <w:sz w:val="18"/>
                <w:szCs w:val="18"/>
              </w:rPr>
              <w:t>1 311,5</w:t>
            </w:r>
          </w:p>
        </w:tc>
        <w:tc>
          <w:tcPr>
            <w:tcW w:w="538" w:type="dxa"/>
            <w:tcBorders>
              <w:top w:val="nil"/>
              <w:left w:val="nil"/>
              <w:bottom w:val="nil"/>
              <w:right w:val="single" w:sz="4" w:space="0" w:color="800000"/>
            </w:tcBorders>
            <w:shd w:val="clear" w:color="000000" w:fill="FFFFCC"/>
            <w:noWrap/>
            <w:vAlign w:val="bottom"/>
            <w:hideMark/>
          </w:tcPr>
          <w:p w14:paraId="16280A3F"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191DE10A"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2A4F016B"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33F635F8" w14:textId="77777777" w:rsidR="00CC09AC" w:rsidRPr="007B48E9" w:rsidRDefault="00CC09AC" w:rsidP="003B085A">
            <w:pPr>
              <w:jc w:val="right"/>
              <w:rPr>
                <w:color w:val="0070C0"/>
                <w:sz w:val="18"/>
                <w:szCs w:val="18"/>
              </w:rPr>
            </w:pPr>
            <w:r>
              <w:rPr>
                <w:color w:val="000000"/>
                <w:sz w:val="18"/>
                <w:szCs w:val="18"/>
              </w:rPr>
              <w:t>948,0</w:t>
            </w:r>
          </w:p>
        </w:tc>
        <w:tc>
          <w:tcPr>
            <w:tcW w:w="709" w:type="dxa"/>
            <w:tcBorders>
              <w:top w:val="nil"/>
              <w:left w:val="nil"/>
              <w:bottom w:val="nil"/>
              <w:right w:val="single" w:sz="4" w:space="0" w:color="800000"/>
            </w:tcBorders>
            <w:shd w:val="clear" w:color="000000" w:fill="FFFFCC"/>
            <w:noWrap/>
            <w:vAlign w:val="bottom"/>
            <w:hideMark/>
          </w:tcPr>
          <w:p w14:paraId="07814B9B" w14:textId="77777777" w:rsidR="00CC09AC" w:rsidRPr="007B48E9" w:rsidRDefault="00CC09AC" w:rsidP="003B085A">
            <w:pPr>
              <w:jc w:val="right"/>
              <w:rPr>
                <w:color w:val="0070C0"/>
                <w:sz w:val="18"/>
                <w:szCs w:val="18"/>
              </w:rPr>
            </w:pPr>
            <w:r>
              <w:rPr>
                <w:color w:val="000000"/>
                <w:sz w:val="18"/>
                <w:szCs w:val="18"/>
              </w:rPr>
              <w:t>1,6</w:t>
            </w:r>
          </w:p>
        </w:tc>
        <w:tc>
          <w:tcPr>
            <w:tcW w:w="747" w:type="dxa"/>
            <w:tcBorders>
              <w:top w:val="nil"/>
              <w:left w:val="nil"/>
              <w:bottom w:val="nil"/>
              <w:right w:val="single" w:sz="4" w:space="0" w:color="800000"/>
            </w:tcBorders>
            <w:shd w:val="clear" w:color="000000" w:fill="FFFFCC"/>
            <w:noWrap/>
            <w:vAlign w:val="bottom"/>
            <w:hideMark/>
          </w:tcPr>
          <w:p w14:paraId="063E2AFD" w14:textId="77777777" w:rsidR="00CC09AC" w:rsidRPr="007B48E9" w:rsidRDefault="00CC09AC" w:rsidP="003B085A">
            <w:pPr>
              <w:jc w:val="right"/>
              <w:rPr>
                <w:color w:val="0070C0"/>
                <w:sz w:val="18"/>
                <w:szCs w:val="18"/>
              </w:rPr>
            </w:pPr>
            <w:r>
              <w:rPr>
                <w:color w:val="000000"/>
                <w:sz w:val="18"/>
                <w:szCs w:val="18"/>
              </w:rPr>
              <w:t>69,7</w:t>
            </w:r>
          </w:p>
        </w:tc>
        <w:tc>
          <w:tcPr>
            <w:tcW w:w="567" w:type="dxa"/>
            <w:tcBorders>
              <w:top w:val="nil"/>
              <w:left w:val="nil"/>
              <w:bottom w:val="nil"/>
              <w:right w:val="single" w:sz="4" w:space="0" w:color="800000"/>
            </w:tcBorders>
            <w:shd w:val="clear" w:color="000000" w:fill="FFFFCC"/>
            <w:vAlign w:val="bottom"/>
          </w:tcPr>
          <w:p w14:paraId="1A03EFCC"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24132E51"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0EE49EAA" w14:textId="77777777" w:rsidR="00CC09AC" w:rsidRPr="007B48E9" w:rsidRDefault="00CC09AC" w:rsidP="003B085A">
            <w:pPr>
              <w:jc w:val="right"/>
              <w:rPr>
                <w:color w:val="0070C0"/>
                <w:sz w:val="18"/>
                <w:szCs w:val="18"/>
              </w:rPr>
            </w:pPr>
            <w:r>
              <w:rPr>
                <w:color w:val="000000"/>
                <w:sz w:val="18"/>
                <w:szCs w:val="18"/>
              </w:rPr>
              <w:t>0,5</w:t>
            </w:r>
          </w:p>
        </w:tc>
      </w:tr>
      <w:tr w:rsidR="00CC09AC" w:rsidRPr="007B48E9" w14:paraId="479114C4" w14:textId="77777777" w:rsidTr="003B085A">
        <w:trPr>
          <w:trHeight w:val="112"/>
        </w:trPr>
        <w:tc>
          <w:tcPr>
            <w:tcW w:w="2552" w:type="dxa"/>
            <w:tcBorders>
              <w:top w:val="nil"/>
              <w:left w:val="double" w:sz="6" w:space="0" w:color="800000"/>
              <w:bottom w:val="nil"/>
              <w:right w:val="single" w:sz="4" w:space="0" w:color="800000"/>
            </w:tcBorders>
            <w:shd w:val="clear" w:color="auto" w:fill="FFFFCC"/>
            <w:noWrap/>
            <w:vAlign w:val="bottom"/>
            <w:hideMark/>
          </w:tcPr>
          <w:p w14:paraId="7DD6C154" w14:textId="77777777" w:rsidR="00CC09AC" w:rsidRPr="00E80980" w:rsidRDefault="00CC09AC" w:rsidP="003B085A">
            <w:pPr>
              <w:rPr>
                <w:sz w:val="18"/>
                <w:szCs w:val="18"/>
              </w:rPr>
            </w:pPr>
            <w:r w:rsidRPr="00E80980">
              <w:rPr>
                <w:sz w:val="18"/>
                <w:szCs w:val="18"/>
              </w:rPr>
              <w:t xml:space="preserve">    Капиталови разходи</w:t>
            </w:r>
          </w:p>
        </w:tc>
        <w:tc>
          <w:tcPr>
            <w:tcW w:w="726" w:type="dxa"/>
            <w:tcBorders>
              <w:top w:val="nil"/>
              <w:left w:val="single" w:sz="4" w:space="0" w:color="800000"/>
              <w:bottom w:val="nil"/>
              <w:right w:val="single" w:sz="4" w:space="0" w:color="800000"/>
            </w:tcBorders>
            <w:shd w:val="clear" w:color="000000" w:fill="FFFFCC"/>
            <w:noWrap/>
            <w:vAlign w:val="bottom"/>
            <w:hideMark/>
          </w:tcPr>
          <w:p w14:paraId="32C3B452" w14:textId="77777777" w:rsidR="00CC09AC" w:rsidRPr="007B48E9" w:rsidRDefault="00CC09AC" w:rsidP="003B085A">
            <w:pPr>
              <w:jc w:val="right"/>
              <w:rPr>
                <w:color w:val="0070C0"/>
                <w:sz w:val="18"/>
                <w:szCs w:val="18"/>
              </w:rPr>
            </w:pPr>
            <w:r>
              <w:rPr>
                <w:color w:val="000000"/>
                <w:sz w:val="18"/>
                <w:szCs w:val="18"/>
              </w:rPr>
              <w:t>234,8</w:t>
            </w:r>
          </w:p>
        </w:tc>
        <w:tc>
          <w:tcPr>
            <w:tcW w:w="720" w:type="dxa"/>
            <w:tcBorders>
              <w:top w:val="nil"/>
              <w:left w:val="nil"/>
              <w:bottom w:val="nil"/>
              <w:right w:val="single" w:sz="4" w:space="0" w:color="800000"/>
            </w:tcBorders>
            <w:shd w:val="clear" w:color="000000" w:fill="FFFFCC"/>
            <w:noWrap/>
            <w:vAlign w:val="bottom"/>
            <w:hideMark/>
          </w:tcPr>
          <w:p w14:paraId="18E96A8F" w14:textId="77777777" w:rsidR="00CC09AC" w:rsidRPr="007B48E9" w:rsidRDefault="00CC09AC" w:rsidP="003B085A">
            <w:pPr>
              <w:jc w:val="right"/>
              <w:rPr>
                <w:color w:val="0070C0"/>
                <w:sz w:val="18"/>
                <w:szCs w:val="18"/>
              </w:rPr>
            </w:pPr>
            <w:r>
              <w:rPr>
                <w:color w:val="000000"/>
                <w:sz w:val="18"/>
                <w:szCs w:val="18"/>
              </w:rPr>
              <w:t>132,1</w:t>
            </w:r>
          </w:p>
        </w:tc>
        <w:tc>
          <w:tcPr>
            <w:tcW w:w="538" w:type="dxa"/>
            <w:tcBorders>
              <w:top w:val="nil"/>
              <w:left w:val="nil"/>
              <w:bottom w:val="nil"/>
              <w:right w:val="single" w:sz="4" w:space="0" w:color="800000"/>
            </w:tcBorders>
            <w:shd w:val="clear" w:color="000000" w:fill="FFFFCC"/>
            <w:noWrap/>
            <w:vAlign w:val="bottom"/>
            <w:hideMark/>
          </w:tcPr>
          <w:p w14:paraId="4DA9AF57"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01B869B6"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1ABC1B13"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3D6764F9" w14:textId="77777777" w:rsidR="00CC09AC" w:rsidRPr="007B48E9" w:rsidRDefault="00CC09AC" w:rsidP="003B085A">
            <w:pPr>
              <w:jc w:val="right"/>
              <w:rPr>
                <w:color w:val="0070C0"/>
                <w:sz w:val="18"/>
                <w:szCs w:val="18"/>
              </w:rPr>
            </w:pPr>
            <w:r>
              <w:rPr>
                <w:color w:val="000000"/>
                <w:sz w:val="18"/>
                <w:szCs w:val="18"/>
              </w:rPr>
              <w:t>30,9</w:t>
            </w:r>
          </w:p>
        </w:tc>
        <w:tc>
          <w:tcPr>
            <w:tcW w:w="709" w:type="dxa"/>
            <w:tcBorders>
              <w:top w:val="nil"/>
              <w:left w:val="nil"/>
              <w:bottom w:val="nil"/>
              <w:right w:val="single" w:sz="4" w:space="0" w:color="800000"/>
            </w:tcBorders>
            <w:shd w:val="clear" w:color="000000" w:fill="FFFFCC"/>
            <w:noWrap/>
            <w:vAlign w:val="bottom"/>
            <w:hideMark/>
          </w:tcPr>
          <w:p w14:paraId="4299705C" w14:textId="77777777" w:rsidR="00CC09AC" w:rsidRPr="007B48E9" w:rsidRDefault="00CC09AC" w:rsidP="003B085A">
            <w:pPr>
              <w:jc w:val="right"/>
              <w:rPr>
                <w:color w:val="0070C0"/>
                <w:sz w:val="18"/>
                <w:szCs w:val="18"/>
              </w:rPr>
            </w:pPr>
            <w:r>
              <w:rPr>
                <w:color w:val="000000"/>
                <w:sz w:val="18"/>
                <w:szCs w:val="18"/>
              </w:rPr>
              <w:t>0,8</w:t>
            </w:r>
          </w:p>
        </w:tc>
        <w:tc>
          <w:tcPr>
            <w:tcW w:w="747" w:type="dxa"/>
            <w:tcBorders>
              <w:top w:val="nil"/>
              <w:left w:val="nil"/>
              <w:bottom w:val="nil"/>
              <w:right w:val="single" w:sz="4" w:space="0" w:color="800000"/>
            </w:tcBorders>
            <w:shd w:val="clear" w:color="000000" w:fill="FFFFCC"/>
            <w:noWrap/>
            <w:vAlign w:val="bottom"/>
            <w:hideMark/>
          </w:tcPr>
          <w:p w14:paraId="13785357" w14:textId="77777777" w:rsidR="00CC09AC" w:rsidRPr="007B48E9" w:rsidRDefault="00CC09AC" w:rsidP="003B085A">
            <w:pPr>
              <w:jc w:val="right"/>
              <w:rPr>
                <w:color w:val="0070C0"/>
                <w:sz w:val="18"/>
                <w:szCs w:val="18"/>
              </w:rPr>
            </w:pPr>
            <w:r>
              <w:rPr>
                <w:color w:val="000000"/>
                <w:sz w:val="18"/>
                <w:szCs w:val="18"/>
              </w:rPr>
              <w:t>71,1</w:t>
            </w:r>
          </w:p>
        </w:tc>
        <w:tc>
          <w:tcPr>
            <w:tcW w:w="567" w:type="dxa"/>
            <w:tcBorders>
              <w:top w:val="nil"/>
              <w:left w:val="nil"/>
              <w:bottom w:val="nil"/>
              <w:right w:val="single" w:sz="4" w:space="0" w:color="800000"/>
            </w:tcBorders>
            <w:shd w:val="clear" w:color="000000" w:fill="FFFFCC"/>
            <w:vAlign w:val="bottom"/>
          </w:tcPr>
          <w:p w14:paraId="0A21E2E3"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5109CD5F"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0018841E"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03E84757" w14:textId="77777777" w:rsidTr="003B085A">
        <w:trPr>
          <w:trHeight w:val="206"/>
        </w:trPr>
        <w:tc>
          <w:tcPr>
            <w:tcW w:w="2552" w:type="dxa"/>
            <w:tcBorders>
              <w:top w:val="nil"/>
              <w:left w:val="double" w:sz="6" w:space="0" w:color="800000"/>
              <w:bottom w:val="nil"/>
              <w:right w:val="single" w:sz="4" w:space="0" w:color="800000"/>
            </w:tcBorders>
            <w:shd w:val="clear" w:color="auto" w:fill="FFFFCC"/>
            <w:noWrap/>
            <w:vAlign w:val="bottom"/>
            <w:hideMark/>
          </w:tcPr>
          <w:p w14:paraId="23D680F1" w14:textId="77777777" w:rsidR="00CC09AC" w:rsidRPr="00E80980" w:rsidRDefault="00CC09AC" w:rsidP="003B085A">
            <w:pPr>
              <w:rPr>
                <w:sz w:val="18"/>
                <w:szCs w:val="18"/>
              </w:rPr>
            </w:pPr>
            <w:r w:rsidRPr="00E80980">
              <w:rPr>
                <w:sz w:val="18"/>
                <w:szCs w:val="18"/>
              </w:rPr>
              <w:t xml:space="preserve">    Пред. тек. и кап. тр/ри за чужбина</w:t>
            </w:r>
          </w:p>
        </w:tc>
        <w:tc>
          <w:tcPr>
            <w:tcW w:w="726" w:type="dxa"/>
            <w:tcBorders>
              <w:top w:val="nil"/>
              <w:left w:val="single" w:sz="4" w:space="0" w:color="800000"/>
              <w:bottom w:val="nil"/>
              <w:right w:val="single" w:sz="4" w:space="0" w:color="800000"/>
            </w:tcBorders>
            <w:shd w:val="clear" w:color="000000" w:fill="FFFFCC"/>
            <w:noWrap/>
            <w:vAlign w:val="bottom"/>
            <w:hideMark/>
          </w:tcPr>
          <w:p w14:paraId="771D6794" w14:textId="77777777" w:rsidR="00CC09AC" w:rsidRPr="007B48E9" w:rsidRDefault="00CC09AC" w:rsidP="003B085A">
            <w:pPr>
              <w:jc w:val="right"/>
              <w:rPr>
                <w:color w:val="0070C0"/>
                <w:sz w:val="18"/>
                <w:szCs w:val="18"/>
              </w:rPr>
            </w:pPr>
            <w:r>
              <w:rPr>
                <w:color w:val="000000"/>
                <w:sz w:val="18"/>
                <w:szCs w:val="18"/>
              </w:rPr>
              <w:t>7,6</w:t>
            </w:r>
          </w:p>
        </w:tc>
        <w:tc>
          <w:tcPr>
            <w:tcW w:w="720" w:type="dxa"/>
            <w:tcBorders>
              <w:top w:val="nil"/>
              <w:left w:val="nil"/>
              <w:bottom w:val="nil"/>
              <w:right w:val="single" w:sz="4" w:space="0" w:color="800000"/>
            </w:tcBorders>
            <w:shd w:val="clear" w:color="000000" w:fill="FFFFCC"/>
            <w:noWrap/>
            <w:vAlign w:val="bottom"/>
            <w:hideMark/>
          </w:tcPr>
          <w:p w14:paraId="3E1B844A" w14:textId="77777777" w:rsidR="00CC09AC" w:rsidRPr="007B48E9" w:rsidRDefault="00CC09AC" w:rsidP="003B085A">
            <w:pPr>
              <w:jc w:val="right"/>
              <w:rPr>
                <w:color w:val="0070C0"/>
                <w:sz w:val="18"/>
                <w:szCs w:val="18"/>
              </w:rPr>
            </w:pPr>
            <w:r>
              <w:rPr>
                <w:color w:val="000000"/>
                <w:sz w:val="18"/>
                <w:szCs w:val="18"/>
              </w:rPr>
              <w:t>7,1</w:t>
            </w:r>
          </w:p>
        </w:tc>
        <w:tc>
          <w:tcPr>
            <w:tcW w:w="538" w:type="dxa"/>
            <w:tcBorders>
              <w:top w:val="nil"/>
              <w:left w:val="nil"/>
              <w:bottom w:val="nil"/>
              <w:right w:val="single" w:sz="4" w:space="0" w:color="800000"/>
            </w:tcBorders>
            <w:shd w:val="clear" w:color="000000" w:fill="FFFFCC"/>
            <w:noWrap/>
            <w:vAlign w:val="bottom"/>
            <w:hideMark/>
          </w:tcPr>
          <w:p w14:paraId="40AED789"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0E8F75A5"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30A0EA5F"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84C1787"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A2F67CB" w14:textId="77777777" w:rsidR="00CC09AC" w:rsidRPr="007B48E9" w:rsidRDefault="00CC09AC" w:rsidP="003B085A">
            <w:pPr>
              <w:jc w:val="right"/>
              <w:rPr>
                <w:color w:val="0070C0"/>
                <w:sz w:val="18"/>
                <w:szCs w:val="18"/>
              </w:rPr>
            </w:pPr>
            <w:r>
              <w:rPr>
                <w:color w:val="000000"/>
                <w:sz w:val="18"/>
                <w:szCs w:val="18"/>
              </w:rPr>
              <w:t> </w:t>
            </w:r>
          </w:p>
        </w:tc>
        <w:tc>
          <w:tcPr>
            <w:tcW w:w="747" w:type="dxa"/>
            <w:tcBorders>
              <w:top w:val="nil"/>
              <w:left w:val="nil"/>
              <w:bottom w:val="nil"/>
              <w:right w:val="single" w:sz="4" w:space="0" w:color="800000"/>
            </w:tcBorders>
            <w:shd w:val="clear" w:color="000000" w:fill="FFFFCC"/>
            <w:noWrap/>
            <w:vAlign w:val="bottom"/>
            <w:hideMark/>
          </w:tcPr>
          <w:p w14:paraId="57AD90BD" w14:textId="77777777" w:rsidR="00CC09AC" w:rsidRPr="007B48E9" w:rsidRDefault="00CC09AC" w:rsidP="003B085A">
            <w:pPr>
              <w:jc w:val="right"/>
              <w:rPr>
                <w:color w:val="0070C0"/>
                <w:sz w:val="18"/>
                <w:szCs w:val="18"/>
              </w:rPr>
            </w:pPr>
            <w:r>
              <w:rPr>
                <w:color w:val="000000"/>
                <w:sz w:val="18"/>
                <w:szCs w:val="18"/>
              </w:rPr>
              <w:t>0,4</w:t>
            </w:r>
          </w:p>
        </w:tc>
        <w:tc>
          <w:tcPr>
            <w:tcW w:w="567" w:type="dxa"/>
            <w:tcBorders>
              <w:top w:val="nil"/>
              <w:left w:val="nil"/>
              <w:bottom w:val="nil"/>
              <w:right w:val="single" w:sz="4" w:space="0" w:color="800000"/>
            </w:tcBorders>
            <w:shd w:val="clear" w:color="000000" w:fill="FFFFCC"/>
            <w:vAlign w:val="bottom"/>
          </w:tcPr>
          <w:p w14:paraId="38969321"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0397251F"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5877B85A"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1D2DF5AE" w14:textId="77777777" w:rsidTr="003B085A">
        <w:trPr>
          <w:trHeight w:val="134"/>
        </w:trPr>
        <w:tc>
          <w:tcPr>
            <w:tcW w:w="2552" w:type="dxa"/>
            <w:tcBorders>
              <w:top w:val="nil"/>
              <w:left w:val="double" w:sz="6" w:space="0" w:color="800000"/>
              <w:bottom w:val="nil"/>
              <w:right w:val="single" w:sz="4" w:space="0" w:color="800000"/>
            </w:tcBorders>
            <w:shd w:val="clear" w:color="auto" w:fill="FFFFCC"/>
            <w:noWrap/>
            <w:vAlign w:val="bottom"/>
            <w:hideMark/>
          </w:tcPr>
          <w:p w14:paraId="010584A4" w14:textId="77777777" w:rsidR="00CC09AC" w:rsidRPr="00E80980" w:rsidRDefault="00CC09AC" w:rsidP="003B085A">
            <w:pPr>
              <w:rPr>
                <w:b/>
                <w:bCs/>
                <w:sz w:val="18"/>
                <w:szCs w:val="18"/>
              </w:rPr>
            </w:pPr>
            <w:r w:rsidRPr="00E80980">
              <w:rPr>
                <w:b/>
                <w:bCs/>
                <w:sz w:val="18"/>
                <w:szCs w:val="18"/>
              </w:rPr>
              <w:t>Б. ОБЩИ СЛУЖБИ</w:t>
            </w:r>
          </w:p>
        </w:tc>
        <w:tc>
          <w:tcPr>
            <w:tcW w:w="726" w:type="dxa"/>
            <w:tcBorders>
              <w:top w:val="nil"/>
              <w:left w:val="single" w:sz="4" w:space="0" w:color="800000"/>
              <w:bottom w:val="nil"/>
              <w:right w:val="single" w:sz="4" w:space="0" w:color="800000"/>
            </w:tcBorders>
            <w:shd w:val="clear" w:color="000000" w:fill="FFFFCC"/>
            <w:noWrap/>
            <w:vAlign w:val="bottom"/>
            <w:hideMark/>
          </w:tcPr>
          <w:p w14:paraId="4BBE2540" w14:textId="77777777" w:rsidR="00CC09AC" w:rsidRPr="007B48E9" w:rsidRDefault="00CC09AC" w:rsidP="003B085A">
            <w:pPr>
              <w:jc w:val="right"/>
              <w:rPr>
                <w:b/>
                <w:bCs/>
                <w:color w:val="0070C0"/>
                <w:sz w:val="18"/>
                <w:szCs w:val="18"/>
              </w:rPr>
            </w:pPr>
            <w:r>
              <w:rPr>
                <w:b/>
                <w:bCs/>
                <w:color w:val="000000"/>
                <w:sz w:val="18"/>
                <w:szCs w:val="18"/>
              </w:rPr>
              <w:t>227,5</w:t>
            </w:r>
          </w:p>
        </w:tc>
        <w:tc>
          <w:tcPr>
            <w:tcW w:w="720" w:type="dxa"/>
            <w:tcBorders>
              <w:top w:val="nil"/>
              <w:left w:val="nil"/>
              <w:bottom w:val="nil"/>
              <w:right w:val="single" w:sz="4" w:space="0" w:color="800000"/>
            </w:tcBorders>
            <w:shd w:val="clear" w:color="000000" w:fill="FFFFCC"/>
            <w:noWrap/>
            <w:vAlign w:val="bottom"/>
            <w:hideMark/>
          </w:tcPr>
          <w:p w14:paraId="58A7DF64" w14:textId="77777777" w:rsidR="00CC09AC" w:rsidRPr="007B48E9" w:rsidRDefault="00CC09AC" w:rsidP="003B085A">
            <w:pPr>
              <w:jc w:val="right"/>
              <w:rPr>
                <w:b/>
                <w:bCs/>
                <w:color w:val="0070C0"/>
                <w:sz w:val="18"/>
                <w:szCs w:val="18"/>
              </w:rPr>
            </w:pPr>
            <w:r>
              <w:rPr>
                <w:b/>
                <w:bCs/>
                <w:color w:val="000000"/>
                <w:sz w:val="18"/>
                <w:szCs w:val="18"/>
              </w:rPr>
              <w:t>213,6</w:t>
            </w:r>
          </w:p>
        </w:tc>
        <w:tc>
          <w:tcPr>
            <w:tcW w:w="538" w:type="dxa"/>
            <w:tcBorders>
              <w:top w:val="nil"/>
              <w:left w:val="nil"/>
              <w:bottom w:val="nil"/>
              <w:right w:val="single" w:sz="4" w:space="0" w:color="800000"/>
            </w:tcBorders>
            <w:shd w:val="clear" w:color="000000" w:fill="FFFFCC"/>
            <w:noWrap/>
            <w:vAlign w:val="bottom"/>
            <w:hideMark/>
          </w:tcPr>
          <w:p w14:paraId="3B31EE26"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0589F416" w14:textId="77777777" w:rsidR="00CC09AC" w:rsidRPr="007B48E9" w:rsidRDefault="00CC09AC" w:rsidP="003B085A">
            <w:pPr>
              <w:jc w:val="right"/>
              <w:rPr>
                <w:b/>
                <w:bCs/>
                <w:color w:val="0070C0"/>
                <w:sz w:val="18"/>
                <w:szCs w:val="18"/>
              </w:rPr>
            </w:pPr>
            <w:r>
              <w:rPr>
                <w:b/>
                <w:bCs/>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1865A006"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DB8CA38" w14:textId="77777777" w:rsidR="00CC09AC" w:rsidRPr="007B48E9" w:rsidRDefault="00CC09AC" w:rsidP="003B085A">
            <w:pPr>
              <w:jc w:val="right"/>
              <w:rPr>
                <w:b/>
                <w:bCs/>
                <w:color w:val="0070C0"/>
                <w:sz w:val="18"/>
                <w:szCs w:val="18"/>
              </w:rPr>
            </w:pPr>
            <w:r>
              <w:rPr>
                <w:b/>
                <w:bCs/>
                <w:color w:val="000000"/>
                <w:sz w:val="18"/>
                <w:szCs w:val="18"/>
              </w:rPr>
              <w:t>0,0003</w:t>
            </w:r>
          </w:p>
        </w:tc>
        <w:tc>
          <w:tcPr>
            <w:tcW w:w="709" w:type="dxa"/>
            <w:tcBorders>
              <w:top w:val="nil"/>
              <w:left w:val="nil"/>
              <w:bottom w:val="nil"/>
              <w:right w:val="single" w:sz="4" w:space="0" w:color="800000"/>
            </w:tcBorders>
            <w:shd w:val="clear" w:color="000000" w:fill="FFFFCC"/>
            <w:noWrap/>
            <w:vAlign w:val="bottom"/>
            <w:hideMark/>
          </w:tcPr>
          <w:p w14:paraId="05327720" w14:textId="77777777" w:rsidR="00CC09AC" w:rsidRPr="007B48E9" w:rsidRDefault="00CC09AC" w:rsidP="003B085A">
            <w:pPr>
              <w:jc w:val="right"/>
              <w:rPr>
                <w:b/>
                <w:bCs/>
                <w:color w:val="0070C0"/>
                <w:sz w:val="18"/>
                <w:szCs w:val="18"/>
              </w:rPr>
            </w:pPr>
            <w:r>
              <w:rPr>
                <w:b/>
                <w:bCs/>
                <w:color w:val="000000"/>
                <w:sz w:val="18"/>
                <w:szCs w:val="18"/>
              </w:rPr>
              <w:t>0,4</w:t>
            </w:r>
          </w:p>
        </w:tc>
        <w:tc>
          <w:tcPr>
            <w:tcW w:w="747" w:type="dxa"/>
            <w:tcBorders>
              <w:top w:val="nil"/>
              <w:left w:val="nil"/>
              <w:bottom w:val="nil"/>
              <w:right w:val="single" w:sz="4" w:space="0" w:color="800000"/>
            </w:tcBorders>
            <w:shd w:val="clear" w:color="000000" w:fill="FFFFCC"/>
            <w:noWrap/>
            <w:vAlign w:val="bottom"/>
            <w:hideMark/>
          </w:tcPr>
          <w:p w14:paraId="7C10C39D" w14:textId="77777777" w:rsidR="00CC09AC" w:rsidRPr="007B48E9" w:rsidRDefault="00CC09AC" w:rsidP="003B085A">
            <w:pPr>
              <w:jc w:val="right"/>
              <w:rPr>
                <w:b/>
                <w:bCs/>
                <w:color w:val="0070C0"/>
                <w:sz w:val="18"/>
                <w:szCs w:val="18"/>
              </w:rPr>
            </w:pPr>
            <w:r>
              <w:rPr>
                <w:b/>
                <w:bCs/>
                <w:color w:val="000000"/>
                <w:sz w:val="18"/>
                <w:szCs w:val="18"/>
              </w:rPr>
              <w:t>12,8</w:t>
            </w:r>
          </w:p>
        </w:tc>
        <w:tc>
          <w:tcPr>
            <w:tcW w:w="567" w:type="dxa"/>
            <w:tcBorders>
              <w:top w:val="nil"/>
              <w:left w:val="nil"/>
              <w:bottom w:val="nil"/>
              <w:right w:val="single" w:sz="4" w:space="0" w:color="800000"/>
            </w:tcBorders>
            <w:shd w:val="clear" w:color="000000" w:fill="FFFFCC"/>
            <w:vAlign w:val="bottom"/>
          </w:tcPr>
          <w:p w14:paraId="2A2D58B2"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28B0657B" w14:textId="77777777" w:rsidR="00CC09AC" w:rsidRPr="007B48E9" w:rsidRDefault="00CC09AC" w:rsidP="003B085A">
            <w:pPr>
              <w:jc w:val="center"/>
              <w:rPr>
                <w:b/>
                <w:bCs/>
                <w:color w:val="0070C0"/>
                <w:sz w:val="18"/>
                <w:szCs w:val="16"/>
              </w:rPr>
            </w:pPr>
            <w:r>
              <w:rPr>
                <w:b/>
                <w:bCs/>
                <w:color w:val="000000"/>
                <w:sz w:val="18"/>
                <w:szCs w:val="18"/>
              </w:rPr>
              <w:t>0,8</w:t>
            </w:r>
          </w:p>
        </w:tc>
        <w:tc>
          <w:tcPr>
            <w:tcW w:w="993" w:type="dxa"/>
            <w:tcBorders>
              <w:top w:val="nil"/>
              <w:left w:val="nil"/>
              <w:bottom w:val="nil"/>
              <w:right w:val="double" w:sz="6" w:space="0" w:color="800000"/>
            </w:tcBorders>
            <w:shd w:val="clear" w:color="000000" w:fill="FFFFCC"/>
            <w:vAlign w:val="bottom"/>
            <w:hideMark/>
          </w:tcPr>
          <w:p w14:paraId="1231D7BC"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6630FB51"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hideMark/>
          </w:tcPr>
          <w:p w14:paraId="0736D866" w14:textId="77777777" w:rsidR="00CC09AC" w:rsidRPr="00E80980" w:rsidRDefault="00CC09AC" w:rsidP="003B085A">
            <w:pPr>
              <w:rPr>
                <w:sz w:val="18"/>
                <w:szCs w:val="18"/>
              </w:rPr>
            </w:pPr>
            <w:r w:rsidRPr="00E80980">
              <w:rPr>
                <w:sz w:val="18"/>
                <w:szCs w:val="18"/>
              </w:rPr>
              <w:t xml:space="preserve">    Текущи нелихвени разходи</w:t>
            </w:r>
          </w:p>
        </w:tc>
        <w:tc>
          <w:tcPr>
            <w:tcW w:w="726" w:type="dxa"/>
            <w:tcBorders>
              <w:top w:val="nil"/>
              <w:left w:val="single" w:sz="4" w:space="0" w:color="800000"/>
              <w:bottom w:val="nil"/>
              <w:right w:val="single" w:sz="4" w:space="0" w:color="800000"/>
            </w:tcBorders>
            <w:shd w:val="clear" w:color="000000" w:fill="FFFFCC"/>
            <w:noWrap/>
            <w:vAlign w:val="bottom"/>
            <w:hideMark/>
          </w:tcPr>
          <w:p w14:paraId="5E187FC5" w14:textId="77777777" w:rsidR="00CC09AC" w:rsidRPr="007B48E9" w:rsidRDefault="00CC09AC" w:rsidP="003B085A">
            <w:pPr>
              <w:jc w:val="right"/>
              <w:rPr>
                <w:color w:val="0070C0"/>
                <w:sz w:val="18"/>
                <w:szCs w:val="18"/>
              </w:rPr>
            </w:pPr>
            <w:r>
              <w:rPr>
                <w:color w:val="000000"/>
                <w:sz w:val="18"/>
                <w:szCs w:val="18"/>
              </w:rPr>
              <w:t>96,9</w:t>
            </w:r>
          </w:p>
        </w:tc>
        <w:tc>
          <w:tcPr>
            <w:tcW w:w="720" w:type="dxa"/>
            <w:tcBorders>
              <w:top w:val="nil"/>
              <w:left w:val="nil"/>
              <w:bottom w:val="nil"/>
              <w:right w:val="single" w:sz="4" w:space="0" w:color="800000"/>
            </w:tcBorders>
            <w:shd w:val="clear" w:color="000000" w:fill="FFFFCC"/>
            <w:noWrap/>
            <w:vAlign w:val="bottom"/>
            <w:hideMark/>
          </w:tcPr>
          <w:p w14:paraId="6CEA83AD" w14:textId="77777777" w:rsidR="00CC09AC" w:rsidRPr="007B48E9" w:rsidRDefault="00CC09AC" w:rsidP="003B085A">
            <w:pPr>
              <w:jc w:val="right"/>
              <w:rPr>
                <w:color w:val="0070C0"/>
                <w:sz w:val="18"/>
                <w:szCs w:val="18"/>
              </w:rPr>
            </w:pPr>
            <w:r>
              <w:rPr>
                <w:color w:val="000000"/>
                <w:sz w:val="18"/>
                <w:szCs w:val="18"/>
              </w:rPr>
              <w:t>83,2</w:t>
            </w:r>
          </w:p>
        </w:tc>
        <w:tc>
          <w:tcPr>
            <w:tcW w:w="538" w:type="dxa"/>
            <w:tcBorders>
              <w:top w:val="nil"/>
              <w:left w:val="nil"/>
              <w:bottom w:val="nil"/>
              <w:right w:val="single" w:sz="4" w:space="0" w:color="800000"/>
            </w:tcBorders>
            <w:shd w:val="clear" w:color="000000" w:fill="FFFFCC"/>
            <w:noWrap/>
            <w:vAlign w:val="bottom"/>
            <w:hideMark/>
          </w:tcPr>
          <w:p w14:paraId="7BCA7F40"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2280C0C0"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406F3B06"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63834A4" w14:textId="77777777" w:rsidR="00CC09AC" w:rsidRPr="007B48E9" w:rsidRDefault="00CC09AC" w:rsidP="003B085A">
            <w:pPr>
              <w:jc w:val="right"/>
              <w:rPr>
                <w:color w:val="0070C0"/>
                <w:sz w:val="18"/>
                <w:szCs w:val="18"/>
              </w:rPr>
            </w:pPr>
            <w:r>
              <w:rPr>
                <w:color w:val="000000"/>
                <w:sz w:val="18"/>
                <w:szCs w:val="18"/>
              </w:rPr>
              <w:t>0,0003</w:t>
            </w:r>
          </w:p>
        </w:tc>
        <w:tc>
          <w:tcPr>
            <w:tcW w:w="709" w:type="dxa"/>
            <w:tcBorders>
              <w:top w:val="nil"/>
              <w:left w:val="nil"/>
              <w:bottom w:val="nil"/>
              <w:right w:val="single" w:sz="4" w:space="0" w:color="800000"/>
            </w:tcBorders>
            <w:shd w:val="clear" w:color="000000" w:fill="FFFFCC"/>
            <w:noWrap/>
            <w:vAlign w:val="bottom"/>
            <w:hideMark/>
          </w:tcPr>
          <w:p w14:paraId="35483ACA" w14:textId="77777777" w:rsidR="00CC09AC" w:rsidRPr="007B48E9" w:rsidRDefault="00CC09AC" w:rsidP="003B085A">
            <w:pPr>
              <w:jc w:val="right"/>
              <w:rPr>
                <w:color w:val="0070C0"/>
                <w:sz w:val="18"/>
                <w:szCs w:val="18"/>
              </w:rPr>
            </w:pPr>
            <w:r>
              <w:rPr>
                <w:color w:val="000000"/>
                <w:sz w:val="18"/>
                <w:szCs w:val="18"/>
              </w:rPr>
              <w:t>0,3</w:t>
            </w:r>
          </w:p>
        </w:tc>
        <w:tc>
          <w:tcPr>
            <w:tcW w:w="747" w:type="dxa"/>
            <w:tcBorders>
              <w:top w:val="nil"/>
              <w:left w:val="nil"/>
              <w:bottom w:val="nil"/>
              <w:right w:val="single" w:sz="4" w:space="0" w:color="800000"/>
            </w:tcBorders>
            <w:shd w:val="clear" w:color="000000" w:fill="FFFFCC"/>
            <w:noWrap/>
            <w:vAlign w:val="bottom"/>
            <w:hideMark/>
          </w:tcPr>
          <w:p w14:paraId="2F042E9A" w14:textId="77777777" w:rsidR="00CC09AC" w:rsidRPr="007B48E9" w:rsidRDefault="00CC09AC" w:rsidP="003B085A">
            <w:pPr>
              <w:jc w:val="right"/>
              <w:rPr>
                <w:color w:val="0070C0"/>
                <w:sz w:val="18"/>
                <w:szCs w:val="18"/>
              </w:rPr>
            </w:pPr>
            <w:r>
              <w:rPr>
                <w:color w:val="000000"/>
                <w:sz w:val="18"/>
                <w:szCs w:val="18"/>
              </w:rPr>
              <w:t>12,6</w:t>
            </w:r>
          </w:p>
        </w:tc>
        <w:tc>
          <w:tcPr>
            <w:tcW w:w="567" w:type="dxa"/>
            <w:tcBorders>
              <w:top w:val="nil"/>
              <w:left w:val="nil"/>
              <w:bottom w:val="nil"/>
              <w:right w:val="single" w:sz="4" w:space="0" w:color="800000"/>
            </w:tcBorders>
            <w:shd w:val="clear" w:color="000000" w:fill="FFFFCC"/>
            <w:vAlign w:val="bottom"/>
          </w:tcPr>
          <w:p w14:paraId="4E7C8DE8"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1B5CCD75" w14:textId="77777777" w:rsidR="00CC09AC" w:rsidRPr="007B48E9" w:rsidRDefault="00CC09AC" w:rsidP="003B085A">
            <w:pPr>
              <w:jc w:val="center"/>
              <w:rPr>
                <w:b/>
                <w:bCs/>
                <w:color w:val="0070C0"/>
                <w:sz w:val="18"/>
                <w:szCs w:val="16"/>
              </w:rPr>
            </w:pPr>
            <w:r>
              <w:rPr>
                <w:color w:val="000000"/>
                <w:sz w:val="18"/>
                <w:szCs w:val="18"/>
              </w:rPr>
              <w:t>0,8</w:t>
            </w:r>
          </w:p>
        </w:tc>
        <w:tc>
          <w:tcPr>
            <w:tcW w:w="993" w:type="dxa"/>
            <w:tcBorders>
              <w:top w:val="nil"/>
              <w:left w:val="nil"/>
              <w:bottom w:val="nil"/>
              <w:right w:val="double" w:sz="6" w:space="0" w:color="800000"/>
            </w:tcBorders>
            <w:shd w:val="clear" w:color="000000" w:fill="FFFFCC"/>
            <w:vAlign w:val="bottom"/>
            <w:hideMark/>
          </w:tcPr>
          <w:p w14:paraId="5242C29E"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1D366D51"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hideMark/>
          </w:tcPr>
          <w:p w14:paraId="00263D0E" w14:textId="77777777" w:rsidR="00CC09AC" w:rsidRPr="00E80980" w:rsidRDefault="00CC09AC" w:rsidP="003B085A">
            <w:pPr>
              <w:rPr>
                <w:sz w:val="18"/>
                <w:szCs w:val="18"/>
              </w:rPr>
            </w:pPr>
            <w:r w:rsidRPr="00E80980">
              <w:rPr>
                <w:sz w:val="18"/>
                <w:szCs w:val="18"/>
              </w:rPr>
              <w:t xml:space="preserve">    Капиталови разходи</w:t>
            </w:r>
          </w:p>
        </w:tc>
        <w:tc>
          <w:tcPr>
            <w:tcW w:w="726" w:type="dxa"/>
            <w:tcBorders>
              <w:top w:val="nil"/>
              <w:left w:val="single" w:sz="4" w:space="0" w:color="800000"/>
              <w:bottom w:val="nil"/>
              <w:right w:val="single" w:sz="4" w:space="0" w:color="800000"/>
            </w:tcBorders>
            <w:shd w:val="clear" w:color="000000" w:fill="FFFFCC"/>
            <w:noWrap/>
            <w:vAlign w:val="bottom"/>
            <w:hideMark/>
          </w:tcPr>
          <w:p w14:paraId="5600E168" w14:textId="77777777" w:rsidR="00CC09AC" w:rsidRPr="007B48E9" w:rsidRDefault="00CC09AC" w:rsidP="003B085A">
            <w:pPr>
              <w:jc w:val="right"/>
              <w:rPr>
                <w:color w:val="0070C0"/>
                <w:sz w:val="18"/>
                <w:szCs w:val="18"/>
              </w:rPr>
            </w:pPr>
            <w:r>
              <w:rPr>
                <w:color w:val="000000"/>
                <w:sz w:val="18"/>
                <w:szCs w:val="18"/>
              </w:rPr>
              <w:t>130,6</w:t>
            </w:r>
          </w:p>
        </w:tc>
        <w:tc>
          <w:tcPr>
            <w:tcW w:w="720" w:type="dxa"/>
            <w:tcBorders>
              <w:top w:val="nil"/>
              <w:left w:val="nil"/>
              <w:bottom w:val="nil"/>
              <w:right w:val="single" w:sz="4" w:space="0" w:color="800000"/>
            </w:tcBorders>
            <w:shd w:val="clear" w:color="000000" w:fill="FFFFCC"/>
            <w:noWrap/>
            <w:vAlign w:val="bottom"/>
            <w:hideMark/>
          </w:tcPr>
          <w:p w14:paraId="7AD429C5" w14:textId="77777777" w:rsidR="00CC09AC" w:rsidRPr="007B48E9" w:rsidRDefault="00CC09AC" w:rsidP="003B085A">
            <w:pPr>
              <w:jc w:val="right"/>
              <w:rPr>
                <w:color w:val="0070C0"/>
                <w:sz w:val="18"/>
                <w:szCs w:val="18"/>
              </w:rPr>
            </w:pPr>
            <w:r>
              <w:rPr>
                <w:color w:val="000000"/>
                <w:sz w:val="18"/>
                <w:szCs w:val="18"/>
              </w:rPr>
              <w:t>130,4</w:t>
            </w:r>
          </w:p>
        </w:tc>
        <w:tc>
          <w:tcPr>
            <w:tcW w:w="538" w:type="dxa"/>
            <w:tcBorders>
              <w:top w:val="nil"/>
              <w:left w:val="nil"/>
              <w:bottom w:val="nil"/>
              <w:right w:val="single" w:sz="4" w:space="0" w:color="800000"/>
            </w:tcBorders>
            <w:shd w:val="clear" w:color="000000" w:fill="FFFFCC"/>
            <w:noWrap/>
            <w:vAlign w:val="bottom"/>
            <w:hideMark/>
          </w:tcPr>
          <w:p w14:paraId="385374BC"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74B22809"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71B6D601"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E3CE492"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5119606C" w14:textId="77777777" w:rsidR="00CC09AC" w:rsidRPr="007B48E9" w:rsidRDefault="00CC09AC" w:rsidP="003B085A">
            <w:pPr>
              <w:jc w:val="right"/>
              <w:rPr>
                <w:color w:val="0070C0"/>
                <w:sz w:val="18"/>
                <w:szCs w:val="18"/>
              </w:rPr>
            </w:pPr>
            <w:r>
              <w:rPr>
                <w:color w:val="000000"/>
                <w:sz w:val="18"/>
                <w:szCs w:val="18"/>
              </w:rPr>
              <w:t>0,03</w:t>
            </w:r>
          </w:p>
        </w:tc>
        <w:tc>
          <w:tcPr>
            <w:tcW w:w="747" w:type="dxa"/>
            <w:tcBorders>
              <w:top w:val="nil"/>
              <w:left w:val="nil"/>
              <w:bottom w:val="nil"/>
              <w:right w:val="single" w:sz="4" w:space="0" w:color="800000"/>
            </w:tcBorders>
            <w:shd w:val="clear" w:color="000000" w:fill="FFFFCC"/>
            <w:noWrap/>
            <w:vAlign w:val="bottom"/>
            <w:hideMark/>
          </w:tcPr>
          <w:p w14:paraId="5594EF97" w14:textId="77777777" w:rsidR="00CC09AC" w:rsidRPr="007B48E9" w:rsidRDefault="00CC09AC" w:rsidP="003B085A">
            <w:pPr>
              <w:jc w:val="right"/>
              <w:rPr>
                <w:color w:val="0070C0"/>
                <w:sz w:val="18"/>
                <w:szCs w:val="18"/>
              </w:rPr>
            </w:pPr>
            <w:r>
              <w:rPr>
                <w:color w:val="000000"/>
                <w:sz w:val="18"/>
                <w:szCs w:val="18"/>
              </w:rPr>
              <w:t>0,2</w:t>
            </w:r>
          </w:p>
        </w:tc>
        <w:tc>
          <w:tcPr>
            <w:tcW w:w="567" w:type="dxa"/>
            <w:tcBorders>
              <w:top w:val="nil"/>
              <w:left w:val="nil"/>
              <w:bottom w:val="nil"/>
              <w:right w:val="single" w:sz="4" w:space="0" w:color="800000"/>
            </w:tcBorders>
            <w:shd w:val="clear" w:color="000000" w:fill="FFFFCC"/>
            <w:vAlign w:val="bottom"/>
          </w:tcPr>
          <w:p w14:paraId="4DB86453"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5ED9048" w14:textId="77777777" w:rsidR="00CC09AC" w:rsidRPr="007B48E9" w:rsidRDefault="00CC09AC" w:rsidP="003B085A">
            <w:pPr>
              <w:jc w:val="center"/>
              <w:rPr>
                <w:b/>
                <w:bCs/>
                <w:color w:val="0070C0"/>
                <w:sz w:val="18"/>
                <w:szCs w:val="16"/>
              </w:rPr>
            </w:pPr>
          </w:p>
        </w:tc>
        <w:tc>
          <w:tcPr>
            <w:tcW w:w="993" w:type="dxa"/>
            <w:tcBorders>
              <w:top w:val="nil"/>
              <w:left w:val="nil"/>
              <w:bottom w:val="nil"/>
              <w:right w:val="double" w:sz="6" w:space="0" w:color="800000"/>
            </w:tcBorders>
            <w:shd w:val="clear" w:color="000000" w:fill="FFFFCC"/>
            <w:vAlign w:val="bottom"/>
            <w:hideMark/>
          </w:tcPr>
          <w:p w14:paraId="75C4E29C"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1EDFFAA0" w14:textId="77777777" w:rsidTr="003B085A">
        <w:trPr>
          <w:trHeight w:val="198"/>
        </w:trPr>
        <w:tc>
          <w:tcPr>
            <w:tcW w:w="2552" w:type="dxa"/>
            <w:tcBorders>
              <w:top w:val="nil"/>
              <w:left w:val="double" w:sz="6" w:space="0" w:color="800000"/>
              <w:bottom w:val="nil"/>
              <w:right w:val="single" w:sz="4" w:space="0" w:color="800000"/>
            </w:tcBorders>
            <w:shd w:val="clear" w:color="auto" w:fill="FFFFCC"/>
            <w:noWrap/>
            <w:vAlign w:val="bottom"/>
            <w:hideMark/>
          </w:tcPr>
          <w:p w14:paraId="4C0C6C9B" w14:textId="77777777" w:rsidR="00CC09AC" w:rsidRPr="00E80980" w:rsidRDefault="00CC09AC" w:rsidP="003B085A">
            <w:pPr>
              <w:jc w:val="center"/>
              <w:rPr>
                <w:sz w:val="18"/>
                <w:szCs w:val="18"/>
              </w:rPr>
            </w:pPr>
            <w:r w:rsidRPr="00E80980">
              <w:rPr>
                <w:sz w:val="18"/>
                <w:szCs w:val="18"/>
              </w:rPr>
              <w:t>в т.ч. прираст на държавния резерв</w:t>
            </w:r>
          </w:p>
        </w:tc>
        <w:tc>
          <w:tcPr>
            <w:tcW w:w="726" w:type="dxa"/>
            <w:tcBorders>
              <w:top w:val="nil"/>
              <w:left w:val="single" w:sz="4" w:space="0" w:color="800000"/>
              <w:bottom w:val="nil"/>
              <w:right w:val="single" w:sz="4" w:space="0" w:color="800000"/>
            </w:tcBorders>
            <w:shd w:val="clear" w:color="000000" w:fill="FFFFCC"/>
            <w:noWrap/>
            <w:vAlign w:val="bottom"/>
            <w:hideMark/>
          </w:tcPr>
          <w:p w14:paraId="13AF4848" w14:textId="77777777" w:rsidR="00CC09AC" w:rsidRPr="007B48E9" w:rsidRDefault="00CC09AC" w:rsidP="003B085A">
            <w:pPr>
              <w:jc w:val="right"/>
              <w:rPr>
                <w:color w:val="0070C0"/>
                <w:sz w:val="18"/>
                <w:szCs w:val="18"/>
              </w:rPr>
            </w:pPr>
            <w:r>
              <w:rPr>
                <w:color w:val="000000"/>
                <w:sz w:val="18"/>
                <w:szCs w:val="18"/>
              </w:rPr>
              <w:t>110,8</w:t>
            </w:r>
          </w:p>
        </w:tc>
        <w:tc>
          <w:tcPr>
            <w:tcW w:w="720" w:type="dxa"/>
            <w:tcBorders>
              <w:top w:val="nil"/>
              <w:left w:val="nil"/>
              <w:bottom w:val="nil"/>
              <w:right w:val="single" w:sz="4" w:space="0" w:color="800000"/>
            </w:tcBorders>
            <w:shd w:val="clear" w:color="000000" w:fill="FFFFCC"/>
            <w:noWrap/>
            <w:vAlign w:val="bottom"/>
            <w:hideMark/>
          </w:tcPr>
          <w:p w14:paraId="4674C10E" w14:textId="77777777" w:rsidR="00CC09AC" w:rsidRPr="007B48E9" w:rsidRDefault="00CC09AC" w:rsidP="003B085A">
            <w:pPr>
              <w:jc w:val="right"/>
              <w:rPr>
                <w:color w:val="0070C0"/>
                <w:sz w:val="18"/>
                <w:szCs w:val="18"/>
              </w:rPr>
            </w:pPr>
            <w:r>
              <w:rPr>
                <w:color w:val="000000"/>
                <w:sz w:val="18"/>
                <w:szCs w:val="18"/>
              </w:rPr>
              <w:t>110,8</w:t>
            </w:r>
          </w:p>
        </w:tc>
        <w:tc>
          <w:tcPr>
            <w:tcW w:w="538" w:type="dxa"/>
            <w:tcBorders>
              <w:top w:val="nil"/>
              <w:left w:val="nil"/>
              <w:bottom w:val="nil"/>
              <w:right w:val="single" w:sz="4" w:space="0" w:color="800000"/>
            </w:tcBorders>
            <w:shd w:val="clear" w:color="000000" w:fill="FFFFCC"/>
            <w:noWrap/>
            <w:vAlign w:val="bottom"/>
            <w:hideMark/>
          </w:tcPr>
          <w:p w14:paraId="081F1A32"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2C3C970E"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2B7BB1FA"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43679F02"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794BEBBC" w14:textId="77777777" w:rsidR="00CC09AC" w:rsidRPr="007B48E9" w:rsidRDefault="00CC09AC" w:rsidP="003B085A">
            <w:pPr>
              <w:jc w:val="right"/>
              <w:rPr>
                <w:color w:val="0070C0"/>
                <w:sz w:val="18"/>
                <w:szCs w:val="18"/>
              </w:rPr>
            </w:pPr>
            <w:r>
              <w:rPr>
                <w:color w:val="000000"/>
                <w:sz w:val="18"/>
                <w:szCs w:val="18"/>
              </w:rPr>
              <w:t> </w:t>
            </w:r>
          </w:p>
        </w:tc>
        <w:tc>
          <w:tcPr>
            <w:tcW w:w="747" w:type="dxa"/>
            <w:tcBorders>
              <w:top w:val="nil"/>
              <w:left w:val="nil"/>
              <w:bottom w:val="nil"/>
              <w:right w:val="single" w:sz="4" w:space="0" w:color="800000"/>
            </w:tcBorders>
            <w:shd w:val="clear" w:color="000000" w:fill="FFFFCC"/>
            <w:noWrap/>
            <w:vAlign w:val="bottom"/>
            <w:hideMark/>
          </w:tcPr>
          <w:p w14:paraId="709F8D98"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407FBA0"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14D0942"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73690489"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2B65E4DE"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tcPr>
          <w:p w14:paraId="119E9389" w14:textId="77777777" w:rsidR="00CC09AC" w:rsidRPr="00E80980" w:rsidRDefault="00CC09AC" w:rsidP="003B085A">
            <w:pPr>
              <w:rPr>
                <w:sz w:val="18"/>
                <w:szCs w:val="18"/>
              </w:rPr>
            </w:pPr>
            <w:r w:rsidRPr="00E80980">
              <w:rPr>
                <w:sz w:val="18"/>
                <w:szCs w:val="18"/>
              </w:rPr>
              <w:t xml:space="preserve">    Пред. тек. и кап. тр/ри за чужбина</w:t>
            </w:r>
          </w:p>
        </w:tc>
        <w:tc>
          <w:tcPr>
            <w:tcW w:w="726" w:type="dxa"/>
            <w:tcBorders>
              <w:top w:val="nil"/>
              <w:left w:val="single" w:sz="4" w:space="0" w:color="800000"/>
              <w:bottom w:val="nil"/>
              <w:right w:val="single" w:sz="4" w:space="0" w:color="800000"/>
            </w:tcBorders>
            <w:shd w:val="clear" w:color="000000" w:fill="FFFFCC"/>
            <w:noWrap/>
            <w:vAlign w:val="bottom"/>
          </w:tcPr>
          <w:p w14:paraId="0B8EA638" w14:textId="77777777" w:rsidR="00CC09AC" w:rsidRPr="007B48E9" w:rsidRDefault="00CC09AC" w:rsidP="003B085A">
            <w:pPr>
              <w:jc w:val="right"/>
              <w:rPr>
                <w:color w:val="0070C0"/>
                <w:sz w:val="18"/>
                <w:szCs w:val="18"/>
              </w:rPr>
            </w:pPr>
            <w:r>
              <w:rPr>
                <w:color w:val="000000"/>
                <w:sz w:val="18"/>
                <w:szCs w:val="18"/>
              </w:rPr>
              <w:t>0,05</w:t>
            </w:r>
          </w:p>
        </w:tc>
        <w:tc>
          <w:tcPr>
            <w:tcW w:w="720" w:type="dxa"/>
            <w:tcBorders>
              <w:top w:val="nil"/>
              <w:left w:val="nil"/>
              <w:bottom w:val="nil"/>
              <w:right w:val="single" w:sz="4" w:space="0" w:color="800000"/>
            </w:tcBorders>
            <w:shd w:val="clear" w:color="000000" w:fill="FFFFCC"/>
            <w:noWrap/>
            <w:vAlign w:val="bottom"/>
          </w:tcPr>
          <w:p w14:paraId="7A8B75B3" w14:textId="77777777" w:rsidR="00CC09AC" w:rsidRPr="007B48E9" w:rsidRDefault="00CC09AC" w:rsidP="003B085A">
            <w:pPr>
              <w:jc w:val="right"/>
              <w:rPr>
                <w:color w:val="0070C0"/>
                <w:sz w:val="18"/>
                <w:szCs w:val="18"/>
              </w:rPr>
            </w:pPr>
            <w:r>
              <w:rPr>
                <w:color w:val="000000"/>
                <w:sz w:val="18"/>
                <w:szCs w:val="18"/>
              </w:rPr>
              <w:t> </w:t>
            </w:r>
          </w:p>
        </w:tc>
        <w:tc>
          <w:tcPr>
            <w:tcW w:w="538" w:type="dxa"/>
            <w:tcBorders>
              <w:top w:val="nil"/>
              <w:left w:val="nil"/>
              <w:bottom w:val="nil"/>
              <w:right w:val="single" w:sz="4" w:space="0" w:color="800000"/>
            </w:tcBorders>
            <w:shd w:val="clear" w:color="000000" w:fill="FFFFCC"/>
            <w:noWrap/>
            <w:vAlign w:val="bottom"/>
          </w:tcPr>
          <w:p w14:paraId="532F5F8B"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tcPr>
          <w:p w14:paraId="5B7139BA"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nil"/>
              <w:right w:val="single" w:sz="4" w:space="0" w:color="800000"/>
            </w:tcBorders>
            <w:shd w:val="clear" w:color="000000" w:fill="FFFFCC"/>
            <w:vAlign w:val="bottom"/>
          </w:tcPr>
          <w:p w14:paraId="21C0736F"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6F191B26"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313378FE" w14:textId="77777777" w:rsidR="00CC09AC" w:rsidRPr="007B48E9" w:rsidRDefault="00CC09AC" w:rsidP="003B085A">
            <w:pPr>
              <w:jc w:val="right"/>
              <w:rPr>
                <w:color w:val="0070C0"/>
                <w:sz w:val="18"/>
                <w:szCs w:val="18"/>
              </w:rPr>
            </w:pPr>
            <w:r>
              <w:rPr>
                <w:color w:val="000000"/>
                <w:sz w:val="18"/>
                <w:szCs w:val="18"/>
              </w:rPr>
              <w:t>0,05</w:t>
            </w:r>
          </w:p>
        </w:tc>
        <w:tc>
          <w:tcPr>
            <w:tcW w:w="747" w:type="dxa"/>
            <w:tcBorders>
              <w:top w:val="nil"/>
              <w:left w:val="nil"/>
              <w:bottom w:val="nil"/>
              <w:right w:val="single" w:sz="4" w:space="0" w:color="800000"/>
            </w:tcBorders>
            <w:shd w:val="clear" w:color="000000" w:fill="FFFFCC"/>
            <w:noWrap/>
            <w:vAlign w:val="bottom"/>
          </w:tcPr>
          <w:p w14:paraId="1EB5693D" w14:textId="77777777" w:rsidR="00CC09AC" w:rsidRPr="007B48E9" w:rsidRDefault="00CC09AC" w:rsidP="003B085A">
            <w:pPr>
              <w:jc w:val="right"/>
              <w:rPr>
                <w:color w:val="0070C0"/>
                <w:sz w:val="18"/>
                <w:szCs w:val="18"/>
              </w:rPr>
            </w:pPr>
          </w:p>
        </w:tc>
        <w:tc>
          <w:tcPr>
            <w:tcW w:w="567" w:type="dxa"/>
            <w:tcBorders>
              <w:top w:val="nil"/>
              <w:left w:val="nil"/>
              <w:bottom w:val="nil"/>
              <w:right w:val="single" w:sz="4" w:space="0" w:color="800000"/>
            </w:tcBorders>
            <w:shd w:val="clear" w:color="000000" w:fill="FFFFCC"/>
            <w:vAlign w:val="bottom"/>
          </w:tcPr>
          <w:p w14:paraId="30930F25"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14B8CAF2"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tcPr>
          <w:p w14:paraId="104E6ADA"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538662B4"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hideMark/>
          </w:tcPr>
          <w:p w14:paraId="7F09F0E9" w14:textId="77777777" w:rsidR="00CC09AC" w:rsidRPr="00E80980" w:rsidRDefault="00CC09AC" w:rsidP="003B085A">
            <w:pPr>
              <w:rPr>
                <w:b/>
                <w:bCs/>
                <w:sz w:val="18"/>
                <w:szCs w:val="18"/>
              </w:rPr>
            </w:pPr>
            <w:r w:rsidRPr="00E80980">
              <w:rPr>
                <w:b/>
                <w:bCs/>
                <w:sz w:val="18"/>
                <w:szCs w:val="18"/>
              </w:rPr>
              <w:t>В. НАУКА</w:t>
            </w:r>
          </w:p>
        </w:tc>
        <w:tc>
          <w:tcPr>
            <w:tcW w:w="726" w:type="dxa"/>
            <w:tcBorders>
              <w:top w:val="nil"/>
              <w:left w:val="single" w:sz="4" w:space="0" w:color="800000"/>
              <w:bottom w:val="nil"/>
              <w:right w:val="single" w:sz="4" w:space="0" w:color="800000"/>
            </w:tcBorders>
            <w:shd w:val="clear" w:color="000000" w:fill="FFFFCC"/>
            <w:noWrap/>
            <w:vAlign w:val="bottom"/>
            <w:hideMark/>
          </w:tcPr>
          <w:p w14:paraId="3B6C19CC" w14:textId="77777777" w:rsidR="00CC09AC" w:rsidRPr="007B48E9" w:rsidRDefault="00CC09AC" w:rsidP="003B085A">
            <w:pPr>
              <w:jc w:val="right"/>
              <w:rPr>
                <w:b/>
                <w:bCs/>
                <w:color w:val="0070C0"/>
                <w:sz w:val="18"/>
                <w:szCs w:val="18"/>
              </w:rPr>
            </w:pPr>
            <w:r>
              <w:rPr>
                <w:b/>
                <w:bCs/>
                <w:color w:val="000000"/>
                <w:sz w:val="18"/>
                <w:szCs w:val="18"/>
              </w:rPr>
              <w:t>384,8</w:t>
            </w:r>
          </w:p>
        </w:tc>
        <w:tc>
          <w:tcPr>
            <w:tcW w:w="720" w:type="dxa"/>
            <w:tcBorders>
              <w:top w:val="nil"/>
              <w:left w:val="nil"/>
              <w:bottom w:val="nil"/>
              <w:right w:val="single" w:sz="4" w:space="0" w:color="800000"/>
            </w:tcBorders>
            <w:shd w:val="clear" w:color="000000" w:fill="FFFFCC"/>
            <w:noWrap/>
            <w:vAlign w:val="bottom"/>
            <w:hideMark/>
          </w:tcPr>
          <w:p w14:paraId="3D268A64" w14:textId="77777777" w:rsidR="00CC09AC" w:rsidRPr="007B48E9" w:rsidRDefault="00CC09AC" w:rsidP="003B085A">
            <w:pPr>
              <w:jc w:val="right"/>
              <w:rPr>
                <w:b/>
                <w:bCs/>
                <w:color w:val="0070C0"/>
                <w:sz w:val="18"/>
                <w:szCs w:val="18"/>
              </w:rPr>
            </w:pPr>
            <w:r>
              <w:rPr>
                <w:b/>
                <w:bCs/>
                <w:color w:val="000000"/>
                <w:sz w:val="18"/>
                <w:szCs w:val="18"/>
              </w:rPr>
              <w:t>57,9</w:t>
            </w:r>
          </w:p>
        </w:tc>
        <w:tc>
          <w:tcPr>
            <w:tcW w:w="538" w:type="dxa"/>
            <w:tcBorders>
              <w:top w:val="nil"/>
              <w:left w:val="nil"/>
              <w:bottom w:val="nil"/>
              <w:right w:val="single" w:sz="4" w:space="0" w:color="800000"/>
            </w:tcBorders>
            <w:shd w:val="clear" w:color="000000" w:fill="FFFFCC"/>
            <w:noWrap/>
            <w:vAlign w:val="bottom"/>
            <w:hideMark/>
          </w:tcPr>
          <w:p w14:paraId="0A97EBA8" w14:textId="77777777" w:rsidR="00CC09AC" w:rsidRPr="007B48E9" w:rsidRDefault="00CC09AC" w:rsidP="003B085A">
            <w:pPr>
              <w:jc w:val="right"/>
              <w:rPr>
                <w:b/>
                <w:bCs/>
                <w:color w:val="0070C0"/>
                <w:sz w:val="18"/>
                <w:szCs w:val="18"/>
              </w:rPr>
            </w:pPr>
            <w:r>
              <w:rPr>
                <w:b/>
                <w:bCs/>
                <w:color w:val="000000"/>
                <w:sz w:val="18"/>
                <w:szCs w:val="18"/>
              </w:rPr>
              <w:t>33,1</w:t>
            </w:r>
          </w:p>
        </w:tc>
        <w:tc>
          <w:tcPr>
            <w:tcW w:w="567" w:type="dxa"/>
            <w:tcBorders>
              <w:top w:val="nil"/>
              <w:left w:val="nil"/>
              <w:bottom w:val="nil"/>
              <w:right w:val="single" w:sz="4" w:space="0" w:color="800000"/>
            </w:tcBorders>
            <w:shd w:val="clear" w:color="000000" w:fill="FFFFCC"/>
            <w:noWrap/>
            <w:vAlign w:val="bottom"/>
            <w:hideMark/>
          </w:tcPr>
          <w:p w14:paraId="013850E5" w14:textId="77777777" w:rsidR="00CC09AC" w:rsidRPr="007B48E9" w:rsidRDefault="00CC09AC" w:rsidP="003B085A">
            <w:pPr>
              <w:jc w:val="right"/>
              <w:rPr>
                <w:b/>
                <w:bCs/>
                <w:color w:val="0070C0"/>
                <w:sz w:val="18"/>
                <w:szCs w:val="18"/>
              </w:rPr>
            </w:pPr>
            <w:r>
              <w:rPr>
                <w:b/>
                <w:bCs/>
                <w:color w:val="000000"/>
                <w:sz w:val="18"/>
                <w:szCs w:val="18"/>
              </w:rPr>
              <w:t>191,6</w:t>
            </w:r>
          </w:p>
        </w:tc>
        <w:tc>
          <w:tcPr>
            <w:tcW w:w="670" w:type="dxa"/>
            <w:tcBorders>
              <w:top w:val="nil"/>
              <w:left w:val="nil"/>
              <w:bottom w:val="nil"/>
              <w:right w:val="single" w:sz="4" w:space="0" w:color="800000"/>
            </w:tcBorders>
            <w:shd w:val="clear" w:color="000000" w:fill="FFFFCC"/>
            <w:vAlign w:val="bottom"/>
          </w:tcPr>
          <w:p w14:paraId="688411E5" w14:textId="77777777" w:rsidR="00CC09AC" w:rsidRPr="007B48E9" w:rsidRDefault="00CC09AC" w:rsidP="003B085A">
            <w:pPr>
              <w:jc w:val="right"/>
              <w:rPr>
                <w:b/>
                <w:bCs/>
                <w:color w:val="0070C0"/>
                <w:sz w:val="18"/>
                <w:szCs w:val="18"/>
              </w:rPr>
            </w:pPr>
            <w:r>
              <w:rPr>
                <w:b/>
                <w:bCs/>
                <w:color w:val="000000"/>
                <w:sz w:val="18"/>
                <w:szCs w:val="18"/>
              </w:rPr>
              <w:t>62,4</w:t>
            </w:r>
          </w:p>
        </w:tc>
        <w:tc>
          <w:tcPr>
            <w:tcW w:w="709" w:type="dxa"/>
            <w:tcBorders>
              <w:top w:val="nil"/>
              <w:left w:val="nil"/>
              <w:bottom w:val="nil"/>
              <w:right w:val="single" w:sz="4" w:space="0" w:color="800000"/>
            </w:tcBorders>
            <w:shd w:val="clear" w:color="000000" w:fill="FFFFCC"/>
            <w:noWrap/>
            <w:vAlign w:val="bottom"/>
            <w:hideMark/>
          </w:tcPr>
          <w:p w14:paraId="2DAF5A95"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3B32C3A5" w14:textId="77777777" w:rsidR="00CC09AC" w:rsidRPr="007B48E9" w:rsidRDefault="00CC09AC" w:rsidP="003B085A">
            <w:pPr>
              <w:jc w:val="right"/>
              <w:rPr>
                <w:b/>
                <w:bCs/>
                <w:color w:val="0070C0"/>
                <w:sz w:val="18"/>
                <w:szCs w:val="18"/>
              </w:rPr>
            </w:pPr>
            <w:r>
              <w:rPr>
                <w:b/>
                <w:bCs/>
                <w:color w:val="000000"/>
                <w:sz w:val="18"/>
                <w:szCs w:val="18"/>
              </w:rPr>
              <w:t>0,2</w:t>
            </w:r>
          </w:p>
        </w:tc>
        <w:tc>
          <w:tcPr>
            <w:tcW w:w="747" w:type="dxa"/>
            <w:tcBorders>
              <w:top w:val="nil"/>
              <w:left w:val="nil"/>
              <w:bottom w:val="nil"/>
              <w:right w:val="single" w:sz="4" w:space="0" w:color="800000"/>
            </w:tcBorders>
            <w:shd w:val="clear" w:color="000000" w:fill="FFFFCC"/>
            <w:noWrap/>
            <w:vAlign w:val="bottom"/>
            <w:hideMark/>
          </w:tcPr>
          <w:p w14:paraId="25886FA7" w14:textId="77777777" w:rsidR="00CC09AC" w:rsidRPr="007B48E9" w:rsidRDefault="00CC09AC" w:rsidP="003B085A">
            <w:pPr>
              <w:jc w:val="right"/>
              <w:rPr>
                <w:b/>
                <w:bCs/>
                <w:color w:val="0070C0"/>
                <w:sz w:val="18"/>
                <w:szCs w:val="18"/>
              </w:rPr>
            </w:pPr>
            <w:r>
              <w:rPr>
                <w:b/>
                <w:bCs/>
                <w:color w:val="000000"/>
                <w:sz w:val="18"/>
                <w:szCs w:val="18"/>
              </w:rPr>
              <w:t>36,3</w:t>
            </w:r>
          </w:p>
        </w:tc>
        <w:tc>
          <w:tcPr>
            <w:tcW w:w="567" w:type="dxa"/>
            <w:tcBorders>
              <w:top w:val="nil"/>
              <w:left w:val="nil"/>
              <w:bottom w:val="nil"/>
              <w:right w:val="single" w:sz="4" w:space="0" w:color="800000"/>
            </w:tcBorders>
            <w:shd w:val="clear" w:color="000000" w:fill="FFFFCC"/>
            <w:vAlign w:val="bottom"/>
          </w:tcPr>
          <w:p w14:paraId="7E3023EB" w14:textId="77777777" w:rsidR="00CC09AC" w:rsidRPr="007B48E9" w:rsidRDefault="00CC09AC" w:rsidP="003B085A">
            <w:pPr>
              <w:jc w:val="right"/>
              <w:rPr>
                <w:b/>
                <w:bCs/>
                <w:color w:val="0070C0"/>
                <w:sz w:val="18"/>
                <w:szCs w:val="18"/>
              </w:rPr>
            </w:pPr>
            <w:r>
              <w:rPr>
                <w:b/>
                <w:bCs/>
                <w:color w:val="000000"/>
                <w:sz w:val="18"/>
                <w:szCs w:val="18"/>
              </w:rPr>
              <w:t>3,3</w:t>
            </w:r>
          </w:p>
        </w:tc>
        <w:tc>
          <w:tcPr>
            <w:tcW w:w="567" w:type="dxa"/>
            <w:tcBorders>
              <w:top w:val="nil"/>
              <w:left w:val="nil"/>
              <w:bottom w:val="nil"/>
              <w:right w:val="single" w:sz="4" w:space="0" w:color="800000"/>
            </w:tcBorders>
            <w:shd w:val="clear" w:color="000000" w:fill="FFFFCC"/>
            <w:vAlign w:val="bottom"/>
          </w:tcPr>
          <w:p w14:paraId="17DEEECD" w14:textId="77777777" w:rsidR="00CC09AC" w:rsidRPr="007B48E9" w:rsidRDefault="00CC09AC" w:rsidP="003B085A">
            <w:pPr>
              <w:jc w:val="center"/>
              <w:rPr>
                <w:b/>
                <w:bCs/>
                <w:color w:val="0070C0"/>
                <w:sz w:val="18"/>
                <w:szCs w:val="16"/>
              </w:rPr>
            </w:pPr>
            <w:r>
              <w:rPr>
                <w:b/>
                <w:bCs/>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5E7BEED6"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50205BA3"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hideMark/>
          </w:tcPr>
          <w:p w14:paraId="658580DC" w14:textId="77777777" w:rsidR="00CC09AC" w:rsidRPr="00E80980" w:rsidRDefault="00CC09AC" w:rsidP="003B085A">
            <w:pPr>
              <w:rPr>
                <w:sz w:val="18"/>
                <w:szCs w:val="18"/>
              </w:rPr>
            </w:pPr>
            <w:r w:rsidRPr="00E80980">
              <w:rPr>
                <w:sz w:val="18"/>
                <w:szCs w:val="18"/>
              </w:rPr>
              <w:t xml:space="preserve">    Текущи нелихвени разходи</w:t>
            </w:r>
          </w:p>
        </w:tc>
        <w:tc>
          <w:tcPr>
            <w:tcW w:w="726" w:type="dxa"/>
            <w:tcBorders>
              <w:top w:val="nil"/>
              <w:left w:val="single" w:sz="4" w:space="0" w:color="800000"/>
              <w:bottom w:val="nil"/>
              <w:right w:val="single" w:sz="4" w:space="0" w:color="800000"/>
            </w:tcBorders>
            <w:shd w:val="clear" w:color="000000" w:fill="FFFFCC"/>
            <w:noWrap/>
            <w:vAlign w:val="bottom"/>
            <w:hideMark/>
          </w:tcPr>
          <w:p w14:paraId="4DAD6039" w14:textId="77777777" w:rsidR="00CC09AC" w:rsidRPr="007B48E9" w:rsidRDefault="00CC09AC" w:rsidP="003B085A">
            <w:pPr>
              <w:jc w:val="right"/>
              <w:rPr>
                <w:color w:val="0070C0"/>
                <w:sz w:val="18"/>
                <w:szCs w:val="18"/>
              </w:rPr>
            </w:pPr>
            <w:r>
              <w:rPr>
                <w:color w:val="000000"/>
                <w:sz w:val="18"/>
                <w:szCs w:val="18"/>
              </w:rPr>
              <w:t>341,8</w:t>
            </w:r>
          </w:p>
        </w:tc>
        <w:tc>
          <w:tcPr>
            <w:tcW w:w="720" w:type="dxa"/>
            <w:tcBorders>
              <w:top w:val="nil"/>
              <w:left w:val="nil"/>
              <w:bottom w:val="nil"/>
              <w:right w:val="single" w:sz="4" w:space="0" w:color="800000"/>
            </w:tcBorders>
            <w:shd w:val="clear" w:color="000000" w:fill="FFFFCC"/>
            <w:noWrap/>
            <w:vAlign w:val="bottom"/>
            <w:hideMark/>
          </w:tcPr>
          <w:p w14:paraId="0F513E8E" w14:textId="77777777" w:rsidR="00CC09AC" w:rsidRPr="007B48E9" w:rsidRDefault="00CC09AC" w:rsidP="003B085A">
            <w:pPr>
              <w:jc w:val="right"/>
              <w:rPr>
                <w:color w:val="0070C0"/>
                <w:sz w:val="18"/>
                <w:szCs w:val="18"/>
              </w:rPr>
            </w:pPr>
            <w:r>
              <w:rPr>
                <w:color w:val="000000"/>
                <w:sz w:val="18"/>
                <w:szCs w:val="18"/>
              </w:rPr>
              <w:t>55,3</w:t>
            </w:r>
          </w:p>
        </w:tc>
        <w:tc>
          <w:tcPr>
            <w:tcW w:w="538" w:type="dxa"/>
            <w:tcBorders>
              <w:top w:val="nil"/>
              <w:left w:val="nil"/>
              <w:bottom w:val="nil"/>
              <w:right w:val="single" w:sz="4" w:space="0" w:color="800000"/>
            </w:tcBorders>
            <w:shd w:val="clear" w:color="000000" w:fill="FFFFCC"/>
            <w:noWrap/>
            <w:vAlign w:val="bottom"/>
            <w:hideMark/>
          </w:tcPr>
          <w:p w14:paraId="3AD98AE1" w14:textId="77777777" w:rsidR="00CC09AC" w:rsidRPr="007B48E9" w:rsidRDefault="00CC09AC" w:rsidP="003B085A">
            <w:pPr>
              <w:jc w:val="right"/>
              <w:rPr>
                <w:color w:val="0070C0"/>
                <w:sz w:val="18"/>
                <w:szCs w:val="18"/>
              </w:rPr>
            </w:pPr>
            <w:r>
              <w:rPr>
                <w:color w:val="000000"/>
                <w:sz w:val="18"/>
                <w:szCs w:val="18"/>
              </w:rPr>
              <w:t>23,4</w:t>
            </w:r>
          </w:p>
        </w:tc>
        <w:tc>
          <w:tcPr>
            <w:tcW w:w="567" w:type="dxa"/>
            <w:tcBorders>
              <w:top w:val="nil"/>
              <w:left w:val="nil"/>
              <w:bottom w:val="nil"/>
              <w:right w:val="single" w:sz="4" w:space="0" w:color="800000"/>
            </w:tcBorders>
            <w:shd w:val="clear" w:color="000000" w:fill="FFFFCC"/>
            <w:noWrap/>
            <w:vAlign w:val="bottom"/>
            <w:hideMark/>
          </w:tcPr>
          <w:p w14:paraId="46B1A38B" w14:textId="77777777" w:rsidR="00CC09AC" w:rsidRPr="007B48E9" w:rsidRDefault="00CC09AC" w:rsidP="003B085A">
            <w:pPr>
              <w:jc w:val="right"/>
              <w:rPr>
                <w:color w:val="0070C0"/>
                <w:sz w:val="18"/>
                <w:szCs w:val="18"/>
              </w:rPr>
            </w:pPr>
            <w:r>
              <w:rPr>
                <w:color w:val="000000"/>
                <w:sz w:val="18"/>
                <w:szCs w:val="18"/>
              </w:rPr>
              <w:t>177,8</w:t>
            </w:r>
          </w:p>
        </w:tc>
        <w:tc>
          <w:tcPr>
            <w:tcW w:w="670" w:type="dxa"/>
            <w:tcBorders>
              <w:top w:val="nil"/>
              <w:left w:val="nil"/>
              <w:bottom w:val="nil"/>
              <w:right w:val="single" w:sz="4" w:space="0" w:color="800000"/>
            </w:tcBorders>
            <w:shd w:val="clear" w:color="000000" w:fill="FFFFCC"/>
            <w:vAlign w:val="bottom"/>
          </w:tcPr>
          <w:p w14:paraId="27DBE21D" w14:textId="77777777" w:rsidR="00CC09AC" w:rsidRPr="007B48E9" w:rsidRDefault="00CC09AC" w:rsidP="003B085A">
            <w:pPr>
              <w:jc w:val="right"/>
              <w:rPr>
                <w:color w:val="0070C0"/>
                <w:sz w:val="18"/>
                <w:szCs w:val="18"/>
              </w:rPr>
            </w:pPr>
            <w:r>
              <w:rPr>
                <w:color w:val="000000"/>
                <w:sz w:val="18"/>
                <w:szCs w:val="18"/>
              </w:rPr>
              <w:t>60,4</w:t>
            </w:r>
          </w:p>
        </w:tc>
        <w:tc>
          <w:tcPr>
            <w:tcW w:w="709" w:type="dxa"/>
            <w:tcBorders>
              <w:top w:val="nil"/>
              <w:left w:val="nil"/>
              <w:bottom w:val="nil"/>
              <w:right w:val="single" w:sz="4" w:space="0" w:color="800000"/>
            </w:tcBorders>
            <w:shd w:val="clear" w:color="000000" w:fill="FFFFCC"/>
            <w:noWrap/>
            <w:vAlign w:val="bottom"/>
            <w:hideMark/>
          </w:tcPr>
          <w:p w14:paraId="397E4B7A"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3D225219" w14:textId="77777777" w:rsidR="00CC09AC" w:rsidRPr="007B48E9" w:rsidRDefault="00CC09AC" w:rsidP="003B085A">
            <w:pPr>
              <w:jc w:val="right"/>
              <w:rPr>
                <w:color w:val="0070C0"/>
                <w:sz w:val="18"/>
                <w:szCs w:val="18"/>
              </w:rPr>
            </w:pPr>
            <w:r>
              <w:rPr>
                <w:color w:val="000000"/>
                <w:sz w:val="18"/>
                <w:szCs w:val="18"/>
              </w:rPr>
              <w:t>0,02</w:t>
            </w:r>
          </w:p>
        </w:tc>
        <w:tc>
          <w:tcPr>
            <w:tcW w:w="747" w:type="dxa"/>
            <w:tcBorders>
              <w:top w:val="nil"/>
              <w:left w:val="nil"/>
              <w:bottom w:val="nil"/>
              <w:right w:val="single" w:sz="4" w:space="0" w:color="800000"/>
            </w:tcBorders>
            <w:shd w:val="clear" w:color="000000" w:fill="FFFFCC"/>
            <w:noWrap/>
            <w:vAlign w:val="bottom"/>
            <w:hideMark/>
          </w:tcPr>
          <w:p w14:paraId="68B46D8F" w14:textId="77777777" w:rsidR="00CC09AC" w:rsidRPr="007B48E9" w:rsidRDefault="00CC09AC" w:rsidP="003B085A">
            <w:pPr>
              <w:jc w:val="right"/>
              <w:rPr>
                <w:color w:val="0070C0"/>
                <w:sz w:val="18"/>
                <w:szCs w:val="18"/>
              </w:rPr>
            </w:pPr>
            <w:r>
              <w:rPr>
                <w:color w:val="000000"/>
                <w:sz w:val="18"/>
                <w:szCs w:val="18"/>
              </w:rPr>
              <w:t>21,6</w:t>
            </w:r>
          </w:p>
        </w:tc>
        <w:tc>
          <w:tcPr>
            <w:tcW w:w="567" w:type="dxa"/>
            <w:tcBorders>
              <w:top w:val="nil"/>
              <w:left w:val="nil"/>
              <w:bottom w:val="nil"/>
              <w:right w:val="single" w:sz="4" w:space="0" w:color="800000"/>
            </w:tcBorders>
            <w:shd w:val="clear" w:color="000000" w:fill="FFFFCC"/>
            <w:vAlign w:val="bottom"/>
          </w:tcPr>
          <w:p w14:paraId="6CDBF70A" w14:textId="77777777" w:rsidR="00CC09AC" w:rsidRPr="007B48E9" w:rsidRDefault="00CC09AC" w:rsidP="003B085A">
            <w:pPr>
              <w:jc w:val="right"/>
              <w:rPr>
                <w:color w:val="0070C0"/>
                <w:sz w:val="18"/>
                <w:szCs w:val="18"/>
              </w:rPr>
            </w:pPr>
            <w:r>
              <w:rPr>
                <w:color w:val="000000"/>
                <w:sz w:val="18"/>
                <w:szCs w:val="18"/>
              </w:rPr>
              <w:t>3,2</w:t>
            </w:r>
          </w:p>
        </w:tc>
        <w:tc>
          <w:tcPr>
            <w:tcW w:w="567" w:type="dxa"/>
            <w:tcBorders>
              <w:top w:val="nil"/>
              <w:left w:val="nil"/>
              <w:bottom w:val="nil"/>
              <w:right w:val="single" w:sz="4" w:space="0" w:color="800000"/>
            </w:tcBorders>
            <w:shd w:val="clear" w:color="000000" w:fill="FFFFCC"/>
            <w:vAlign w:val="bottom"/>
          </w:tcPr>
          <w:p w14:paraId="4DA130A5"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hideMark/>
          </w:tcPr>
          <w:p w14:paraId="3BD40714"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019D5AAB" w14:textId="77777777" w:rsidTr="003B085A">
        <w:trPr>
          <w:trHeight w:val="80"/>
        </w:trPr>
        <w:tc>
          <w:tcPr>
            <w:tcW w:w="2552" w:type="dxa"/>
            <w:tcBorders>
              <w:top w:val="nil"/>
              <w:left w:val="double" w:sz="6" w:space="0" w:color="800000"/>
              <w:bottom w:val="nil"/>
              <w:right w:val="single" w:sz="4" w:space="0" w:color="800000"/>
            </w:tcBorders>
            <w:shd w:val="clear" w:color="auto" w:fill="FFFFCC"/>
            <w:noWrap/>
            <w:vAlign w:val="bottom"/>
          </w:tcPr>
          <w:p w14:paraId="04686019" w14:textId="77777777" w:rsidR="00CC09AC" w:rsidRPr="00E80980" w:rsidRDefault="00CC09AC" w:rsidP="003B085A">
            <w:pPr>
              <w:rPr>
                <w:sz w:val="18"/>
                <w:szCs w:val="18"/>
              </w:rPr>
            </w:pPr>
            <w:r w:rsidRPr="00E80980">
              <w:rPr>
                <w:sz w:val="18"/>
                <w:szCs w:val="18"/>
              </w:rPr>
              <w:t xml:space="preserve">    Капиталови разходи</w:t>
            </w:r>
          </w:p>
        </w:tc>
        <w:tc>
          <w:tcPr>
            <w:tcW w:w="726" w:type="dxa"/>
            <w:tcBorders>
              <w:top w:val="nil"/>
              <w:left w:val="single" w:sz="4" w:space="0" w:color="800000"/>
              <w:bottom w:val="nil"/>
              <w:right w:val="single" w:sz="4" w:space="0" w:color="800000"/>
            </w:tcBorders>
            <w:shd w:val="clear" w:color="000000" w:fill="FFFFCC"/>
            <w:noWrap/>
            <w:vAlign w:val="bottom"/>
          </w:tcPr>
          <w:p w14:paraId="333B576E" w14:textId="77777777" w:rsidR="00CC09AC" w:rsidRPr="007B48E9" w:rsidRDefault="00CC09AC" w:rsidP="003B085A">
            <w:pPr>
              <w:jc w:val="right"/>
              <w:rPr>
                <w:color w:val="0070C0"/>
                <w:sz w:val="18"/>
                <w:szCs w:val="18"/>
              </w:rPr>
            </w:pPr>
            <w:r>
              <w:rPr>
                <w:color w:val="000000"/>
                <w:sz w:val="18"/>
                <w:szCs w:val="18"/>
              </w:rPr>
              <w:t>42,3</w:t>
            </w:r>
          </w:p>
        </w:tc>
        <w:tc>
          <w:tcPr>
            <w:tcW w:w="720" w:type="dxa"/>
            <w:tcBorders>
              <w:top w:val="nil"/>
              <w:left w:val="nil"/>
              <w:bottom w:val="nil"/>
              <w:right w:val="single" w:sz="4" w:space="0" w:color="800000"/>
            </w:tcBorders>
            <w:shd w:val="clear" w:color="000000" w:fill="FFFFCC"/>
            <w:noWrap/>
            <w:vAlign w:val="bottom"/>
          </w:tcPr>
          <w:p w14:paraId="0695E138" w14:textId="77777777" w:rsidR="00CC09AC" w:rsidRPr="007B48E9" w:rsidRDefault="00CC09AC" w:rsidP="003B085A">
            <w:pPr>
              <w:jc w:val="right"/>
              <w:rPr>
                <w:color w:val="0070C0"/>
                <w:sz w:val="18"/>
                <w:szCs w:val="18"/>
              </w:rPr>
            </w:pPr>
            <w:r>
              <w:rPr>
                <w:color w:val="000000"/>
                <w:sz w:val="18"/>
                <w:szCs w:val="18"/>
              </w:rPr>
              <w:t>2,7</w:t>
            </w:r>
          </w:p>
        </w:tc>
        <w:tc>
          <w:tcPr>
            <w:tcW w:w="538" w:type="dxa"/>
            <w:tcBorders>
              <w:top w:val="nil"/>
              <w:left w:val="nil"/>
              <w:bottom w:val="nil"/>
              <w:right w:val="single" w:sz="4" w:space="0" w:color="800000"/>
            </w:tcBorders>
            <w:shd w:val="clear" w:color="000000" w:fill="FFFFCC"/>
            <w:noWrap/>
            <w:vAlign w:val="bottom"/>
          </w:tcPr>
          <w:p w14:paraId="3EEDD50B" w14:textId="77777777" w:rsidR="00CC09AC" w:rsidRPr="007B48E9" w:rsidRDefault="00CC09AC" w:rsidP="003B085A">
            <w:pPr>
              <w:jc w:val="right"/>
              <w:rPr>
                <w:color w:val="0070C0"/>
                <w:sz w:val="18"/>
                <w:szCs w:val="18"/>
              </w:rPr>
            </w:pPr>
            <w:r>
              <w:rPr>
                <w:color w:val="000000"/>
                <w:sz w:val="18"/>
                <w:szCs w:val="18"/>
              </w:rPr>
              <w:t>9,4</w:t>
            </w:r>
          </w:p>
        </w:tc>
        <w:tc>
          <w:tcPr>
            <w:tcW w:w="567" w:type="dxa"/>
            <w:tcBorders>
              <w:top w:val="nil"/>
              <w:left w:val="nil"/>
              <w:bottom w:val="nil"/>
              <w:right w:val="single" w:sz="4" w:space="0" w:color="800000"/>
            </w:tcBorders>
            <w:shd w:val="clear" w:color="000000" w:fill="FFFFCC"/>
            <w:noWrap/>
            <w:vAlign w:val="bottom"/>
          </w:tcPr>
          <w:p w14:paraId="4512ED93" w14:textId="77777777" w:rsidR="00CC09AC" w:rsidRPr="007B48E9" w:rsidRDefault="00CC09AC" w:rsidP="003B085A">
            <w:pPr>
              <w:jc w:val="right"/>
              <w:rPr>
                <w:color w:val="0070C0"/>
                <w:sz w:val="18"/>
                <w:szCs w:val="18"/>
              </w:rPr>
            </w:pPr>
            <w:r>
              <w:rPr>
                <w:color w:val="000000"/>
                <w:sz w:val="18"/>
                <w:szCs w:val="18"/>
              </w:rPr>
              <w:t>13,8</w:t>
            </w:r>
          </w:p>
        </w:tc>
        <w:tc>
          <w:tcPr>
            <w:tcW w:w="670" w:type="dxa"/>
            <w:tcBorders>
              <w:top w:val="nil"/>
              <w:left w:val="nil"/>
              <w:bottom w:val="nil"/>
              <w:right w:val="single" w:sz="4" w:space="0" w:color="800000"/>
            </w:tcBorders>
            <w:shd w:val="clear" w:color="000000" w:fill="FFFFCC"/>
            <w:vAlign w:val="bottom"/>
          </w:tcPr>
          <w:p w14:paraId="0230ED6F" w14:textId="77777777" w:rsidR="00CC09AC" w:rsidRPr="007B48E9" w:rsidRDefault="00CC09AC" w:rsidP="003B085A">
            <w:pPr>
              <w:jc w:val="right"/>
              <w:rPr>
                <w:color w:val="0070C0"/>
                <w:sz w:val="18"/>
                <w:szCs w:val="18"/>
              </w:rPr>
            </w:pPr>
            <w:r>
              <w:rPr>
                <w:color w:val="000000"/>
                <w:sz w:val="18"/>
                <w:szCs w:val="18"/>
              </w:rPr>
              <w:t>2,0</w:t>
            </w:r>
          </w:p>
        </w:tc>
        <w:tc>
          <w:tcPr>
            <w:tcW w:w="709" w:type="dxa"/>
            <w:tcBorders>
              <w:top w:val="nil"/>
              <w:left w:val="nil"/>
              <w:bottom w:val="nil"/>
              <w:right w:val="single" w:sz="4" w:space="0" w:color="800000"/>
            </w:tcBorders>
            <w:shd w:val="clear" w:color="000000" w:fill="FFFFCC"/>
            <w:noWrap/>
            <w:vAlign w:val="bottom"/>
          </w:tcPr>
          <w:p w14:paraId="2A116450"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78421240" w14:textId="77777777" w:rsidR="00CC09AC" w:rsidRPr="007B48E9" w:rsidRDefault="00CC09AC" w:rsidP="003B085A">
            <w:pPr>
              <w:jc w:val="right"/>
              <w:rPr>
                <w:color w:val="0070C0"/>
                <w:sz w:val="18"/>
                <w:szCs w:val="18"/>
              </w:rPr>
            </w:pPr>
            <w:r>
              <w:rPr>
                <w:color w:val="000000"/>
                <w:sz w:val="18"/>
                <w:szCs w:val="18"/>
              </w:rPr>
              <w:t>0,2</w:t>
            </w:r>
          </w:p>
        </w:tc>
        <w:tc>
          <w:tcPr>
            <w:tcW w:w="747" w:type="dxa"/>
            <w:tcBorders>
              <w:top w:val="nil"/>
              <w:left w:val="nil"/>
              <w:bottom w:val="nil"/>
              <w:right w:val="single" w:sz="4" w:space="0" w:color="800000"/>
            </w:tcBorders>
            <w:shd w:val="clear" w:color="000000" w:fill="FFFFCC"/>
            <w:noWrap/>
            <w:vAlign w:val="bottom"/>
          </w:tcPr>
          <w:p w14:paraId="19C31325" w14:textId="77777777" w:rsidR="00CC09AC" w:rsidRPr="007B48E9" w:rsidRDefault="00CC09AC" w:rsidP="003B085A">
            <w:pPr>
              <w:jc w:val="right"/>
              <w:rPr>
                <w:color w:val="0070C0"/>
                <w:sz w:val="18"/>
                <w:szCs w:val="18"/>
              </w:rPr>
            </w:pPr>
            <w:r>
              <w:rPr>
                <w:color w:val="000000"/>
                <w:sz w:val="18"/>
                <w:szCs w:val="18"/>
              </w:rPr>
              <w:t>14,1</w:t>
            </w:r>
          </w:p>
        </w:tc>
        <w:tc>
          <w:tcPr>
            <w:tcW w:w="567" w:type="dxa"/>
            <w:tcBorders>
              <w:top w:val="nil"/>
              <w:left w:val="nil"/>
              <w:bottom w:val="nil"/>
              <w:right w:val="single" w:sz="4" w:space="0" w:color="800000"/>
            </w:tcBorders>
            <w:shd w:val="clear" w:color="000000" w:fill="FFFFCC"/>
            <w:vAlign w:val="bottom"/>
          </w:tcPr>
          <w:p w14:paraId="6BC22983" w14:textId="77777777" w:rsidR="00CC09AC" w:rsidRPr="007B48E9" w:rsidRDefault="00CC09AC" w:rsidP="003B085A">
            <w:pPr>
              <w:jc w:val="right"/>
              <w:rPr>
                <w:color w:val="0070C0"/>
                <w:sz w:val="18"/>
                <w:szCs w:val="18"/>
              </w:rPr>
            </w:pPr>
            <w:r>
              <w:rPr>
                <w:color w:val="000000"/>
                <w:sz w:val="18"/>
                <w:szCs w:val="18"/>
              </w:rPr>
              <w:t>0,1</w:t>
            </w:r>
          </w:p>
        </w:tc>
        <w:tc>
          <w:tcPr>
            <w:tcW w:w="567" w:type="dxa"/>
            <w:tcBorders>
              <w:top w:val="nil"/>
              <w:left w:val="nil"/>
              <w:bottom w:val="nil"/>
              <w:right w:val="single" w:sz="4" w:space="0" w:color="800000"/>
            </w:tcBorders>
            <w:shd w:val="clear" w:color="000000" w:fill="FFFFCC"/>
            <w:vAlign w:val="bottom"/>
          </w:tcPr>
          <w:p w14:paraId="12BF73D7"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nil"/>
              <w:bottom w:val="nil"/>
              <w:right w:val="double" w:sz="6" w:space="0" w:color="800000"/>
            </w:tcBorders>
            <w:shd w:val="clear" w:color="000000" w:fill="FFFFCC"/>
            <w:vAlign w:val="bottom"/>
          </w:tcPr>
          <w:p w14:paraId="55CBAC49"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31B969B1" w14:textId="77777777" w:rsidTr="003B085A">
        <w:trPr>
          <w:trHeight w:val="80"/>
        </w:trPr>
        <w:tc>
          <w:tcPr>
            <w:tcW w:w="2552" w:type="dxa"/>
            <w:tcBorders>
              <w:top w:val="nil"/>
              <w:left w:val="double" w:sz="6" w:space="0" w:color="800000"/>
              <w:bottom w:val="double" w:sz="6" w:space="0" w:color="800000"/>
              <w:right w:val="single" w:sz="4" w:space="0" w:color="800000"/>
            </w:tcBorders>
            <w:shd w:val="clear" w:color="auto" w:fill="FFFFCC"/>
            <w:noWrap/>
            <w:vAlign w:val="bottom"/>
          </w:tcPr>
          <w:p w14:paraId="0CAC060D" w14:textId="77777777" w:rsidR="00CC09AC" w:rsidRPr="00E80980" w:rsidRDefault="00CC09AC" w:rsidP="003B085A">
            <w:pPr>
              <w:rPr>
                <w:sz w:val="18"/>
                <w:szCs w:val="18"/>
              </w:rPr>
            </w:pPr>
            <w:r w:rsidRPr="00E80980">
              <w:rPr>
                <w:sz w:val="18"/>
                <w:szCs w:val="18"/>
              </w:rPr>
              <w:t xml:space="preserve">    Пред. тек. и кап. тр/ри за чужбина</w:t>
            </w:r>
          </w:p>
        </w:tc>
        <w:tc>
          <w:tcPr>
            <w:tcW w:w="726" w:type="dxa"/>
            <w:tcBorders>
              <w:top w:val="nil"/>
              <w:left w:val="single" w:sz="4" w:space="0" w:color="800000"/>
              <w:bottom w:val="double" w:sz="6" w:space="0" w:color="800000"/>
              <w:right w:val="single" w:sz="4" w:space="0" w:color="800000"/>
            </w:tcBorders>
            <w:shd w:val="clear" w:color="000000" w:fill="FFFFCC"/>
            <w:noWrap/>
            <w:vAlign w:val="bottom"/>
          </w:tcPr>
          <w:p w14:paraId="3E70CF7B" w14:textId="77777777" w:rsidR="00CC09AC" w:rsidRPr="007B48E9" w:rsidRDefault="00CC09AC" w:rsidP="003B085A">
            <w:pPr>
              <w:jc w:val="right"/>
              <w:rPr>
                <w:color w:val="0070C0"/>
                <w:sz w:val="18"/>
                <w:szCs w:val="18"/>
              </w:rPr>
            </w:pPr>
            <w:r>
              <w:rPr>
                <w:color w:val="000000"/>
                <w:sz w:val="18"/>
                <w:szCs w:val="18"/>
              </w:rPr>
              <w:t>0,7</w:t>
            </w:r>
          </w:p>
        </w:tc>
        <w:tc>
          <w:tcPr>
            <w:tcW w:w="720" w:type="dxa"/>
            <w:tcBorders>
              <w:top w:val="nil"/>
              <w:left w:val="nil"/>
              <w:bottom w:val="double" w:sz="6" w:space="0" w:color="800000"/>
              <w:right w:val="single" w:sz="4" w:space="0" w:color="800000"/>
            </w:tcBorders>
            <w:shd w:val="clear" w:color="000000" w:fill="FFFFCC"/>
            <w:noWrap/>
            <w:vAlign w:val="bottom"/>
          </w:tcPr>
          <w:p w14:paraId="08D46DDA" w14:textId="77777777" w:rsidR="00CC09AC" w:rsidRPr="007B48E9" w:rsidRDefault="00CC09AC" w:rsidP="003B085A">
            <w:pPr>
              <w:jc w:val="right"/>
              <w:rPr>
                <w:color w:val="0070C0"/>
                <w:sz w:val="18"/>
                <w:szCs w:val="18"/>
              </w:rPr>
            </w:pPr>
            <w:r>
              <w:rPr>
                <w:color w:val="000000"/>
                <w:sz w:val="18"/>
                <w:szCs w:val="18"/>
              </w:rPr>
              <w:t> </w:t>
            </w:r>
          </w:p>
        </w:tc>
        <w:tc>
          <w:tcPr>
            <w:tcW w:w="538" w:type="dxa"/>
            <w:tcBorders>
              <w:top w:val="nil"/>
              <w:left w:val="nil"/>
              <w:bottom w:val="double" w:sz="6" w:space="0" w:color="800000"/>
              <w:right w:val="single" w:sz="4" w:space="0" w:color="800000"/>
            </w:tcBorders>
            <w:shd w:val="clear" w:color="000000" w:fill="FFFFCC"/>
            <w:noWrap/>
            <w:vAlign w:val="bottom"/>
          </w:tcPr>
          <w:p w14:paraId="5886FCFD" w14:textId="77777777" w:rsidR="00CC09AC" w:rsidRPr="007B48E9" w:rsidRDefault="00CC09AC" w:rsidP="003B085A">
            <w:pPr>
              <w:jc w:val="right"/>
              <w:rPr>
                <w:color w:val="0070C0"/>
                <w:sz w:val="18"/>
                <w:szCs w:val="18"/>
              </w:rPr>
            </w:pPr>
            <w:r>
              <w:rPr>
                <w:color w:val="000000"/>
                <w:sz w:val="18"/>
                <w:szCs w:val="18"/>
              </w:rPr>
              <w:t>0,2</w:t>
            </w:r>
          </w:p>
        </w:tc>
        <w:tc>
          <w:tcPr>
            <w:tcW w:w="567" w:type="dxa"/>
            <w:tcBorders>
              <w:top w:val="nil"/>
              <w:left w:val="nil"/>
              <w:bottom w:val="double" w:sz="6" w:space="0" w:color="800000"/>
              <w:right w:val="single" w:sz="4" w:space="0" w:color="800000"/>
            </w:tcBorders>
            <w:shd w:val="clear" w:color="000000" w:fill="FFFFCC"/>
            <w:noWrap/>
            <w:vAlign w:val="bottom"/>
          </w:tcPr>
          <w:p w14:paraId="4DA469F9" w14:textId="77777777" w:rsidR="00CC09AC" w:rsidRPr="007B48E9" w:rsidRDefault="00CC09AC" w:rsidP="003B085A">
            <w:pPr>
              <w:jc w:val="right"/>
              <w:rPr>
                <w:color w:val="0070C0"/>
                <w:sz w:val="18"/>
                <w:szCs w:val="18"/>
              </w:rPr>
            </w:pPr>
            <w:r>
              <w:rPr>
                <w:color w:val="000000"/>
                <w:sz w:val="18"/>
                <w:szCs w:val="18"/>
              </w:rPr>
              <w:t> </w:t>
            </w:r>
          </w:p>
        </w:tc>
        <w:tc>
          <w:tcPr>
            <w:tcW w:w="670" w:type="dxa"/>
            <w:tcBorders>
              <w:top w:val="nil"/>
              <w:left w:val="nil"/>
              <w:bottom w:val="double" w:sz="6" w:space="0" w:color="800000"/>
              <w:right w:val="single" w:sz="4" w:space="0" w:color="800000"/>
            </w:tcBorders>
            <w:shd w:val="clear" w:color="000000" w:fill="FFFFCC"/>
            <w:vAlign w:val="bottom"/>
          </w:tcPr>
          <w:p w14:paraId="37825D29"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double" w:sz="6" w:space="0" w:color="800000"/>
              <w:right w:val="single" w:sz="4" w:space="0" w:color="800000"/>
            </w:tcBorders>
            <w:shd w:val="clear" w:color="000000" w:fill="FFFFCC"/>
            <w:noWrap/>
            <w:vAlign w:val="bottom"/>
          </w:tcPr>
          <w:p w14:paraId="1F3CB05C"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double" w:sz="6" w:space="0" w:color="800000"/>
              <w:right w:val="single" w:sz="4" w:space="0" w:color="800000"/>
            </w:tcBorders>
            <w:shd w:val="clear" w:color="000000" w:fill="FFFFCC"/>
            <w:noWrap/>
            <w:vAlign w:val="bottom"/>
          </w:tcPr>
          <w:p w14:paraId="76467151" w14:textId="77777777" w:rsidR="00CC09AC" w:rsidRPr="007B48E9" w:rsidRDefault="00CC09AC" w:rsidP="003B085A">
            <w:pPr>
              <w:jc w:val="right"/>
              <w:rPr>
                <w:color w:val="0070C0"/>
                <w:sz w:val="18"/>
                <w:szCs w:val="18"/>
              </w:rPr>
            </w:pPr>
            <w:r>
              <w:rPr>
                <w:color w:val="000000"/>
                <w:sz w:val="18"/>
                <w:szCs w:val="18"/>
              </w:rPr>
              <w:t> </w:t>
            </w:r>
          </w:p>
        </w:tc>
        <w:tc>
          <w:tcPr>
            <w:tcW w:w="747" w:type="dxa"/>
            <w:tcBorders>
              <w:top w:val="nil"/>
              <w:left w:val="nil"/>
              <w:bottom w:val="double" w:sz="6" w:space="0" w:color="800000"/>
              <w:right w:val="single" w:sz="4" w:space="0" w:color="800000"/>
            </w:tcBorders>
            <w:shd w:val="clear" w:color="000000" w:fill="FFFFCC"/>
            <w:noWrap/>
            <w:vAlign w:val="bottom"/>
          </w:tcPr>
          <w:p w14:paraId="07761D9A" w14:textId="77777777" w:rsidR="00CC09AC" w:rsidRPr="007B48E9" w:rsidRDefault="00CC09AC" w:rsidP="003B085A">
            <w:pPr>
              <w:jc w:val="right"/>
              <w:rPr>
                <w:color w:val="0070C0"/>
                <w:sz w:val="18"/>
                <w:szCs w:val="18"/>
              </w:rPr>
            </w:pPr>
            <w:r>
              <w:rPr>
                <w:color w:val="000000"/>
                <w:sz w:val="18"/>
                <w:szCs w:val="18"/>
              </w:rPr>
              <w:t>0,5</w:t>
            </w:r>
          </w:p>
        </w:tc>
        <w:tc>
          <w:tcPr>
            <w:tcW w:w="567" w:type="dxa"/>
            <w:tcBorders>
              <w:top w:val="nil"/>
              <w:left w:val="nil"/>
              <w:bottom w:val="double" w:sz="6" w:space="0" w:color="800000"/>
              <w:right w:val="single" w:sz="4" w:space="0" w:color="800000"/>
            </w:tcBorders>
            <w:shd w:val="clear" w:color="000000" w:fill="FFFFCC"/>
            <w:vAlign w:val="bottom"/>
          </w:tcPr>
          <w:p w14:paraId="595A4315"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double" w:sz="6" w:space="0" w:color="800000"/>
              <w:right w:val="nil"/>
            </w:tcBorders>
            <w:shd w:val="clear" w:color="000000" w:fill="FFFFCC"/>
            <w:vAlign w:val="bottom"/>
          </w:tcPr>
          <w:p w14:paraId="76CC67EC" w14:textId="77777777" w:rsidR="00CC09AC" w:rsidRPr="007B48E9" w:rsidRDefault="00CC09AC" w:rsidP="003B085A">
            <w:pPr>
              <w:jc w:val="center"/>
              <w:rPr>
                <w:b/>
                <w:bCs/>
                <w:color w:val="0070C0"/>
                <w:sz w:val="18"/>
                <w:szCs w:val="16"/>
              </w:rPr>
            </w:pPr>
            <w:r>
              <w:rPr>
                <w:color w:val="000000"/>
                <w:sz w:val="18"/>
                <w:szCs w:val="18"/>
              </w:rPr>
              <w:t> </w:t>
            </w:r>
          </w:p>
        </w:tc>
        <w:tc>
          <w:tcPr>
            <w:tcW w:w="993" w:type="dxa"/>
            <w:tcBorders>
              <w:top w:val="nil"/>
              <w:left w:val="single" w:sz="4" w:space="0" w:color="800000"/>
              <w:bottom w:val="double" w:sz="6" w:space="0" w:color="800000"/>
              <w:right w:val="double" w:sz="6" w:space="0" w:color="800000"/>
            </w:tcBorders>
            <w:shd w:val="clear" w:color="000000" w:fill="FFFFCC"/>
            <w:vAlign w:val="bottom"/>
          </w:tcPr>
          <w:p w14:paraId="1ABBCD23" w14:textId="77777777" w:rsidR="00CC09AC" w:rsidRPr="007B48E9" w:rsidRDefault="00CC09AC" w:rsidP="003B085A">
            <w:pPr>
              <w:jc w:val="right"/>
              <w:rPr>
                <w:color w:val="0070C0"/>
                <w:sz w:val="18"/>
                <w:szCs w:val="18"/>
              </w:rPr>
            </w:pPr>
            <w:r>
              <w:rPr>
                <w:color w:val="000000"/>
                <w:sz w:val="18"/>
                <w:szCs w:val="18"/>
              </w:rPr>
              <w:t> </w:t>
            </w:r>
          </w:p>
        </w:tc>
      </w:tr>
    </w:tbl>
    <w:p w14:paraId="31188B0F" w14:textId="77777777" w:rsidR="00CC09AC" w:rsidRPr="007B48E9" w:rsidRDefault="00CC09AC" w:rsidP="00CC09AC">
      <w:pPr>
        <w:spacing w:before="120" w:after="120"/>
        <w:ind w:firstLine="539"/>
        <w:rPr>
          <w:b/>
          <w:color w:val="0070C0"/>
          <w:sz w:val="12"/>
        </w:rPr>
      </w:pPr>
    </w:p>
    <w:p w14:paraId="159B9D89" w14:textId="77777777" w:rsidR="00CC09AC" w:rsidRPr="006A29D5" w:rsidRDefault="00CC09AC" w:rsidP="00CC09AC">
      <w:pPr>
        <w:spacing w:before="120" w:after="120"/>
        <w:ind w:firstLine="709"/>
      </w:pPr>
      <w:r w:rsidRPr="006A29D5">
        <w:rPr>
          <w:b/>
        </w:rPr>
        <w:t xml:space="preserve">Група А: </w:t>
      </w:r>
      <w:r w:rsidRPr="006A29D5">
        <w:rPr>
          <w:b/>
          <w:i/>
        </w:rPr>
        <w:t>„Изпълнителни и законодателни органи”</w:t>
      </w:r>
    </w:p>
    <w:p w14:paraId="0DF75781" w14:textId="1F5470B2" w:rsidR="00CC09AC" w:rsidRPr="006A29D5" w:rsidRDefault="00CC09AC" w:rsidP="00BD4B7A">
      <w:pPr>
        <w:ind w:firstLine="709"/>
        <w:jc w:val="both"/>
      </w:pPr>
      <w:r w:rsidRPr="006A29D5">
        <w:t>В тази група се включват разходите, предоставени за финансовото обезпечаване на основните функции на Администрацията на президента, Народното събрание, Сметна палата, Комисия за противодействие на корупцията и за отнемане на незаконно придобитото имущество</w:t>
      </w:r>
      <w:r w:rsidR="006D3E64">
        <w:t>,</w:t>
      </w:r>
      <w:r w:rsidRPr="006A29D5">
        <w:t xml:space="preserve"> Комисия за финансов надзор, Държавна комисия по сигурността на информацията,  централната администрация на министерствата и ведомствата, както и дейностите на областните </w:t>
      </w:r>
      <w:r w:rsidR="006D3E64" w:rsidRPr="0008473F">
        <w:rPr>
          <w:lang w:val="ru-RU"/>
        </w:rPr>
        <w:t xml:space="preserve">и общински </w:t>
      </w:r>
      <w:r w:rsidRPr="006A29D5">
        <w:t>администрации, държавните и изпълнителните агенции, търговските служби, посолствата и консулствата в чужбина и други новосъздадени администрации.</w:t>
      </w:r>
    </w:p>
    <w:p w14:paraId="64E4B552" w14:textId="77777777" w:rsidR="00CC09AC" w:rsidRPr="007B48E9" w:rsidRDefault="00CC09AC" w:rsidP="00BD4B7A">
      <w:pPr>
        <w:ind w:firstLine="709"/>
        <w:jc w:val="both"/>
        <w:rPr>
          <w:color w:val="0070C0"/>
        </w:rPr>
      </w:pPr>
      <w:r w:rsidRPr="00EC7364">
        <w:t xml:space="preserve">Общата сума на разходите на консолидирана основа за тази група е </w:t>
      </w:r>
      <w:r>
        <w:t>2 573,8</w:t>
      </w:r>
      <w:r w:rsidRPr="00EC7364">
        <w:t xml:space="preserve"> млн. лв., което представлява </w:t>
      </w:r>
      <w:r>
        <w:t>84,2</w:t>
      </w:r>
      <w:r w:rsidRPr="00EC7364">
        <w:t xml:space="preserve"> % от предвидените в разчетите към ЗДБРБ за 2022 г. разходи за група „Изпълнителни и законодателни органи”. В структурно отношение преобладават текущите разходи по бюджетите на министерствата,  ведомствата и общините, което се </w:t>
      </w:r>
      <w:r w:rsidRPr="00946C5E">
        <w:t xml:space="preserve">обуславя от спецификата на функцията и групата. Капиталовите разходи в тази група са в размер на 234,8 млн. лв. или 91,8 % спрямо разчета за годината. </w:t>
      </w:r>
      <w:r w:rsidRPr="00946C5E">
        <w:rPr>
          <w:rFonts w:cs="TimesNewRomanPSMT"/>
        </w:rPr>
        <w:t>Предоставените текущи и капиталови трансфери за чужбина са в размер на 7,6 млн. лв.</w:t>
      </w:r>
    </w:p>
    <w:p w14:paraId="350CF33D" w14:textId="77777777" w:rsidR="00CC09AC" w:rsidRPr="00946C5E" w:rsidRDefault="00CC09AC" w:rsidP="00CC09AC">
      <w:pPr>
        <w:spacing w:after="120"/>
        <w:ind w:firstLine="709"/>
        <w:jc w:val="both"/>
      </w:pPr>
      <w:r w:rsidRPr="00946C5E">
        <w:t>Средствата в групата са за реализиране на следните стратегически цели и приоритетни политики:</w:t>
      </w:r>
    </w:p>
    <w:p w14:paraId="4CDC4CF1"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Защита и реализация на националните интереси на Република България чрез активно и адекватно участие в международните отношения;</w:t>
      </w:r>
    </w:p>
    <w:p w14:paraId="3A8094F7"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Определяне и осъществяване на вътрешната и външната политика на Република България в съответствие с приоритетите на правителството;</w:t>
      </w:r>
    </w:p>
    <w:p w14:paraId="71DF9248" w14:textId="77777777" w:rsidR="00CC09AC" w:rsidRPr="009A0835" w:rsidRDefault="00CC09AC" w:rsidP="00CC09AC">
      <w:pPr>
        <w:numPr>
          <w:ilvl w:val="0"/>
          <w:numId w:val="33"/>
        </w:numPr>
        <w:tabs>
          <w:tab w:val="clear" w:pos="720"/>
        </w:tabs>
        <w:suppressAutoHyphens/>
        <w:spacing w:after="120"/>
        <w:ind w:left="540"/>
        <w:jc w:val="both"/>
      </w:pPr>
      <w:r w:rsidRPr="009A0835">
        <w:t>Гарантиране на значима, адекватна и видима роля на България в регионален и глобален план чрез участието ни в ООН и други международни организации;</w:t>
      </w:r>
    </w:p>
    <w:p w14:paraId="28FBCA18"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Подобряване на управлението на областите при провеждане на регионалната политика и държавно управление по места;</w:t>
      </w:r>
    </w:p>
    <w:p w14:paraId="5E84D0F6"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Подобряване ефективността на дейностите по обслужване, контрол и събиране на публичните вземания от приходните агенции;</w:t>
      </w:r>
    </w:p>
    <w:p w14:paraId="285149D5"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Повишаване на събираемостта на приходите чрез противодействие на данъчните измами и отклонението от данъчно облагане;</w:t>
      </w:r>
    </w:p>
    <w:p w14:paraId="518A2966"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Ефективно управление на средствата от Европейския съюз;</w:t>
      </w:r>
    </w:p>
    <w:p w14:paraId="3C6310A9"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Гарантиране на правовия ред в страната, борба с престъпността и ограничаване на корупцията;</w:t>
      </w:r>
    </w:p>
    <w:p w14:paraId="3F82FEBC" w14:textId="77777777" w:rsidR="00CC09AC" w:rsidRPr="009A0835" w:rsidRDefault="00CC09AC" w:rsidP="00CC09AC">
      <w:pPr>
        <w:numPr>
          <w:ilvl w:val="0"/>
          <w:numId w:val="33"/>
        </w:numPr>
        <w:tabs>
          <w:tab w:val="clear" w:pos="720"/>
          <w:tab w:val="num" w:pos="540"/>
          <w:tab w:val="left" w:pos="900"/>
        </w:tabs>
        <w:ind w:left="540"/>
        <w:jc w:val="both"/>
        <w:rPr>
          <w:iCs/>
        </w:rPr>
      </w:pPr>
      <w:r w:rsidRPr="009A0835">
        <w:t>Запазване на икономическата и финансова стабилност и създаване на условия за икономически растеж</w:t>
      </w:r>
      <w:r w:rsidRPr="009A0835">
        <w:rPr>
          <w:iCs/>
        </w:rPr>
        <w:t>;</w:t>
      </w:r>
    </w:p>
    <w:p w14:paraId="1F7335E2" w14:textId="77777777" w:rsidR="00CC09AC" w:rsidRPr="009A0835" w:rsidRDefault="00CC09AC" w:rsidP="00CC09AC">
      <w:pPr>
        <w:numPr>
          <w:ilvl w:val="0"/>
          <w:numId w:val="33"/>
        </w:numPr>
        <w:tabs>
          <w:tab w:val="clear" w:pos="720"/>
          <w:tab w:val="num" w:pos="540"/>
          <w:tab w:val="left" w:pos="900"/>
        </w:tabs>
        <w:ind w:left="540"/>
        <w:jc w:val="both"/>
        <w:rPr>
          <w:iCs/>
        </w:rPr>
      </w:pPr>
      <w:r w:rsidRPr="009A0835">
        <w:rPr>
          <w:iCs/>
        </w:rPr>
        <w:t>Реализиране на стратегията за усъвършенстване на данъчната система, осигуряваща повишаване събираемостта на данъците;</w:t>
      </w:r>
    </w:p>
    <w:p w14:paraId="21E6F2CC" w14:textId="77777777" w:rsidR="00CC09AC" w:rsidRDefault="00CC09AC" w:rsidP="00CC09AC">
      <w:pPr>
        <w:numPr>
          <w:ilvl w:val="0"/>
          <w:numId w:val="33"/>
        </w:numPr>
        <w:tabs>
          <w:tab w:val="clear" w:pos="720"/>
          <w:tab w:val="num" w:pos="540"/>
          <w:tab w:val="left" w:pos="900"/>
        </w:tabs>
        <w:ind w:left="540"/>
        <w:jc w:val="both"/>
        <w:rPr>
          <w:iCs/>
        </w:rPr>
      </w:pPr>
      <w:r w:rsidRPr="009A0835">
        <w:rPr>
          <w:iCs/>
        </w:rPr>
        <w:t>Провеждане на държавната митническа политика и координиране на връзките с международни организации по проблемите на митата и митническия контрол.</w:t>
      </w:r>
    </w:p>
    <w:p w14:paraId="33FD51D4" w14:textId="77777777" w:rsidR="00CC09AC" w:rsidRPr="00C72E65" w:rsidRDefault="00CC09AC" w:rsidP="00CC09AC">
      <w:pPr>
        <w:numPr>
          <w:ilvl w:val="0"/>
          <w:numId w:val="33"/>
        </w:numPr>
        <w:tabs>
          <w:tab w:val="clear" w:pos="720"/>
          <w:tab w:val="num" w:pos="540"/>
          <w:tab w:val="left" w:pos="900"/>
        </w:tabs>
        <w:ind w:left="540"/>
        <w:jc w:val="both"/>
        <w:rPr>
          <w:iCs/>
        </w:rPr>
      </w:pPr>
      <w:r w:rsidRPr="00C72E65">
        <w:rPr>
          <w:iCs/>
        </w:rPr>
        <w:t>Защита на класифицираната информация от нерегламентиран достъп и осигуряване на нейната еднаква защита;</w:t>
      </w:r>
    </w:p>
    <w:p w14:paraId="18390411" w14:textId="77777777" w:rsidR="00CC09AC" w:rsidRPr="00AD48F7" w:rsidRDefault="00CC09AC" w:rsidP="00CC09AC">
      <w:pPr>
        <w:numPr>
          <w:ilvl w:val="0"/>
          <w:numId w:val="33"/>
        </w:numPr>
        <w:tabs>
          <w:tab w:val="clear" w:pos="720"/>
          <w:tab w:val="num" w:pos="567"/>
          <w:tab w:val="left" w:pos="900"/>
        </w:tabs>
        <w:ind w:left="567" w:hanging="425"/>
        <w:jc w:val="both"/>
        <w:rPr>
          <w:iCs/>
        </w:rPr>
      </w:pPr>
      <w:r w:rsidRPr="00AD48F7">
        <w:rPr>
          <w:iCs/>
        </w:rPr>
        <w:t>Усъвършенстване, развитие, координация и общ контрол на националната система за защита на класифицираната информация чрез прилагане на мерки по персонална, документална, физическа, индустриална сигурност, сигурност на комуникационните и информационните системи и криптографска сигурност;</w:t>
      </w:r>
    </w:p>
    <w:p w14:paraId="5E5DAFAE" w14:textId="77777777" w:rsidR="00CC09AC" w:rsidRPr="00946C5E" w:rsidRDefault="00CC09AC" w:rsidP="00CC09AC">
      <w:pPr>
        <w:numPr>
          <w:ilvl w:val="0"/>
          <w:numId w:val="33"/>
        </w:numPr>
        <w:tabs>
          <w:tab w:val="clear" w:pos="720"/>
          <w:tab w:val="num" w:pos="540"/>
          <w:tab w:val="left" w:pos="900"/>
        </w:tabs>
        <w:ind w:left="540"/>
        <w:jc w:val="both"/>
        <w:rPr>
          <w:iCs/>
        </w:rPr>
      </w:pPr>
      <w:r w:rsidRPr="00AD48F7">
        <w:rPr>
          <w:iCs/>
        </w:rPr>
        <w:t>Усъвършенстване на системата за обучение по защита на класифицирана информация с цел изграждане на съзнание за сигурност у лицата, ангажирани с дейности по опазване и защита на класифицираната информация</w:t>
      </w:r>
      <w:r w:rsidRPr="00946C5E">
        <w:rPr>
          <w:iCs/>
        </w:rPr>
        <w:t>.</w:t>
      </w:r>
    </w:p>
    <w:p w14:paraId="4B298632" w14:textId="77777777" w:rsidR="00CC09AC" w:rsidRPr="007B48E9" w:rsidRDefault="00CC09AC" w:rsidP="00CC09AC">
      <w:pPr>
        <w:spacing w:before="120" w:after="120"/>
        <w:ind w:firstLine="540"/>
        <w:jc w:val="both"/>
        <w:rPr>
          <w:color w:val="0070C0"/>
        </w:rPr>
      </w:pPr>
      <w:r w:rsidRPr="00F21B00">
        <w:t xml:space="preserve">С разчетите към ЗДБРБ за 2022 г. по група „Изпълнителни и законодателни органи” </w:t>
      </w:r>
      <w:r w:rsidRPr="00F21B00">
        <w:rPr>
          <w:b/>
        </w:rPr>
        <w:t>за министерствата и ведомствата (вкл. за СП и НС)</w:t>
      </w:r>
      <w:r w:rsidRPr="00F21B00">
        <w:t xml:space="preserve"> са утвърдени средства в размер на 1 456,7 млн. лв. (вкл. средствата от резерва за непредвидени и неотложни разходи). Отчетените разходи за 2022 г. са в размер на 1 450,8 млн. лв., в т. ч.: на Сметната палата са 22,4 млн. лв. и на Народното събрание – 72,7 млн. лв. </w:t>
      </w:r>
    </w:p>
    <w:p w14:paraId="130DF9CB" w14:textId="77777777" w:rsidR="00CC09AC" w:rsidRPr="00765612" w:rsidRDefault="00CC09AC" w:rsidP="00CC09AC">
      <w:pPr>
        <w:spacing w:before="120" w:after="120"/>
        <w:ind w:firstLine="540"/>
        <w:jc w:val="both"/>
      </w:pPr>
      <w:r w:rsidRPr="00765612">
        <w:t>С извършените разходи през 2022 г. са постигнати следните резултати:</w:t>
      </w:r>
    </w:p>
    <w:p w14:paraId="1A349B1E"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Своевременно отчитане и превеждане на приходите от данъци и осигурителни вноски към държавния бюджет, бюджетите на Националния осигурителен институт и Националната здравноосигурителна каса, както и на осигурителните вноски за допълнителното задължително пенсионно осигуряване;</w:t>
      </w:r>
    </w:p>
    <w:p w14:paraId="6F2F947A"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Предоставяне на услуги, техническа помощ, документи и информация на клиентите на НАП;</w:t>
      </w:r>
    </w:p>
    <w:p w14:paraId="0F601092"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Подобряване на бизнес средата, стимулиране на икономическата активност и намаляване дела на сивата икономика;</w:t>
      </w:r>
    </w:p>
    <w:p w14:paraId="73687B71"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Намаляване на административната тежест и разходите за бизнеса и гражданите;</w:t>
      </w:r>
    </w:p>
    <w:p w14:paraId="0A54860E"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Подобряване на митническия контрол, повишаване на ефективността в борбата с митническите и валутни нарушения, засилване на дейността по противодействие на контрабандата и незаконния трафик на наркотични вещества, прекурсори и оръжия и технологии с двойна употреба;</w:t>
      </w:r>
    </w:p>
    <w:p w14:paraId="67A77F0E"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Ефективно прилагане на мерките по закрила на права върху интелектуалната собственост; Предприети са мерки за засилване и разширяване на въведения фискален контрол върху движението на стоки с висок фискален риск на територията на Република България;</w:t>
      </w:r>
    </w:p>
    <w:p w14:paraId="1FC2303A"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Ефективно събиране и превеждане на приходите от акцизи в държавния бюджет;</w:t>
      </w:r>
    </w:p>
    <w:p w14:paraId="77C0E95F"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Извършване на основен ремонт на имоти в чужбина на МВнР;</w:t>
      </w:r>
    </w:p>
    <w:p w14:paraId="3EC5EC94"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Централната избирателна комисия – Подготвяне и произвеждане на изборите за народни представители  на 2 октомври 2022 г. и за частичните избори за кметове на 09 и 23 октомври 2022 г.</w:t>
      </w:r>
      <w:r>
        <w:rPr>
          <w:iCs/>
        </w:rPr>
        <w:t xml:space="preserve"> </w:t>
      </w:r>
      <w:r w:rsidRPr="00E038CB">
        <w:rPr>
          <w:iCs/>
        </w:rPr>
        <w:t>- 17,8 млн. лв.  от които 17,5 млн. лв. за материално-техническо осигуряване на изборния процес- отпечатване на хартиени бюлетини</w:t>
      </w:r>
      <w:r>
        <w:rPr>
          <w:iCs/>
        </w:rPr>
        <w:t xml:space="preserve"> </w:t>
      </w:r>
      <w:r w:rsidRPr="00E038CB">
        <w:rPr>
          <w:iCs/>
        </w:rPr>
        <w:t>(2,3 млн. лв.); техническо осигуряване на машинното гласуване (9,4 млн. лв.); компютърна обработка на данните от гласуването и издаването на бюлетин с резултатите</w:t>
      </w:r>
      <w:r>
        <w:rPr>
          <w:iCs/>
        </w:rPr>
        <w:t xml:space="preserve"> </w:t>
      </w:r>
      <w:r w:rsidRPr="00E038CB">
        <w:rPr>
          <w:iCs/>
        </w:rPr>
        <w:t>(4,6 млн. лв. )</w:t>
      </w:r>
    </w:p>
    <w:p w14:paraId="4A11C866" w14:textId="77777777" w:rsidR="00CC09AC" w:rsidRPr="00E038CB" w:rsidRDefault="00CC09AC" w:rsidP="00BD39E0">
      <w:pPr>
        <w:pStyle w:val="ListParagraph"/>
        <w:numPr>
          <w:ilvl w:val="0"/>
          <w:numId w:val="46"/>
        </w:numPr>
        <w:spacing w:before="120" w:after="120"/>
        <w:ind w:left="993" w:hanging="426"/>
        <w:jc w:val="both"/>
        <w:rPr>
          <w:iCs/>
        </w:rPr>
      </w:pPr>
      <w:r w:rsidRPr="00E038CB">
        <w:rPr>
          <w:iCs/>
        </w:rPr>
        <w:t>През отчетния период се проведоха парламентарни избори и назначаване на служебно правителство.</w:t>
      </w:r>
    </w:p>
    <w:p w14:paraId="2741DAB5" w14:textId="77777777" w:rsidR="00CC09AC" w:rsidRPr="00E038CB" w:rsidRDefault="00CC09AC" w:rsidP="00BD39E0">
      <w:pPr>
        <w:pStyle w:val="ListParagraph"/>
        <w:numPr>
          <w:ilvl w:val="0"/>
          <w:numId w:val="46"/>
        </w:numPr>
        <w:spacing w:before="120" w:after="120"/>
        <w:ind w:left="993" w:hanging="426"/>
        <w:contextualSpacing w:val="0"/>
        <w:jc w:val="both"/>
        <w:rPr>
          <w:iCs/>
        </w:rPr>
      </w:pPr>
      <w:r w:rsidRPr="00E038CB">
        <w:rPr>
          <w:iCs/>
        </w:rPr>
        <w:t>Осигуряване на необходимия финансов ресурс за работни заплати, социални осигуровки и средства за издръжка за нормалното функциониране на държавната администрация.</w:t>
      </w:r>
    </w:p>
    <w:p w14:paraId="24700994" w14:textId="77777777" w:rsidR="00CC09AC" w:rsidRPr="007B48E9" w:rsidRDefault="00CC09AC" w:rsidP="009330DE">
      <w:pPr>
        <w:ind w:firstLine="709"/>
        <w:jc w:val="both"/>
        <w:rPr>
          <w:color w:val="0070C0"/>
        </w:rPr>
      </w:pPr>
      <w:r w:rsidRPr="00ED6E83">
        <w:t xml:space="preserve">С разчетите към ЗДБРБ за 2022 г. за група “Изпълнителни и законодателни органи” </w:t>
      </w:r>
      <w:r w:rsidRPr="00ED6E83">
        <w:rPr>
          <w:b/>
        </w:rPr>
        <w:t>за общинските бюджети</w:t>
      </w:r>
      <w:r w:rsidRPr="00ED6E83">
        <w:t xml:space="preserve"> са предвидени общо средства в размер на 780,7 млн. лв. В централния бюджет</w:t>
      </w:r>
      <w:r w:rsidRPr="00ED6E83">
        <w:rPr>
          <w:bCs/>
        </w:rPr>
        <w:t xml:space="preserve"> бяха предвидени средствата за </w:t>
      </w:r>
      <w:r w:rsidRPr="00ED6E83">
        <w:t>възнаграждения на членовете на одитните комитети, съгласно чл.</w:t>
      </w:r>
      <w:r w:rsidRPr="00ED6E83">
        <w:rPr>
          <w:lang w:val="en-US"/>
        </w:rPr>
        <w:t> </w:t>
      </w:r>
      <w:r w:rsidRPr="00ED6E83">
        <w:t>18 от Закона за вътрешния одит в публичния сектор.</w:t>
      </w:r>
    </w:p>
    <w:p w14:paraId="792C329A" w14:textId="35F1B298" w:rsidR="00CC09AC" w:rsidRPr="007B48E9" w:rsidRDefault="00CC09AC" w:rsidP="00CC09AC">
      <w:pPr>
        <w:spacing w:after="120"/>
        <w:ind w:firstLine="709"/>
        <w:jc w:val="both"/>
        <w:rPr>
          <w:color w:val="0070C0"/>
        </w:rPr>
      </w:pPr>
      <w:r w:rsidRPr="00975EF0">
        <w:t xml:space="preserve">Отчетените разходи за годината са в размер на 978,9 млн. лв. или 125,4 % спрямо предвидените общо средства през 2022 г. за общините (по общинските бюджети и в централен бюджет). Отчетените </w:t>
      </w:r>
      <w:r w:rsidRPr="00975EF0">
        <w:rPr>
          <w:i/>
        </w:rPr>
        <w:t>текущи разходи</w:t>
      </w:r>
      <w:r w:rsidRPr="00975EF0">
        <w:t xml:space="preserve"> по общинските бюджети за група</w:t>
      </w:r>
      <w:r w:rsidRPr="00205D4B">
        <w:t xml:space="preserve"> „Изпълнителни и законодателни органи” са в размер на 948,0 млн. лв., което е 126,7 % спрямо общия размер на разчетените средства за 2022 г.  Отчетените </w:t>
      </w:r>
      <w:r w:rsidRPr="00205D4B">
        <w:rPr>
          <w:i/>
        </w:rPr>
        <w:t>капиталови разходи</w:t>
      </w:r>
      <w:r w:rsidRPr="00205D4B">
        <w:t xml:space="preserve"> в тази група са в размер на </w:t>
      </w:r>
      <w:r w:rsidRPr="00205D4B">
        <w:rPr>
          <w:lang w:val="ru-RU"/>
        </w:rPr>
        <w:t>30,9</w:t>
      </w:r>
      <w:r w:rsidRPr="00205D4B">
        <w:t xml:space="preserve"> млн. лв. или 95,</w:t>
      </w:r>
      <w:r w:rsidR="00085961">
        <w:t>4</w:t>
      </w:r>
      <w:r w:rsidRPr="00205D4B">
        <w:t xml:space="preserve"> % спрямо разчета. В </w:t>
      </w:r>
      <w:r w:rsidRPr="00205D4B">
        <w:rPr>
          <w:i/>
        </w:rPr>
        <w:t>делегираните от държавата дейности</w:t>
      </w:r>
      <w:r w:rsidRPr="00205D4B">
        <w:t xml:space="preserve"> за текущи разходи са отчетени средства в размер на 499,1</w:t>
      </w:r>
      <w:r w:rsidRPr="00205D4B">
        <w:rPr>
          <w:lang w:val="ru-RU"/>
        </w:rPr>
        <w:t xml:space="preserve"> </w:t>
      </w:r>
      <w:r w:rsidRPr="00205D4B">
        <w:t>млн. лв.</w:t>
      </w:r>
      <w:r>
        <w:t xml:space="preserve">, което е 114,9 % спрямо размера на разчетените средства със ЗДБРБ. </w:t>
      </w:r>
      <w:r w:rsidRPr="00205D4B">
        <w:t xml:space="preserve">През 2022 г. общините са </w:t>
      </w:r>
      <w:r w:rsidRPr="00DE189E">
        <w:rPr>
          <w:i/>
        </w:rPr>
        <w:t>дофинансирали държавните дейности</w:t>
      </w:r>
      <w:r w:rsidRPr="00DE189E">
        <w:t xml:space="preserve"> със собствени приходи в размер на 127,3 млн. лв. В </w:t>
      </w:r>
      <w:r w:rsidRPr="00DE189E">
        <w:rPr>
          <w:i/>
        </w:rPr>
        <w:t>местните дейности</w:t>
      </w:r>
      <w:r w:rsidRPr="00DE189E">
        <w:t xml:space="preserve"> за групата са отчетени текущи разходи в размер на 321,6 млн. лв., което представлява 102,4 % спрямо планираните средства. В тази група са отчетени възнагражденията на председателите на общинските съвети и на общинските съветници и издръжката на общинската администрация</w:t>
      </w:r>
      <w:r w:rsidRPr="00DE189E" w:rsidDel="00E83A64">
        <w:t xml:space="preserve">. </w:t>
      </w:r>
    </w:p>
    <w:p w14:paraId="2F9E34DC" w14:textId="77777777" w:rsidR="00CC09AC" w:rsidRPr="007B48E9" w:rsidRDefault="00CC09AC" w:rsidP="00CC09AC">
      <w:pPr>
        <w:ind w:firstLine="709"/>
        <w:jc w:val="both"/>
        <w:rPr>
          <w:color w:val="0070C0"/>
          <w:sz w:val="8"/>
          <w:szCs w:val="8"/>
        </w:rPr>
      </w:pPr>
    </w:p>
    <w:p w14:paraId="635E9996" w14:textId="77777777" w:rsidR="00CC09AC" w:rsidRPr="00DE189E" w:rsidRDefault="00CC09AC" w:rsidP="009330DE">
      <w:pPr>
        <w:pStyle w:val="BodyTextIndent2"/>
        <w:spacing w:after="0" w:line="240" w:lineRule="auto"/>
        <w:ind w:left="0" w:firstLine="709"/>
        <w:jc w:val="both"/>
      </w:pPr>
      <w:r w:rsidRPr="00DE189E">
        <w:rPr>
          <w:b/>
        </w:rPr>
        <w:t>Европейски средства</w:t>
      </w:r>
      <w:r w:rsidRPr="00DE189E">
        <w:t xml:space="preserve"> – изразходваните средства в група „Изпълнителни и законодателни органи” са в размер на 141,2 млн. лв. и са основно по следните оперативни и други програми на ЕС: </w:t>
      </w:r>
    </w:p>
    <w:p w14:paraId="3F36FC23" w14:textId="77777777" w:rsidR="00CC09AC" w:rsidRPr="00DB083D" w:rsidRDefault="00CC09AC" w:rsidP="009330DE">
      <w:pPr>
        <w:autoSpaceDE w:val="0"/>
        <w:autoSpaceDN w:val="0"/>
        <w:adjustRightInd w:val="0"/>
        <w:ind w:firstLine="709"/>
        <w:jc w:val="both"/>
      </w:pPr>
      <w:r w:rsidRPr="00DB083D">
        <w:rPr>
          <w:b/>
          <w:i/>
        </w:rPr>
        <w:t xml:space="preserve">Оперативна програма „Наука и образование за интелигентен растеж“ </w:t>
      </w:r>
      <w:r w:rsidRPr="00DB083D">
        <w:t>– изразходваните средства по програмата през 2022 г. за група “Изпълнителни и законодателни органи” са в размер на 45,5 млн. лв. Едни от основните цели на тази оперативна програма са осигуряване на достъп до качествено образование и изграждане на научен, изследователски и иновационен потенциал в Република България. Оперативна програма "Наука и образование за интелигентен растеж" е насочена</w:t>
      </w:r>
      <w:r w:rsidRPr="00DB083D">
        <w:rPr>
          <w:b/>
          <w:i/>
        </w:rPr>
        <w:t xml:space="preserve"> </w:t>
      </w:r>
      <w:r w:rsidRPr="00DB083D">
        <w:t>към:</w:t>
      </w:r>
      <w:r w:rsidRPr="00DB083D">
        <w:rPr>
          <w:b/>
          <w:i/>
        </w:rPr>
        <w:t xml:space="preserve"> </w:t>
      </w:r>
      <w:r w:rsidRPr="00DB083D">
        <w:t xml:space="preserve">създаване на условия за развитие на интелигентна икономика /развитие на научно-изследователския потенциал и качество на висшето образование/; достъп до и качество на ученето през целия живот; професионално образование и обучение. Това са основни дейности за преодоляване пропастта между научноизследователската и образователната системи, от една страна, и нуждите на бизнеса и пазара на труда, от друга страна. Чрез ресурса на оперативната програма се прилагат целенасочени мерки за развитие на капацитет за научноизследователската и развойната дейност в приоритетни области.  Необходимо е да се увеличи значително финансирането на научните изследвания и развойните дейности, чрез мобилизиране на публични и частни инвестиции, със специален фокус върху върховите научни изследвания. Чрез оперативна програма "Наука и образование за интелигентен растеж" се полагат специални усилия за сближаване на интересите на научните организации и бизнеса, както и активно да бъде подкрепяно и стимулирано тяхното сътрудничество. Един от основните приоритети е свързан със системна подкрепа на пазарно-ориентирани научноизследователски и развойни дейности, за да се подобри конкурентоспособността на българската научноизследователска система и на икономиката като цяло. Част от основните дейности в това функционално направление по Оперативна програма "Наука и образование за интелигентен растеж" са свързани с адекватни институционални мерки във висшите училища и научно-изследователските организации за създаване на подходяща среда за изследвания и за кариерно развитие на изследователите. Това включва: прозрачна и модерна рамка за кариерно развитие; висока мобилност, включително международни обучения и междусекторна мобилност в рамките на академичната им подготовка; инвестиране в интердисциплинарни и предприемачески умения, като защита правата върху интелектуалната собственост, разработване на бизнес планове и мениджърски умения, необходими за стартиране на предприятия. </w:t>
      </w:r>
    </w:p>
    <w:p w14:paraId="3B73B317" w14:textId="406675BF" w:rsidR="00CC09AC" w:rsidRPr="00DB083D" w:rsidRDefault="00CC09AC" w:rsidP="009330DE">
      <w:pPr>
        <w:autoSpaceDE w:val="0"/>
        <w:autoSpaceDN w:val="0"/>
        <w:adjustRightInd w:val="0"/>
        <w:ind w:firstLine="709"/>
        <w:jc w:val="both"/>
      </w:pPr>
      <w:r w:rsidRPr="00DB083D">
        <w:rPr>
          <w:b/>
          <w:i/>
        </w:rPr>
        <w:t xml:space="preserve">Оперативна програма „Добро управление” – </w:t>
      </w:r>
      <w:r w:rsidRPr="00DB083D">
        <w:t xml:space="preserve">изразходваните средства за група “Изпълнителни и законодателни органи” са в размер на 31,6 млн. лева. Една от основните цели на програмата е принос за изпълнението на стратегията на ЕС за интелигентен, устойчив и приобщаващ растеж и за постигането на икономическо, социално и териториално сближаване. На национално ниво оперативна програма „Добро управление”  </w:t>
      </w:r>
      <w:r w:rsidR="00E073F5" w:rsidRPr="00E073F5">
        <w:t>е основният инструмент на Република България за реализиране на административната и съдебната реформа и въвеждането на електронното управление. По нея се финансират и част от мерките от Националната програма за реформи за подобряване на бизнес средата и модернизация на публичната администрация с цел повишаване конкурентоспособността на българската икономика. Разработена е в партньорство с всички заинтересовани страни от администрацията, съдебната система и гражданския сектор.</w:t>
      </w:r>
    </w:p>
    <w:p w14:paraId="60AA542B" w14:textId="1408EEEB" w:rsidR="00CC09AC" w:rsidRPr="003E4FBF" w:rsidRDefault="00CC09AC" w:rsidP="00CC09AC">
      <w:pPr>
        <w:autoSpaceDE w:val="0"/>
        <w:autoSpaceDN w:val="0"/>
        <w:adjustRightInd w:val="0"/>
        <w:spacing w:before="120"/>
        <w:ind w:firstLine="709"/>
        <w:jc w:val="both"/>
      </w:pPr>
      <w:r w:rsidRPr="003E4FBF">
        <w:t>Към 31.12.2022 г. договорените средства по ОП „Добро управление” са 9</w:t>
      </w:r>
      <w:r w:rsidR="00E073F5" w:rsidRPr="003E4FBF">
        <w:t>7,9</w:t>
      </w:r>
      <w:r w:rsidRPr="003E4FBF">
        <w:rPr>
          <w:lang w:val="ru-RU"/>
        </w:rPr>
        <w:t xml:space="preserve"> </w:t>
      </w:r>
      <w:r w:rsidRPr="003E4FBF">
        <w:t xml:space="preserve">% от бюджета на програмата, изплатените средства са </w:t>
      </w:r>
      <w:r w:rsidR="00E073F5" w:rsidRPr="003E4FBF">
        <w:t>7</w:t>
      </w:r>
      <w:r w:rsidRPr="003E4FBF">
        <w:t xml:space="preserve">7,1 % от бюджета, а сертифицираните – </w:t>
      </w:r>
      <w:r w:rsidR="00E073F5" w:rsidRPr="003E4FBF">
        <w:t>73,2 процента</w:t>
      </w:r>
      <w:r w:rsidRPr="003E4FBF">
        <w:t>.</w:t>
      </w:r>
    </w:p>
    <w:p w14:paraId="016BD529" w14:textId="77777777" w:rsidR="00CC09AC" w:rsidRDefault="00CC09AC" w:rsidP="009330DE">
      <w:pPr>
        <w:autoSpaceDE w:val="0"/>
        <w:autoSpaceDN w:val="0"/>
        <w:adjustRightInd w:val="0"/>
        <w:ind w:firstLine="709"/>
        <w:jc w:val="both"/>
      </w:pPr>
      <w:r w:rsidRPr="00E073F5">
        <w:rPr>
          <w:b/>
          <w:i/>
        </w:rPr>
        <w:t xml:space="preserve">Оперативна програма </w:t>
      </w:r>
      <w:r w:rsidRPr="00DB083D">
        <w:rPr>
          <w:b/>
          <w:i/>
        </w:rPr>
        <w:t xml:space="preserve">„Региони в растеж” - </w:t>
      </w:r>
      <w:r w:rsidRPr="00DB083D">
        <w:t>тази програма е насочена към регионалното развитие и по-конкретно към постигане на целите на градската политика в България. Един от основните приоритети на оперативната програма е насочен към укрепване и развитие на полицентричната система в страната чрез специална насоченост към градското развитие на големите и средните градове, които влизат в нея. Чрез оперативна програма „Региони в растеж” се цели изпълнение на интегрирани проекти за постигане на взаимодействие и взаимно допълване между различните видове мерки, като основна инфраструктура за по-добра градска среда, енергийна ефективност, образователна, социална, спортна и културна инфраструктура и интегриран градски транспорт. Една от основните цели на програмата в това функционално направление е насочена към укрепване и повишаване на институционалния капацитет на Управляващия орган на оперативната програма. Търсеният резултат е осъществяване на безпрепятствено изпълнение, наблюдение, оценка, информация и контрол на програмата, осигурявайки по този начин високо ниво на усвояване на фондовете от ЕС. Най-добрите практики от периода 2007-2013 г. продължават и през следващия програмен период, като системата за обучение и квалификация на служителите на Управляващия орган, осигуряване на външно обучение за извършването на проверки на място, осигуряване на добри условия за работа и архивиране, както и на необходимото оборудване. За доброто изпълнение на оперативната програма се цели подсилена експертиза в специфични области, като обществени поръчки, държавни помощи и финансови инструменти. Друга цел на програмата е свързана с подобряване на административния капацитет на бенефициентите (министерства, ведомства и общини на големите и средните градове), за да могат ефикасно да я прилагат. Изразходваните средства по Оперативна програма „Региони в растеж”</w:t>
      </w:r>
      <w:r w:rsidRPr="00DB083D">
        <w:rPr>
          <w:i/>
        </w:rPr>
        <w:t xml:space="preserve"> </w:t>
      </w:r>
      <w:r w:rsidRPr="00DB083D">
        <w:t xml:space="preserve">за група “Изпълнителни и законодателни органи” са в размер на </w:t>
      </w:r>
      <w:r>
        <w:t>21</w:t>
      </w:r>
      <w:r w:rsidRPr="00DB083D">
        <w:t xml:space="preserve">,6 млн. лева. </w:t>
      </w:r>
      <w:r w:rsidRPr="004D5FFC">
        <w:rPr>
          <w:lang w:val="ru-RU"/>
        </w:rPr>
        <w:t>(</w:t>
      </w:r>
      <w:r>
        <w:t>от които 20,8 млн. лв. са от програмен период 2014 - 2020 и 0,8 млн. лв. са от програмен период 2007 - 2013</w:t>
      </w:r>
      <w:r w:rsidRPr="004D5FFC">
        <w:rPr>
          <w:lang w:val="ru-RU"/>
        </w:rPr>
        <w:t>)</w:t>
      </w:r>
      <w:r>
        <w:t>.</w:t>
      </w:r>
    </w:p>
    <w:p w14:paraId="20DD29B6" w14:textId="5C532E70" w:rsidR="00CC09AC" w:rsidRPr="00C92558" w:rsidRDefault="00CC09AC" w:rsidP="009330DE">
      <w:pPr>
        <w:autoSpaceDE w:val="0"/>
        <w:autoSpaceDN w:val="0"/>
        <w:adjustRightInd w:val="0"/>
        <w:ind w:firstLine="709"/>
        <w:jc w:val="both"/>
      </w:pPr>
      <w:r w:rsidRPr="00C92558">
        <w:rPr>
          <w:b/>
          <w:i/>
        </w:rPr>
        <w:t xml:space="preserve">Оперативна програма „Развитие на човешките ресурси” - </w:t>
      </w:r>
      <w:r w:rsidRPr="00C92558">
        <w:t xml:space="preserve">програмата финансира дейности за развитието на човешките ресурси в структурите на държавната администрация и гражданското общество. Стратегията на програмата е изградена на идеята, че преодоляването на предизвикателствата в обществения сектор като цяло не е възможно без наличието на добре функциониращи, ефективни и ефикасни публични институции. Необходимите реформи не могат да бъдат лесно проведени, ако институционалната рамка не създава нужните условия. Ето защо продължават инвестициите в капацитета на институциите, в т.ч. в сферата на социалното включване, здравеопазването, равните възможности и недискриминацията и условията на труд. Подкрепата за социалните иновации е важна част от стратегията на програмата за модернизиране на публичните политики. Те могат да бъдат приложени във всички области, попадащи в обхвата на програмата, в т.ч. за подобряване пригодността за заетост на работната сила, активното включване, улесняване достъпа до социални и здравни услуги, ранното детско развитие, удължаване на трудовия живот в добро здраве и др. Оперативна програма „Развитие на човешките ресурси” оказва подкрепа за транснационалното сътрудничество между организации от България и други държави - членки на ЕС. Изразходваните средства по </w:t>
      </w:r>
      <w:r w:rsidRPr="00C92558">
        <w:rPr>
          <w:i/>
        </w:rPr>
        <w:t xml:space="preserve">Оперативна програма „Развитие на човешките ресурси” </w:t>
      </w:r>
      <w:r w:rsidRPr="00C92558">
        <w:t>за група “Изпълнителни и законодателни органи” са в размер на 14,</w:t>
      </w:r>
      <w:r w:rsidR="002F1B2B">
        <w:t>0</w:t>
      </w:r>
      <w:r w:rsidRPr="00C92558">
        <w:t xml:space="preserve"> млн. лева </w:t>
      </w:r>
      <w:r w:rsidRPr="004D5FFC">
        <w:rPr>
          <w:lang w:val="ru-RU"/>
        </w:rPr>
        <w:t>(</w:t>
      </w:r>
      <w:r w:rsidRPr="00C92558">
        <w:t xml:space="preserve">в т. ч. </w:t>
      </w:r>
      <w:r>
        <w:t>2,</w:t>
      </w:r>
      <w:r w:rsidR="002F1B2B">
        <w:t>3</w:t>
      </w:r>
      <w:r>
        <w:t xml:space="preserve"> млн. лв. са отчетени</w:t>
      </w:r>
      <w:r w:rsidRPr="00C92558">
        <w:t xml:space="preserve"> средства от предходните програмни периоди</w:t>
      </w:r>
      <w:r w:rsidRPr="004D5FFC">
        <w:rPr>
          <w:lang w:val="ru-RU"/>
        </w:rPr>
        <w:t>)</w:t>
      </w:r>
      <w:r w:rsidRPr="00C92558">
        <w:t>.</w:t>
      </w:r>
    </w:p>
    <w:p w14:paraId="5F95FE36" w14:textId="77777777" w:rsidR="00CC09AC" w:rsidRDefault="00CC09AC" w:rsidP="009330DE">
      <w:pPr>
        <w:ind w:firstLine="709"/>
        <w:jc w:val="both"/>
      </w:pPr>
      <w:r w:rsidRPr="00CB7244">
        <w:rPr>
          <w:b/>
          <w:i/>
        </w:rPr>
        <w:t xml:space="preserve">Оперативна програма „Иновации и конкурентоспособност“ </w:t>
      </w:r>
      <w:r w:rsidRPr="00CB7244">
        <w:t>– стратегията на програмата е тясно свързана с целта за растеж и заетост и приноса на България за постигането на трите взаимно допълващи се типа растеж според „Европа 2020: интелигентен растеж (изграждане на икономика, основаваща се на знания и иновации); устойчив растеж (насърчаване на по-екологична и по-конкурентоспособна икономика с по-ефективно използване на ресурсите); приобщаващ растеж (стимулиране на икономика с високи равнища на заетост, която да доведе до социално и териториално сближаване). Дейностите по Оперативна програма "Иновации и конкурентоспособност" са свързани със засилването на дългосрочната конкурентоспособност на българските предприятия в ясен синхрон с европейската индустриална политика. В тази насока програмата има основна роля относно целенасоченото въздействие по отношение на иновационното представяне на България. Изразходваните средства по програмата за група “Изпълнителни и законодателни органи” са в размер на 9,9 млн. лева.</w:t>
      </w:r>
    </w:p>
    <w:p w14:paraId="184653D2" w14:textId="77777777" w:rsidR="00CC09AC" w:rsidRDefault="00CC09AC" w:rsidP="009330DE">
      <w:pPr>
        <w:ind w:firstLine="709"/>
        <w:jc w:val="both"/>
      </w:pPr>
      <w:r w:rsidRPr="00D70347">
        <w:rPr>
          <w:b/>
          <w:i/>
        </w:rPr>
        <w:t>Европейски средства, отпуснати от ДФЗ-РА</w:t>
      </w:r>
      <w:r w:rsidRPr="00D70347">
        <w:t xml:space="preserve"> – </w:t>
      </w:r>
      <w:r>
        <w:t>5,9</w:t>
      </w:r>
      <w:r w:rsidRPr="00D70347">
        <w:t xml:space="preserve"> млн. лв., като това са средства основно за общините (в качеството им на бенефициенти).</w:t>
      </w:r>
    </w:p>
    <w:p w14:paraId="5D0A5430" w14:textId="77777777" w:rsidR="00CC09AC" w:rsidRPr="00D70347" w:rsidRDefault="00CC09AC" w:rsidP="009330DE">
      <w:pPr>
        <w:spacing w:after="120"/>
        <w:ind w:firstLine="709"/>
        <w:jc w:val="both"/>
      </w:pPr>
      <w:r w:rsidRPr="00D70347">
        <w:rPr>
          <w:b/>
          <w:i/>
        </w:rPr>
        <w:t>Разходи по др. програми и проекти, финансирани от фондове и институции на ЕС</w:t>
      </w:r>
      <w:r w:rsidRPr="00D70347">
        <w:t xml:space="preserve">  - </w:t>
      </w:r>
      <w:r>
        <w:t>5,4</w:t>
      </w:r>
      <w:r w:rsidRPr="00D70347">
        <w:t xml:space="preserve"> млн. лв. </w:t>
      </w:r>
    </w:p>
    <w:p w14:paraId="704C986A" w14:textId="77777777" w:rsidR="00CC09AC" w:rsidRPr="005A67F9" w:rsidRDefault="00CC09AC" w:rsidP="00CC09AC">
      <w:pPr>
        <w:spacing w:before="240"/>
        <w:ind w:firstLine="709"/>
        <w:jc w:val="both"/>
        <w:rPr>
          <w:b/>
        </w:rPr>
      </w:pPr>
      <w:r w:rsidRPr="005A67F9">
        <w:rPr>
          <w:b/>
        </w:rPr>
        <w:t xml:space="preserve">Група Б: </w:t>
      </w:r>
      <w:r w:rsidRPr="005A67F9">
        <w:rPr>
          <w:b/>
          <w:i/>
        </w:rPr>
        <w:t>„Общи служби”</w:t>
      </w:r>
    </w:p>
    <w:p w14:paraId="458018B0" w14:textId="77777777" w:rsidR="00CC09AC" w:rsidRPr="005A67F9" w:rsidRDefault="00CC09AC" w:rsidP="00CC09AC">
      <w:pPr>
        <w:spacing w:before="120"/>
        <w:ind w:right="-159" w:firstLine="709"/>
        <w:jc w:val="both"/>
      </w:pPr>
      <w:r w:rsidRPr="005A67F9">
        <w:t xml:space="preserve">С разчетите към ЗДБРБ за 2022 г. за група “Общи служби“ на консолидирано ниво са планирани 179,8 млн. лв., а отчетените разходи за групата са 227,5 млн. лв. </w:t>
      </w:r>
    </w:p>
    <w:p w14:paraId="5E3FED48" w14:textId="77777777" w:rsidR="00CC09AC" w:rsidRPr="005A67F9" w:rsidRDefault="00CC09AC" w:rsidP="00CC09AC">
      <w:pPr>
        <w:ind w:right="-157" w:firstLine="709"/>
        <w:jc w:val="both"/>
      </w:pPr>
      <w:r w:rsidRPr="005A67F9">
        <w:t>Отговорните администрации, ангажирани с изпълнението на функции, дейности и задачи в група „Общи служби” през 2022 г., са първостепенните разпоредители с бюджет - Министерски съвет, Министерство на финансите, Министерство на външните работи, Министерство на правосъдието, Министерство на икономиката и индустрията,  Министерство на иновациите и растежа, Министерство на регионалното развитие и благоустройството, Министерство на младежта и спорта, Националния статистически институт, Държавната агенция „Държавен резерв и военновременни запаси” и Народното събрание.</w:t>
      </w:r>
    </w:p>
    <w:p w14:paraId="557EB8B9" w14:textId="77777777" w:rsidR="00CC09AC" w:rsidRPr="007B48E9" w:rsidRDefault="00CC09AC" w:rsidP="00CC09AC">
      <w:pPr>
        <w:ind w:right="-157" w:firstLine="709"/>
        <w:jc w:val="both"/>
        <w:rPr>
          <w:color w:val="0070C0"/>
        </w:rPr>
      </w:pPr>
      <w:r w:rsidRPr="00EB5510">
        <w:t xml:space="preserve">С най-голям относителен дял в разходите за група „Общи служби” са разходите по системите </w:t>
      </w:r>
      <w:r w:rsidRPr="00EB5510">
        <w:rPr>
          <w:b/>
        </w:rPr>
        <w:t xml:space="preserve">на министерствата и ведомствата </w:t>
      </w:r>
      <w:r w:rsidRPr="00EB5510">
        <w:t>(вкл. Народното събрание)</w:t>
      </w:r>
      <w:r w:rsidRPr="00EB5510">
        <w:rPr>
          <w:b/>
        </w:rPr>
        <w:t xml:space="preserve"> </w:t>
      </w:r>
      <w:r w:rsidRPr="00EB5510">
        <w:t>– отчетените разходи за годината са в размер на 213,6 млн. лв., което е 93,9 % от общо разходите за групата. Разходите в групата са за:</w:t>
      </w:r>
    </w:p>
    <w:p w14:paraId="79817BAD" w14:textId="77777777" w:rsidR="00CC09AC" w:rsidRPr="00893607" w:rsidRDefault="00CC09AC" w:rsidP="00CC09AC">
      <w:pPr>
        <w:pStyle w:val="ListParagraph"/>
        <w:numPr>
          <w:ilvl w:val="0"/>
          <w:numId w:val="14"/>
        </w:numPr>
        <w:ind w:left="720" w:right="-157" w:hanging="180"/>
        <w:jc w:val="both"/>
      </w:pPr>
      <w:r w:rsidRPr="00893607">
        <w:t>изпълнението на Националната статистическа програма;</w:t>
      </w:r>
    </w:p>
    <w:p w14:paraId="7772A051" w14:textId="77777777" w:rsidR="00CC09AC" w:rsidRPr="00893607" w:rsidRDefault="00CC09AC" w:rsidP="00CC09AC">
      <w:pPr>
        <w:pStyle w:val="ListParagraph"/>
        <w:numPr>
          <w:ilvl w:val="0"/>
          <w:numId w:val="14"/>
        </w:numPr>
        <w:ind w:left="720" w:right="-157" w:hanging="180"/>
        <w:jc w:val="both"/>
      </w:pPr>
      <w:r w:rsidRPr="00893607">
        <w:t xml:space="preserve">осигуряване на правна сигурност на процесите, свързани с кредитирането и стимулиране на инвестициите, за привличане на чуждестранни инвестиции чрез организиране и участие в бизнес и инвестиционни форуми, информационни кампании и др.; </w:t>
      </w:r>
    </w:p>
    <w:p w14:paraId="037D4907" w14:textId="77777777" w:rsidR="00CC09AC" w:rsidRPr="00893607" w:rsidRDefault="00CC09AC" w:rsidP="00CC09AC">
      <w:pPr>
        <w:pStyle w:val="ListParagraph"/>
        <w:numPr>
          <w:ilvl w:val="0"/>
          <w:numId w:val="14"/>
        </w:numPr>
        <w:ind w:left="720" w:right="-157" w:hanging="180"/>
        <w:jc w:val="both"/>
      </w:pPr>
      <w:r w:rsidRPr="00893607">
        <w:t xml:space="preserve">натрупване, съхраняване и използване на държавните резерви и военновременните запаси на страната в съответствие с изискванията на националната сигурност, както и за създаване на задължителни запаси от нефт и нефтопродукти; </w:t>
      </w:r>
    </w:p>
    <w:p w14:paraId="78673FEC" w14:textId="77777777" w:rsidR="00CC09AC" w:rsidRPr="00893607" w:rsidRDefault="00CC09AC" w:rsidP="00CC09AC">
      <w:pPr>
        <w:pStyle w:val="ListParagraph"/>
        <w:numPr>
          <w:ilvl w:val="0"/>
          <w:numId w:val="14"/>
        </w:numPr>
        <w:ind w:left="720" w:right="-157" w:hanging="180"/>
        <w:jc w:val="both"/>
      </w:pPr>
      <w:r w:rsidRPr="00893607">
        <w:t>финансиране на концесионната дейност;</w:t>
      </w:r>
    </w:p>
    <w:p w14:paraId="2C0C2B49" w14:textId="77777777" w:rsidR="00CC09AC" w:rsidRPr="00893607" w:rsidRDefault="00CC09AC" w:rsidP="00CC09AC">
      <w:pPr>
        <w:pStyle w:val="ListParagraph"/>
        <w:numPr>
          <w:ilvl w:val="0"/>
          <w:numId w:val="14"/>
        </w:numPr>
        <w:ind w:left="720" w:right="-157" w:hanging="180"/>
        <w:jc w:val="both"/>
      </w:pPr>
      <w:r w:rsidRPr="00893607">
        <w:t>осъществяване на методическото ръководство и контрола на дейностите, свързани с гражданското състояние, гражданската регистрация и автоматизираните информационни фондове;</w:t>
      </w:r>
    </w:p>
    <w:p w14:paraId="69E54E62" w14:textId="77777777" w:rsidR="00CC09AC" w:rsidRPr="00893607" w:rsidRDefault="00CC09AC" w:rsidP="00CC09AC">
      <w:pPr>
        <w:pStyle w:val="ListParagraph"/>
        <w:numPr>
          <w:ilvl w:val="0"/>
          <w:numId w:val="14"/>
        </w:numPr>
        <w:ind w:left="720" w:right="-157" w:hanging="180"/>
        <w:jc w:val="both"/>
      </w:pPr>
      <w:r w:rsidRPr="00893607">
        <w:t>осъществяване на дейностите по изпълнението на държавната политика за повишаване безопасността на движението по пътищата, в т. ч. организация на движението, развитие на транспортната инфраструктура, намаляване на пътнотранспортния травматизъм, състоянието на автомобилния парк, подготовката на водачите и др.;</w:t>
      </w:r>
    </w:p>
    <w:p w14:paraId="1CFCEEA7" w14:textId="77777777" w:rsidR="00CC09AC" w:rsidRPr="009414D1" w:rsidRDefault="00CC09AC" w:rsidP="00CC09AC">
      <w:pPr>
        <w:pStyle w:val="ListParagraph"/>
        <w:numPr>
          <w:ilvl w:val="0"/>
          <w:numId w:val="14"/>
        </w:numPr>
        <w:spacing w:after="120"/>
        <w:ind w:left="720" w:right="-157" w:hanging="180"/>
        <w:jc w:val="both"/>
      </w:pPr>
      <w:r w:rsidRPr="009414D1">
        <w:t xml:space="preserve">осъществяване на дейността на Централния регистър на особените залози /ЦРОЗ/ към Министерството на правосъдието. Основната мисия на ЦРОЗ е да осигурява правна сигурност на процесите, свързани с финансиране срещу обезпечение, като поддържа, води и съхранява единен публичен електронен регистър. </w:t>
      </w:r>
    </w:p>
    <w:p w14:paraId="2E5C4979" w14:textId="592E43B9" w:rsidR="00CC09AC" w:rsidRPr="007B48E9" w:rsidRDefault="00CC09AC" w:rsidP="00CC09AC">
      <w:pPr>
        <w:tabs>
          <w:tab w:val="left" w:pos="0"/>
        </w:tabs>
        <w:spacing w:after="120"/>
        <w:ind w:firstLine="709"/>
        <w:jc w:val="both"/>
        <w:rPr>
          <w:color w:val="0070C0"/>
        </w:rPr>
      </w:pPr>
      <w:r w:rsidRPr="009414D1">
        <w:t xml:space="preserve">Разходите на Държавната агенция „Държавен резерв и военновременни запаси” през </w:t>
      </w:r>
      <w:r w:rsidRPr="00C90A76">
        <w:t xml:space="preserve">2022 г. за попълване на държавния резерв са в размер </w:t>
      </w:r>
      <w:r w:rsidRPr="005C4D36">
        <w:t>на 249,</w:t>
      </w:r>
      <w:r w:rsidR="009A5FDE">
        <w:t>6</w:t>
      </w:r>
      <w:r w:rsidRPr="005C4D36">
        <w:t xml:space="preserve"> млн.</w:t>
      </w:r>
      <w:r w:rsidRPr="00C90A76">
        <w:t xml:space="preserve"> лв., а отчетеният нетен прираст на държавния резерв е 110,8 млн. лв. По бюджета на НСИ са отчетени 34,6 млн. лв. за изпълнението на Националната статистическа програма.  </w:t>
      </w:r>
    </w:p>
    <w:p w14:paraId="257B6167" w14:textId="77777777" w:rsidR="00CC09AC" w:rsidRPr="007B48E9" w:rsidRDefault="00CC09AC" w:rsidP="00CC09AC">
      <w:pPr>
        <w:pStyle w:val="BodyText"/>
        <w:ind w:firstLine="709"/>
        <w:jc w:val="both"/>
        <w:rPr>
          <w:color w:val="0070C0"/>
        </w:rPr>
      </w:pPr>
      <w:r w:rsidRPr="002113BD">
        <w:rPr>
          <w:b/>
        </w:rPr>
        <w:t xml:space="preserve">Европейски средства </w:t>
      </w:r>
      <w:r w:rsidRPr="002113BD">
        <w:t xml:space="preserve">- изразходваните средства в група „Общи служби” са в размер на 12,8 млн. лв. </w:t>
      </w:r>
      <w:r w:rsidRPr="002113BD">
        <w:rPr>
          <w:lang w:val="ru-RU"/>
        </w:rPr>
        <w:t>(</w:t>
      </w:r>
      <w:r w:rsidRPr="002113BD">
        <w:t>в т.ч. 12,6 млн. лв. текущи разходи</w:t>
      </w:r>
      <w:r w:rsidRPr="002113BD">
        <w:rPr>
          <w:lang w:val="ru-RU"/>
        </w:rPr>
        <w:t xml:space="preserve">). </w:t>
      </w:r>
      <w:r w:rsidRPr="002113BD">
        <w:t xml:space="preserve"> От тези средства 10,0</w:t>
      </w:r>
      <w:r w:rsidRPr="002113BD">
        <w:rPr>
          <w:lang w:val="en-US"/>
        </w:rPr>
        <w:t> </w:t>
      </w:r>
      <w:r w:rsidRPr="002113BD">
        <w:t xml:space="preserve">млн. лв. са по </w:t>
      </w:r>
      <w:r w:rsidRPr="002113BD">
        <w:rPr>
          <w:b/>
          <w:i/>
        </w:rPr>
        <w:t xml:space="preserve">др. програми и проекти, финансирани от фондове и институции на ЕС, </w:t>
      </w:r>
      <w:r w:rsidRPr="002113BD">
        <w:t xml:space="preserve"> 1,9 млн. лв. са по </w:t>
      </w:r>
      <w:r w:rsidRPr="002113BD">
        <w:rPr>
          <w:b/>
          <w:i/>
        </w:rPr>
        <w:t xml:space="preserve">Оперативна програма „Иновации и конкурентоспособност“  </w:t>
      </w:r>
      <w:r w:rsidRPr="002113BD">
        <w:t xml:space="preserve">и 0,9 млн. лв. са по </w:t>
      </w:r>
      <w:r w:rsidRPr="002113BD">
        <w:rPr>
          <w:b/>
          <w:i/>
        </w:rPr>
        <w:t>Оперативна програма „Добро управление“.</w:t>
      </w:r>
    </w:p>
    <w:p w14:paraId="095479F9" w14:textId="77777777" w:rsidR="00CC09AC" w:rsidRPr="007B48E9" w:rsidRDefault="00CC09AC" w:rsidP="00CC09AC">
      <w:pPr>
        <w:tabs>
          <w:tab w:val="left" w:pos="0"/>
        </w:tabs>
        <w:spacing w:after="120"/>
        <w:ind w:firstLine="540"/>
        <w:jc w:val="both"/>
        <w:rPr>
          <w:color w:val="0070C0"/>
        </w:rPr>
      </w:pPr>
    </w:p>
    <w:p w14:paraId="08D7F8DD" w14:textId="77777777" w:rsidR="00CC09AC" w:rsidRPr="00F4546A" w:rsidRDefault="00CC09AC" w:rsidP="00CC09AC">
      <w:pPr>
        <w:ind w:firstLine="539"/>
        <w:rPr>
          <w:b/>
          <w:i/>
          <w:lang w:val="ru-RU"/>
        </w:rPr>
      </w:pPr>
      <w:r w:rsidRPr="00F4546A">
        <w:rPr>
          <w:b/>
        </w:rPr>
        <w:t xml:space="preserve">Група В: </w:t>
      </w:r>
      <w:r w:rsidRPr="00F4546A">
        <w:rPr>
          <w:b/>
          <w:i/>
        </w:rPr>
        <w:t>„Наука”</w:t>
      </w:r>
    </w:p>
    <w:p w14:paraId="6072DAA0" w14:textId="77777777" w:rsidR="00CC09AC" w:rsidRPr="00273C53" w:rsidRDefault="00CC09AC" w:rsidP="009330DE">
      <w:pPr>
        <w:ind w:firstLine="709"/>
        <w:jc w:val="both"/>
        <w:rPr>
          <w:bCs/>
        </w:rPr>
      </w:pPr>
      <w:r w:rsidRPr="00273C53">
        <w:rPr>
          <w:bCs/>
        </w:rPr>
        <w:t>Група „Наука” включва разходите за финансиране на науката и научните изследвания. С финансирането на тези дейности държавата има за цел развитието на българската наука в съответствие с националните интереси и общочовешките ценности.</w:t>
      </w:r>
    </w:p>
    <w:p w14:paraId="313A09A3" w14:textId="7728D42D" w:rsidR="00CC09AC" w:rsidRPr="007B48E9" w:rsidRDefault="00CC09AC" w:rsidP="009330DE">
      <w:pPr>
        <w:ind w:firstLine="709"/>
        <w:jc w:val="both"/>
        <w:rPr>
          <w:bCs/>
          <w:color w:val="0070C0"/>
        </w:rPr>
      </w:pPr>
      <w:r w:rsidRPr="00273C53">
        <w:t xml:space="preserve">Общата сума на изразходваните средства по тази група за 2022 г. е 384,8 млн. лв. </w:t>
      </w:r>
      <w:r w:rsidRPr="00273C53">
        <w:rPr>
          <w:bCs/>
        </w:rPr>
        <w:t xml:space="preserve">Със ЗДБРБ за 2022 г. по група „Наука” </w:t>
      </w:r>
      <w:r w:rsidRPr="00273C53">
        <w:rPr>
          <w:b/>
        </w:rPr>
        <w:t xml:space="preserve">за министерствата и ведомствата </w:t>
      </w:r>
      <w:r w:rsidRPr="00273C53">
        <w:rPr>
          <w:bCs/>
        </w:rPr>
        <w:t xml:space="preserve"> са предвидени средства в размер на </w:t>
      </w:r>
      <w:r w:rsidRPr="00273C53">
        <w:t xml:space="preserve">78,2  </w:t>
      </w:r>
      <w:r w:rsidRPr="00273C53">
        <w:rPr>
          <w:bCs/>
        </w:rPr>
        <w:t>млн. лв., като отчетените разходи за годината възлизат на 57,9</w:t>
      </w:r>
      <w:r w:rsidRPr="00273C53">
        <w:t> </w:t>
      </w:r>
      <w:r w:rsidRPr="00273C53">
        <w:rPr>
          <w:bCs/>
        </w:rPr>
        <w:t>млн. лева</w:t>
      </w:r>
      <w:r w:rsidRPr="009C2A55">
        <w:rPr>
          <w:bCs/>
        </w:rPr>
        <w:t xml:space="preserve">. От отчетените разходи в групата </w:t>
      </w:r>
      <w:r w:rsidR="00E06B66">
        <w:rPr>
          <w:bCs/>
        </w:rPr>
        <w:t>37,4</w:t>
      </w:r>
      <w:r>
        <w:rPr>
          <w:bCs/>
        </w:rPr>
        <w:t xml:space="preserve"> </w:t>
      </w:r>
      <w:r w:rsidRPr="009C2A55">
        <w:rPr>
          <w:bCs/>
        </w:rPr>
        <w:t>% са за персонал; 2</w:t>
      </w:r>
      <w:r w:rsidR="00E06B66">
        <w:rPr>
          <w:bCs/>
        </w:rPr>
        <w:t>5,4</w:t>
      </w:r>
      <w:r>
        <w:rPr>
          <w:bCs/>
        </w:rPr>
        <w:t xml:space="preserve"> </w:t>
      </w:r>
      <w:r w:rsidRPr="009C2A55">
        <w:rPr>
          <w:bCs/>
        </w:rPr>
        <w:t xml:space="preserve">% са разходи за издръжка; разходи за субсидии и капиталови разходи </w:t>
      </w:r>
      <w:r>
        <w:rPr>
          <w:bCs/>
        </w:rPr>
        <w:t>–</w:t>
      </w:r>
      <w:r w:rsidRPr="009C2A55">
        <w:rPr>
          <w:bCs/>
        </w:rPr>
        <w:t xml:space="preserve"> </w:t>
      </w:r>
      <w:r w:rsidR="00E06B66">
        <w:rPr>
          <w:bCs/>
        </w:rPr>
        <w:t>36,4</w:t>
      </w:r>
      <w:r>
        <w:rPr>
          <w:bCs/>
        </w:rPr>
        <w:t xml:space="preserve"> </w:t>
      </w:r>
      <w:r w:rsidRPr="009C2A55">
        <w:rPr>
          <w:bCs/>
        </w:rPr>
        <w:t>%. Министерството на образованието и науката отчита 32,4 млн. лв.; Министерство на околната среда и водите</w:t>
      </w:r>
      <w:r>
        <w:rPr>
          <w:bCs/>
        </w:rPr>
        <w:t xml:space="preserve"> </w:t>
      </w:r>
      <w:r w:rsidRPr="009C2A55">
        <w:rPr>
          <w:bCs/>
        </w:rPr>
        <w:t>-</w:t>
      </w:r>
      <w:r>
        <w:rPr>
          <w:bCs/>
        </w:rPr>
        <w:t xml:space="preserve"> </w:t>
      </w:r>
      <w:r w:rsidRPr="009C2A55">
        <w:rPr>
          <w:bCs/>
        </w:rPr>
        <w:t>17,7 млн. лв.; Министерство на иновациите и растежа</w:t>
      </w:r>
      <w:r>
        <w:rPr>
          <w:bCs/>
        </w:rPr>
        <w:t xml:space="preserve"> </w:t>
      </w:r>
      <w:r w:rsidRPr="009C2A55">
        <w:rPr>
          <w:bCs/>
        </w:rPr>
        <w:t>-</w:t>
      </w:r>
      <w:r>
        <w:rPr>
          <w:bCs/>
        </w:rPr>
        <w:t xml:space="preserve"> </w:t>
      </w:r>
      <w:r w:rsidRPr="009C2A55">
        <w:rPr>
          <w:bCs/>
        </w:rPr>
        <w:t>5,2 млн. лв.; Министерств</w:t>
      </w:r>
      <w:r>
        <w:rPr>
          <w:bCs/>
        </w:rPr>
        <w:t>о</w:t>
      </w:r>
      <w:r w:rsidRPr="009C2A55">
        <w:rPr>
          <w:bCs/>
        </w:rPr>
        <w:t xml:space="preserve"> на земеделието</w:t>
      </w:r>
      <w:r>
        <w:rPr>
          <w:bCs/>
        </w:rPr>
        <w:t xml:space="preserve"> </w:t>
      </w:r>
      <w:r w:rsidRPr="009C2A55">
        <w:rPr>
          <w:bCs/>
        </w:rPr>
        <w:t>- 1,4 млн. лв.</w:t>
      </w:r>
    </w:p>
    <w:p w14:paraId="1A908011" w14:textId="77777777" w:rsidR="00CC09AC" w:rsidRPr="00F24948" w:rsidRDefault="00CC09AC" w:rsidP="00CC09AC">
      <w:pPr>
        <w:spacing w:before="120"/>
        <w:ind w:firstLine="709"/>
        <w:jc w:val="both"/>
        <w:rPr>
          <w:bCs/>
          <w:lang w:val="ru-RU"/>
        </w:rPr>
      </w:pPr>
      <w:r w:rsidRPr="00F24948">
        <w:rPr>
          <w:bCs/>
        </w:rPr>
        <w:t>С отчетените средства са осигурени следните дейности</w:t>
      </w:r>
      <w:r w:rsidRPr="00F24948">
        <w:rPr>
          <w:bCs/>
          <w:lang w:val="ru-RU"/>
        </w:rPr>
        <w:t>:</w:t>
      </w:r>
    </w:p>
    <w:p w14:paraId="348DDB73" w14:textId="77777777" w:rsidR="00CC09AC" w:rsidRPr="00F24948" w:rsidRDefault="00CC09AC" w:rsidP="00BD39E0">
      <w:pPr>
        <w:pStyle w:val="ListParagraph"/>
        <w:numPr>
          <w:ilvl w:val="0"/>
          <w:numId w:val="47"/>
        </w:numPr>
        <w:ind w:left="993" w:hanging="284"/>
        <w:jc w:val="both"/>
        <w:rPr>
          <w:bCs/>
        </w:rPr>
      </w:pPr>
      <w:r w:rsidRPr="00F24948">
        <w:rPr>
          <w:bCs/>
        </w:rPr>
        <w:t>осъществяване на националната политика в областта на науката, технологичното развитие и иновациите; разработване и предлагане за утвърждаване на научни програми в съответствие с националните приоритети и приоритетите на Европейския съюз, както и програми и проекти с регионално значение (дирекция „Наука“ към Министерството на образованието и науката);</w:t>
      </w:r>
    </w:p>
    <w:p w14:paraId="4128AB5C" w14:textId="77777777" w:rsidR="00CC09AC" w:rsidRPr="00F24948" w:rsidRDefault="00CC09AC" w:rsidP="00BD39E0">
      <w:pPr>
        <w:pStyle w:val="ListParagraph"/>
        <w:numPr>
          <w:ilvl w:val="0"/>
          <w:numId w:val="47"/>
        </w:numPr>
        <w:ind w:left="993" w:hanging="284"/>
        <w:jc w:val="both"/>
        <w:rPr>
          <w:bCs/>
        </w:rPr>
      </w:pPr>
      <w:r w:rsidRPr="00F24948">
        <w:rPr>
          <w:bCs/>
        </w:rPr>
        <w:t>осъществяване</w:t>
      </w:r>
      <w:r w:rsidRPr="007F1755">
        <w:t xml:space="preserve"> политики от плана за изпълнение на Националната стратегия за развитие на научните изследвания в Република България 2017-2030 г., от Националната пътна карта за научноизследователска инфраструктура 2017-2023</w:t>
      </w:r>
      <w:r>
        <w:t> </w:t>
      </w:r>
      <w:r w:rsidRPr="007F1755">
        <w:t>г., както и политики, заложени в Приоритет</w:t>
      </w:r>
      <w:r w:rsidRPr="00F24948">
        <w:rPr>
          <w:rFonts w:eastAsia="Calibri"/>
        </w:rPr>
        <w:t xml:space="preserve"> 2 „Наука и научна инфраструктура“ на Националната програма за развитие „България 2030“</w:t>
      </w:r>
      <w:r w:rsidRPr="00F24948">
        <w:rPr>
          <w:bCs/>
        </w:rPr>
        <w:t xml:space="preserve"> (дирекция „Наука“ към Министерството на образованието и науката);</w:t>
      </w:r>
    </w:p>
    <w:p w14:paraId="5042C76E" w14:textId="77777777" w:rsidR="00CC09AC" w:rsidRPr="00F24948" w:rsidRDefault="00CC09AC" w:rsidP="00BD39E0">
      <w:pPr>
        <w:pStyle w:val="ListParagraph"/>
        <w:numPr>
          <w:ilvl w:val="0"/>
          <w:numId w:val="47"/>
        </w:numPr>
        <w:ind w:left="993" w:hanging="284"/>
        <w:jc w:val="both"/>
        <w:rPr>
          <w:bCs/>
        </w:rPr>
      </w:pPr>
      <w:r w:rsidRPr="00F24948">
        <w:rPr>
          <w:bCs/>
        </w:rPr>
        <w:t>научни изследвания, информационно обслужване, приложни и спомагателни дейности в областта на земеделието, животновъдството и хранително-вкусовата промишленост (Селскостопанската академия и Националната служба за съвети в земеделието);</w:t>
      </w:r>
    </w:p>
    <w:p w14:paraId="2CE9AD17" w14:textId="77777777" w:rsidR="00CC09AC" w:rsidRPr="00F24948" w:rsidRDefault="00CC09AC" w:rsidP="00BD39E0">
      <w:pPr>
        <w:pStyle w:val="ListParagraph"/>
        <w:numPr>
          <w:ilvl w:val="0"/>
          <w:numId w:val="47"/>
        </w:numPr>
        <w:ind w:left="993" w:hanging="284"/>
        <w:jc w:val="both"/>
        <w:rPr>
          <w:bCs/>
        </w:rPr>
      </w:pPr>
      <w:r w:rsidRPr="00F24948">
        <w:rPr>
          <w:bCs/>
        </w:rPr>
        <w:t>конкурсно-проектно финансиране на научните изследвания (Фонд „Научни изследвания” към Министерството на образованието и науката);</w:t>
      </w:r>
    </w:p>
    <w:p w14:paraId="1BA214F0" w14:textId="77777777" w:rsidR="00CC09AC" w:rsidRPr="00F24948" w:rsidRDefault="00CC09AC" w:rsidP="00BD39E0">
      <w:pPr>
        <w:pStyle w:val="ListParagraph"/>
        <w:numPr>
          <w:ilvl w:val="0"/>
          <w:numId w:val="47"/>
        </w:numPr>
        <w:ind w:left="993" w:hanging="284"/>
        <w:jc w:val="both"/>
        <w:rPr>
          <w:bCs/>
        </w:rPr>
      </w:pPr>
      <w:r w:rsidRPr="00F24948">
        <w:rPr>
          <w:bCs/>
        </w:rPr>
        <w:t xml:space="preserve">участие на България в Европейската организация за ядрени изследвания (ЦЕРН) и в Международния център за научна и техническа информация </w:t>
      </w:r>
      <w:r w:rsidRPr="004D5FFC">
        <w:rPr>
          <w:bCs/>
          <w:lang w:val="ru-RU"/>
        </w:rPr>
        <w:t>(</w:t>
      </w:r>
      <w:r w:rsidRPr="00F24948">
        <w:rPr>
          <w:bCs/>
        </w:rPr>
        <w:t>МОН</w:t>
      </w:r>
      <w:r w:rsidRPr="004D5FFC">
        <w:rPr>
          <w:bCs/>
          <w:lang w:val="ru-RU"/>
        </w:rPr>
        <w:t>)</w:t>
      </w:r>
      <w:r w:rsidRPr="00F24948">
        <w:rPr>
          <w:bCs/>
        </w:rPr>
        <w:t>;</w:t>
      </w:r>
    </w:p>
    <w:p w14:paraId="3409FCE7" w14:textId="77777777" w:rsidR="00CC09AC" w:rsidRPr="00F24948" w:rsidRDefault="00CC09AC" w:rsidP="00BD39E0">
      <w:pPr>
        <w:pStyle w:val="ListParagraph"/>
        <w:numPr>
          <w:ilvl w:val="0"/>
          <w:numId w:val="47"/>
        </w:numPr>
        <w:ind w:left="993" w:hanging="284"/>
        <w:jc w:val="both"/>
        <w:rPr>
          <w:bCs/>
        </w:rPr>
      </w:pPr>
      <w:r w:rsidRPr="00F24948">
        <w:rPr>
          <w:bCs/>
        </w:rPr>
        <w:t>събиране, обработка и съхранение на научно-техническа информация и документация (Национален център за информация и документация към МОН).</w:t>
      </w:r>
    </w:p>
    <w:p w14:paraId="7E37E8DB" w14:textId="77777777" w:rsidR="00CC09AC" w:rsidRPr="007B48E9" w:rsidRDefault="00CC09AC" w:rsidP="00CC09AC">
      <w:pPr>
        <w:spacing w:before="120" w:after="120"/>
        <w:ind w:firstLine="720"/>
        <w:jc w:val="both"/>
        <w:rPr>
          <w:color w:val="0070C0"/>
        </w:rPr>
      </w:pPr>
      <w:r w:rsidRPr="00EF19A1">
        <w:t xml:space="preserve">Основна част от извършените разходи през 2022 г. за наука са по бюджетите на ДВУ, </w:t>
      </w:r>
      <w:r w:rsidRPr="007F1E3E">
        <w:t xml:space="preserve">БАН и ССА  и са свързани с осигуряването на дейността на ДВУ, поделенията в системата на БАН и ССА. Отчетените разходите за група „Наука” са в размер съответно на 33,1 млн. лв. (ДВУ), 191,6 млн. лв. (БАН)  и 62,4 млн. лв. (ССА).  </w:t>
      </w:r>
    </w:p>
    <w:p w14:paraId="41ED0994" w14:textId="77777777" w:rsidR="00CC09AC" w:rsidRPr="007B48E9" w:rsidRDefault="00CC09AC" w:rsidP="009330DE">
      <w:pPr>
        <w:pStyle w:val="BodyText"/>
        <w:spacing w:after="0"/>
        <w:ind w:firstLine="720"/>
        <w:jc w:val="both"/>
        <w:rPr>
          <w:color w:val="0070C0"/>
        </w:rPr>
      </w:pPr>
      <w:r w:rsidRPr="00F4546A">
        <w:rPr>
          <w:b/>
        </w:rPr>
        <w:t>Европейски средства -</w:t>
      </w:r>
      <w:r w:rsidRPr="00F4546A">
        <w:t xml:space="preserve"> изразходваните средства в група „Наука” са в размер на 36,3</w:t>
      </w:r>
      <w:r w:rsidRPr="00F4546A">
        <w:rPr>
          <w:lang w:val="ru-RU"/>
        </w:rPr>
        <w:t> </w:t>
      </w:r>
      <w:r w:rsidRPr="00F4546A">
        <w:t xml:space="preserve">млн. лв. </w:t>
      </w:r>
      <w:r w:rsidRPr="00F4546A">
        <w:rPr>
          <w:lang w:val="ru-RU"/>
        </w:rPr>
        <w:t>(</w:t>
      </w:r>
      <w:r w:rsidRPr="00F4546A">
        <w:t>в т.ч. 21,6 млн. лв. текущи разходи</w:t>
      </w:r>
      <w:r w:rsidRPr="00F4546A">
        <w:rPr>
          <w:lang w:val="ru-RU"/>
        </w:rPr>
        <w:t>)</w:t>
      </w:r>
      <w:r w:rsidRPr="00F4546A">
        <w:t xml:space="preserve"> и са основно по следните оперативни и други програми на ЕС:</w:t>
      </w:r>
    </w:p>
    <w:p w14:paraId="3D953B85" w14:textId="741F3F0A" w:rsidR="00CC09AC" w:rsidRPr="00C76047" w:rsidRDefault="00CC09AC" w:rsidP="009330DE">
      <w:pPr>
        <w:autoSpaceDE w:val="0"/>
        <w:autoSpaceDN w:val="0"/>
        <w:adjustRightInd w:val="0"/>
        <w:ind w:firstLine="709"/>
        <w:jc w:val="both"/>
      </w:pPr>
      <w:r w:rsidRPr="0087091C">
        <w:rPr>
          <w:b/>
          <w:i/>
        </w:rPr>
        <w:t xml:space="preserve">Оперативна програма „Наука и образование за интелигентен растеж“ </w:t>
      </w:r>
      <w:r w:rsidRPr="0087091C">
        <w:t>– изразходваните средства по програмата през 2022 г. за група “Наука” са в размер на 12,</w:t>
      </w:r>
      <w:r w:rsidR="00DD22E6">
        <w:t>1</w:t>
      </w:r>
      <w:r w:rsidRPr="0087091C">
        <w:t xml:space="preserve"> млн. лв. </w:t>
      </w:r>
      <w:r w:rsidRPr="004D5FFC">
        <w:rPr>
          <w:lang w:val="ru-RU"/>
        </w:rPr>
        <w:t>(</w:t>
      </w:r>
      <w:r w:rsidRPr="0087091C">
        <w:t xml:space="preserve">програмен период 2014 - 2020). </w:t>
      </w:r>
      <w:r w:rsidRPr="00C76047">
        <w:t>Оперативна програма "Наука и образование за интелигентен растеж" е насочена</w:t>
      </w:r>
      <w:r w:rsidRPr="00C76047">
        <w:rPr>
          <w:b/>
          <w:i/>
        </w:rPr>
        <w:t xml:space="preserve"> </w:t>
      </w:r>
      <w:r w:rsidRPr="00C76047">
        <w:t>към:</w:t>
      </w:r>
      <w:r w:rsidRPr="00C76047">
        <w:rPr>
          <w:b/>
          <w:i/>
        </w:rPr>
        <w:t xml:space="preserve"> </w:t>
      </w:r>
      <w:r w:rsidRPr="00C76047">
        <w:t xml:space="preserve">създаване на условия за развитие на научно-изследователския потенциал и качество на висшето образование; достъп до и качество на ученето през целия живот; професионално образование и обучение. Чрез ресурса на оперативната програма се прилагат целенасочени мерки за развитие на капацитет за научноизследователската и развойната дейност в приоритетни области. Част от основните дейности в това функционално направление, по Оперативна програма "Наука и образование за интелигентен растеж", са свързани с институционални мерки във висшите училища и научно-изследователските организации за създаване на подходяща среда за изследвания и за кариерно развитие на изследователите. </w:t>
      </w:r>
    </w:p>
    <w:p w14:paraId="21194578" w14:textId="77777777" w:rsidR="00CC09AC" w:rsidRPr="0073527E" w:rsidRDefault="00CC09AC" w:rsidP="009330DE">
      <w:pPr>
        <w:autoSpaceDE w:val="0"/>
        <w:autoSpaceDN w:val="0"/>
        <w:adjustRightInd w:val="0"/>
        <w:ind w:firstLine="709"/>
        <w:jc w:val="both"/>
      </w:pPr>
      <w:r w:rsidRPr="0073527E">
        <w:rPr>
          <w:b/>
          <w:i/>
        </w:rPr>
        <w:t xml:space="preserve">Други програми и проекти, финансирани от фондове и институции на ЕС  - </w:t>
      </w:r>
      <w:r w:rsidRPr="0073527E">
        <w:t xml:space="preserve">12,3 млн. лева. </w:t>
      </w:r>
    </w:p>
    <w:p w14:paraId="618AD280" w14:textId="77777777" w:rsidR="00CC09AC" w:rsidRPr="00A17AD8" w:rsidRDefault="00CC09AC" w:rsidP="00CC09AC">
      <w:pPr>
        <w:pStyle w:val="BodyText"/>
        <w:ind w:firstLine="720"/>
        <w:jc w:val="both"/>
      </w:pPr>
      <w:r w:rsidRPr="00A17AD8">
        <w:rPr>
          <w:b/>
          <w:i/>
        </w:rPr>
        <w:t>Европейски средства, отпуснати от ДФЗ-РА</w:t>
      </w:r>
      <w:r w:rsidRPr="00A17AD8">
        <w:t xml:space="preserve"> на ССА и БАН (в качеството им на бенефициенти) – 5,2 млн. лв., като  5,1 млн. лв. са на ССА. </w:t>
      </w:r>
    </w:p>
    <w:p w14:paraId="25BA6466" w14:textId="77777777" w:rsidR="00CC09AC" w:rsidRPr="007B48E9" w:rsidRDefault="00CC09AC" w:rsidP="00CC09AC">
      <w:pPr>
        <w:spacing w:after="120"/>
        <w:ind w:firstLine="720"/>
        <w:jc w:val="both"/>
        <w:rPr>
          <w:snapToGrid w:val="0"/>
          <w:color w:val="0070C0"/>
        </w:rPr>
      </w:pPr>
    </w:p>
    <w:p w14:paraId="7AAA661B" w14:textId="77777777" w:rsidR="00CC09AC" w:rsidRPr="00C76047" w:rsidRDefault="00CC09AC" w:rsidP="00CC09AC">
      <w:pPr>
        <w:pStyle w:val="Heading3"/>
        <w:numPr>
          <w:ilvl w:val="2"/>
          <w:numId w:val="8"/>
        </w:numPr>
        <w:spacing w:before="0" w:after="0"/>
        <w:rPr>
          <w:rFonts w:ascii="Times New Roman" w:hAnsi="Times New Roman"/>
          <w:sz w:val="24"/>
          <w:lang w:val="en-US"/>
        </w:rPr>
      </w:pPr>
      <w:bookmarkStart w:id="305" w:name="_Toc326315915"/>
      <w:bookmarkStart w:id="306" w:name="_Toc324863423"/>
      <w:bookmarkStart w:id="307" w:name="_Toc261276587"/>
      <w:bookmarkStart w:id="308" w:name="_Toc483234287"/>
      <w:bookmarkStart w:id="309" w:name="_Toc494102641"/>
      <w:bookmarkStart w:id="310" w:name="_Toc525125599"/>
      <w:bookmarkStart w:id="311" w:name="_Toc18316955"/>
      <w:bookmarkStart w:id="312" w:name="_Toc136361870"/>
      <w:bookmarkStart w:id="313" w:name="_Toc146037910"/>
      <w:r w:rsidRPr="00C76047">
        <w:rPr>
          <w:rFonts w:ascii="Times New Roman" w:hAnsi="Times New Roman"/>
          <w:sz w:val="24"/>
          <w:lang w:val="bg-BG"/>
        </w:rPr>
        <w:t>Отбрана и сигурност</w:t>
      </w:r>
      <w:bookmarkEnd w:id="305"/>
      <w:bookmarkEnd w:id="306"/>
      <w:bookmarkEnd w:id="307"/>
      <w:bookmarkEnd w:id="308"/>
      <w:bookmarkEnd w:id="309"/>
      <w:bookmarkEnd w:id="310"/>
      <w:bookmarkEnd w:id="311"/>
      <w:bookmarkEnd w:id="312"/>
      <w:bookmarkEnd w:id="313"/>
    </w:p>
    <w:p w14:paraId="761C1DD4" w14:textId="77777777" w:rsidR="00CC09AC" w:rsidRPr="007B48E9" w:rsidRDefault="00CC09AC" w:rsidP="00CC09AC">
      <w:pPr>
        <w:spacing w:before="120"/>
        <w:ind w:firstLine="709"/>
        <w:jc w:val="both"/>
        <w:rPr>
          <w:color w:val="0070C0"/>
        </w:rPr>
      </w:pPr>
      <w:r w:rsidRPr="0049150A">
        <w:t xml:space="preserve">Разходите по </w:t>
      </w:r>
      <w:r w:rsidRPr="0049150A">
        <w:rPr>
          <w:bCs/>
        </w:rPr>
        <w:t>функция „Отбрана и сигурност” по</w:t>
      </w:r>
      <w:r w:rsidRPr="0049150A">
        <w:t xml:space="preserve"> консолидираната фискална програма са предназначени за обезпечаване на дейностите по осигуряването на националната сигурност и отбрана, поддържането на отбранителния потенциал на страната, опазването на обществения и правовия ред, издръжка на съдебната власт и администрацията на затворите и защита на населението, управление и дейности при стихийни бедствия и аварии. Отчетените разходи за 2022 г. за отбрана и сигурност са в размер на </w:t>
      </w:r>
      <w:r w:rsidRPr="0049150A">
        <w:rPr>
          <w:lang w:val="ru-RU"/>
        </w:rPr>
        <w:t>6 54</w:t>
      </w:r>
      <w:r>
        <w:rPr>
          <w:lang w:val="ru-RU"/>
        </w:rPr>
        <w:t>7</w:t>
      </w:r>
      <w:r w:rsidRPr="0049150A">
        <w:rPr>
          <w:lang w:val="ru-RU"/>
        </w:rPr>
        <w:t>,3</w:t>
      </w:r>
      <w:r w:rsidRPr="0049150A">
        <w:t xml:space="preserve"> млн. лв., което представлява </w:t>
      </w:r>
      <w:r w:rsidRPr="0049150A">
        <w:rPr>
          <w:lang w:val="ru-RU"/>
        </w:rPr>
        <w:t>4,0</w:t>
      </w:r>
      <w:r w:rsidRPr="0049150A">
        <w:t xml:space="preserve"> % от БВП.</w:t>
      </w:r>
    </w:p>
    <w:p w14:paraId="2FB15051" w14:textId="77777777" w:rsidR="00CC09AC" w:rsidRPr="007B48E9" w:rsidRDefault="00CC09AC" w:rsidP="00CC09AC">
      <w:pPr>
        <w:ind w:firstLine="540"/>
        <w:jc w:val="both"/>
        <w:rPr>
          <w:color w:val="0070C0"/>
          <w:sz w:val="2"/>
        </w:rPr>
      </w:pPr>
    </w:p>
    <w:p w14:paraId="40630878" w14:textId="77777777" w:rsidR="00CC09AC" w:rsidRPr="00E71BF2" w:rsidRDefault="00CC09AC" w:rsidP="00CC09AC">
      <w:pPr>
        <w:ind w:left="995" w:firstLine="7513"/>
        <w:jc w:val="right"/>
        <w:rPr>
          <w:b/>
          <w:sz w:val="18"/>
          <w:szCs w:val="18"/>
        </w:rPr>
      </w:pPr>
      <w:r w:rsidRPr="00E71BF2">
        <w:rPr>
          <w:b/>
          <w:sz w:val="18"/>
          <w:szCs w:val="18"/>
        </w:rPr>
        <w:t>(млн. лв.)</w:t>
      </w:r>
    </w:p>
    <w:tbl>
      <w:tblPr>
        <w:tblW w:w="10114" w:type="dxa"/>
        <w:tblInd w:w="-356" w:type="dxa"/>
        <w:tblLayout w:type="fixed"/>
        <w:tblCellMar>
          <w:left w:w="70" w:type="dxa"/>
          <w:right w:w="70" w:type="dxa"/>
        </w:tblCellMar>
        <w:tblLook w:val="04A0" w:firstRow="1" w:lastRow="0" w:firstColumn="1" w:lastColumn="0" w:noHBand="0" w:noVBand="1"/>
      </w:tblPr>
      <w:tblGrid>
        <w:gridCol w:w="3168"/>
        <w:gridCol w:w="709"/>
        <w:gridCol w:w="709"/>
        <w:gridCol w:w="709"/>
        <w:gridCol w:w="708"/>
        <w:gridCol w:w="567"/>
        <w:gridCol w:w="567"/>
        <w:gridCol w:w="567"/>
        <w:gridCol w:w="709"/>
        <w:gridCol w:w="709"/>
        <w:gridCol w:w="992"/>
      </w:tblGrid>
      <w:tr w:rsidR="00CC09AC" w:rsidRPr="007B48E9" w14:paraId="11BA56CB" w14:textId="77777777" w:rsidTr="003B085A">
        <w:trPr>
          <w:trHeight w:val="630"/>
        </w:trPr>
        <w:tc>
          <w:tcPr>
            <w:tcW w:w="3168" w:type="dxa"/>
            <w:tcBorders>
              <w:top w:val="double" w:sz="6" w:space="0" w:color="800000"/>
              <w:left w:val="double" w:sz="6" w:space="0" w:color="800000"/>
              <w:bottom w:val="nil"/>
              <w:right w:val="single" w:sz="4" w:space="0" w:color="FFFFFF"/>
            </w:tcBorders>
            <w:shd w:val="clear" w:color="auto" w:fill="800000"/>
            <w:noWrap/>
            <w:vAlign w:val="center"/>
            <w:hideMark/>
          </w:tcPr>
          <w:p w14:paraId="3248C3A7" w14:textId="77777777" w:rsidR="00CC09AC" w:rsidRPr="00E71BF2" w:rsidRDefault="00CC09AC" w:rsidP="003B085A">
            <w:pPr>
              <w:jc w:val="center"/>
              <w:rPr>
                <w:b/>
                <w:bCs/>
                <w:color w:val="FFFFFF" w:themeColor="background1"/>
                <w:sz w:val="18"/>
                <w:szCs w:val="18"/>
              </w:rPr>
            </w:pPr>
            <w:r w:rsidRPr="00E71BF2">
              <w:rPr>
                <w:b/>
                <w:bCs/>
                <w:color w:val="FFFFFF" w:themeColor="background1"/>
                <w:sz w:val="18"/>
                <w:szCs w:val="18"/>
              </w:rPr>
              <w:t>ОТЧЕТ 202</w:t>
            </w:r>
            <w:r>
              <w:rPr>
                <w:b/>
                <w:bCs/>
                <w:color w:val="FFFFFF" w:themeColor="background1"/>
                <w:sz w:val="18"/>
                <w:szCs w:val="18"/>
              </w:rPr>
              <w:t>2</w:t>
            </w:r>
            <w:r w:rsidRPr="00E71BF2">
              <w:rPr>
                <w:b/>
                <w:bCs/>
                <w:color w:val="FFFFFF" w:themeColor="background1"/>
                <w:sz w:val="18"/>
                <w:szCs w:val="18"/>
              </w:rPr>
              <w:t xml:space="preserve"> г.</w:t>
            </w:r>
          </w:p>
        </w:tc>
        <w:tc>
          <w:tcPr>
            <w:tcW w:w="709" w:type="dxa"/>
            <w:tcBorders>
              <w:top w:val="double" w:sz="6" w:space="0" w:color="800000"/>
              <w:left w:val="nil"/>
              <w:bottom w:val="nil"/>
              <w:right w:val="single" w:sz="4" w:space="0" w:color="FFFFFF"/>
            </w:tcBorders>
            <w:shd w:val="clear" w:color="auto" w:fill="800000"/>
            <w:noWrap/>
            <w:vAlign w:val="center"/>
            <w:hideMark/>
          </w:tcPr>
          <w:p w14:paraId="2C86B243"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КФП</w:t>
            </w:r>
          </w:p>
        </w:tc>
        <w:tc>
          <w:tcPr>
            <w:tcW w:w="709" w:type="dxa"/>
            <w:tcBorders>
              <w:top w:val="double" w:sz="6" w:space="0" w:color="800000"/>
              <w:left w:val="nil"/>
              <w:bottom w:val="nil"/>
              <w:right w:val="single" w:sz="4" w:space="0" w:color="FFFFFF"/>
            </w:tcBorders>
            <w:shd w:val="clear" w:color="auto" w:fill="800000"/>
            <w:vAlign w:val="center"/>
            <w:hideMark/>
          </w:tcPr>
          <w:p w14:paraId="467190F3"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ДБ</w:t>
            </w:r>
          </w:p>
        </w:tc>
        <w:tc>
          <w:tcPr>
            <w:tcW w:w="709" w:type="dxa"/>
            <w:tcBorders>
              <w:top w:val="double" w:sz="6" w:space="0" w:color="800000"/>
              <w:left w:val="nil"/>
              <w:bottom w:val="nil"/>
              <w:right w:val="single" w:sz="4" w:space="0" w:color="FFFFFF"/>
            </w:tcBorders>
            <w:shd w:val="clear" w:color="auto" w:fill="800000"/>
            <w:vAlign w:val="center"/>
            <w:hideMark/>
          </w:tcPr>
          <w:p w14:paraId="0DD2A79A"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Соц. осигу</w:t>
            </w:r>
          </w:p>
          <w:p w14:paraId="657472F2"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ряване</w:t>
            </w:r>
          </w:p>
        </w:tc>
        <w:tc>
          <w:tcPr>
            <w:tcW w:w="708" w:type="dxa"/>
            <w:tcBorders>
              <w:top w:val="double" w:sz="6" w:space="0" w:color="800000"/>
              <w:left w:val="nil"/>
              <w:bottom w:val="nil"/>
              <w:right w:val="single" w:sz="4" w:space="0" w:color="FFFFFF"/>
            </w:tcBorders>
            <w:shd w:val="clear" w:color="auto" w:fill="800000"/>
            <w:noWrap/>
            <w:vAlign w:val="center"/>
            <w:hideMark/>
          </w:tcPr>
          <w:p w14:paraId="3F6A8A00"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ДВУ</w:t>
            </w:r>
          </w:p>
        </w:tc>
        <w:tc>
          <w:tcPr>
            <w:tcW w:w="567" w:type="dxa"/>
            <w:tcBorders>
              <w:top w:val="double" w:sz="6" w:space="0" w:color="800000"/>
              <w:left w:val="nil"/>
              <w:bottom w:val="nil"/>
              <w:right w:val="single" w:sz="4" w:space="0" w:color="FFFFFF"/>
            </w:tcBorders>
            <w:shd w:val="clear" w:color="auto" w:fill="800000"/>
            <w:noWrap/>
            <w:vAlign w:val="center"/>
            <w:hideMark/>
          </w:tcPr>
          <w:p w14:paraId="753D04E7"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БАН</w:t>
            </w:r>
          </w:p>
        </w:tc>
        <w:tc>
          <w:tcPr>
            <w:tcW w:w="567" w:type="dxa"/>
            <w:tcBorders>
              <w:top w:val="double" w:sz="6" w:space="0" w:color="800000"/>
              <w:left w:val="inset" w:sz="6" w:space="0" w:color="FFFFFF" w:themeColor="background1"/>
              <w:bottom w:val="nil"/>
              <w:right w:val="double" w:sz="6" w:space="0" w:color="800000"/>
            </w:tcBorders>
            <w:shd w:val="clear" w:color="auto" w:fill="800000"/>
          </w:tcPr>
          <w:p w14:paraId="40F20921" w14:textId="77777777" w:rsidR="00CC09AC" w:rsidRPr="00E71BF2" w:rsidRDefault="00CC09AC" w:rsidP="003B085A">
            <w:pPr>
              <w:jc w:val="center"/>
              <w:rPr>
                <w:b/>
                <w:bCs/>
                <w:color w:val="FFFFFF" w:themeColor="background1"/>
                <w:sz w:val="16"/>
                <w:szCs w:val="16"/>
              </w:rPr>
            </w:pPr>
          </w:p>
          <w:p w14:paraId="20551088" w14:textId="77777777" w:rsidR="00CC09AC" w:rsidRPr="00E71BF2" w:rsidRDefault="00CC09AC" w:rsidP="003B085A">
            <w:pPr>
              <w:jc w:val="center"/>
              <w:rPr>
                <w:b/>
                <w:bCs/>
                <w:color w:val="FFFFFF" w:themeColor="background1"/>
                <w:sz w:val="4"/>
                <w:szCs w:val="16"/>
              </w:rPr>
            </w:pPr>
          </w:p>
          <w:p w14:paraId="7A67E734"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БНР</w:t>
            </w:r>
          </w:p>
        </w:tc>
        <w:tc>
          <w:tcPr>
            <w:tcW w:w="567" w:type="dxa"/>
            <w:tcBorders>
              <w:top w:val="double" w:sz="6" w:space="0" w:color="800000"/>
              <w:left w:val="double" w:sz="6" w:space="0" w:color="800000"/>
              <w:bottom w:val="nil"/>
              <w:right w:val="double" w:sz="6" w:space="0" w:color="800000"/>
            </w:tcBorders>
            <w:shd w:val="clear" w:color="auto" w:fill="800000"/>
          </w:tcPr>
          <w:p w14:paraId="7F1D9FC3" w14:textId="77777777" w:rsidR="00CC09AC" w:rsidRPr="00E71BF2" w:rsidRDefault="00CC09AC" w:rsidP="003B085A">
            <w:pPr>
              <w:jc w:val="center"/>
              <w:rPr>
                <w:b/>
                <w:bCs/>
                <w:color w:val="FFFFFF" w:themeColor="background1"/>
                <w:sz w:val="16"/>
                <w:szCs w:val="16"/>
              </w:rPr>
            </w:pPr>
          </w:p>
          <w:p w14:paraId="2E86EF02" w14:textId="77777777" w:rsidR="00CC09AC" w:rsidRPr="00E71BF2" w:rsidRDefault="00CC09AC" w:rsidP="003B085A">
            <w:pPr>
              <w:jc w:val="center"/>
              <w:rPr>
                <w:b/>
                <w:bCs/>
                <w:color w:val="FFFFFF" w:themeColor="background1"/>
                <w:sz w:val="4"/>
                <w:szCs w:val="16"/>
              </w:rPr>
            </w:pPr>
          </w:p>
          <w:p w14:paraId="098BDA40"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БН</w:t>
            </w:r>
            <w:r>
              <w:rPr>
                <w:b/>
                <w:bCs/>
                <w:color w:val="FFFFFF" w:themeColor="background1"/>
                <w:sz w:val="16"/>
                <w:szCs w:val="16"/>
              </w:rPr>
              <w:t>Т</w:t>
            </w:r>
          </w:p>
        </w:tc>
        <w:tc>
          <w:tcPr>
            <w:tcW w:w="709" w:type="dxa"/>
            <w:tcBorders>
              <w:top w:val="double" w:sz="6" w:space="0" w:color="800000"/>
              <w:left w:val="double" w:sz="6" w:space="0" w:color="800000"/>
              <w:bottom w:val="nil"/>
              <w:right w:val="single" w:sz="4" w:space="0" w:color="FFFFFF"/>
            </w:tcBorders>
            <w:shd w:val="clear" w:color="auto" w:fill="800000"/>
            <w:noWrap/>
            <w:vAlign w:val="center"/>
            <w:hideMark/>
          </w:tcPr>
          <w:p w14:paraId="55407768"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Общи -</w:t>
            </w:r>
          </w:p>
          <w:p w14:paraId="2531A66D"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ни</w:t>
            </w:r>
          </w:p>
        </w:tc>
        <w:tc>
          <w:tcPr>
            <w:tcW w:w="709" w:type="dxa"/>
            <w:tcBorders>
              <w:top w:val="double" w:sz="6" w:space="0" w:color="800000"/>
              <w:left w:val="nil"/>
              <w:bottom w:val="nil"/>
              <w:right w:val="double" w:sz="6" w:space="0" w:color="800000"/>
            </w:tcBorders>
            <w:shd w:val="clear" w:color="auto" w:fill="800000"/>
            <w:vAlign w:val="center"/>
            <w:hideMark/>
          </w:tcPr>
          <w:p w14:paraId="7CCA6EAC" w14:textId="77777777" w:rsidR="00CC09AC" w:rsidRPr="00E71BF2" w:rsidRDefault="00CC09AC" w:rsidP="003B085A">
            <w:pPr>
              <w:jc w:val="center"/>
              <w:rPr>
                <w:b/>
                <w:bCs/>
                <w:color w:val="FFFFFF" w:themeColor="background1"/>
                <w:sz w:val="16"/>
                <w:szCs w:val="16"/>
              </w:rPr>
            </w:pPr>
            <w:r w:rsidRPr="00E71BF2">
              <w:rPr>
                <w:b/>
                <w:bCs/>
                <w:color w:val="FFFFFF" w:themeColor="background1"/>
                <w:sz w:val="16"/>
                <w:szCs w:val="16"/>
              </w:rPr>
              <w:t>ДМП</w:t>
            </w:r>
          </w:p>
        </w:tc>
        <w:tc>
          <w:tcPr>
            <w:tcW w:w="992" w:type="dxa"/>
            <w:tcBorders>
              <w:top w:val="double" w:sz="2" w:space="0" w:color="800000"/>
              <w:left w:val="single" w:sz="4" w:space="0" w:color="FFFFFF"/>
              <w:bottom w:val="single" w:sz="4" w:space="0" w:color="FFFFFF"/>
              <w:right w:val="double" w:sz="2" w:space="0" w:color="800000"/>
            </w:tcBorders>
            <w:shd w:val="clear" w:color="auto" w:fill="800000"/>
            <w:vAlign w:val="center"/>
            <w:hideMark/>
          </w:tcPr>
          <w:p w14:paraId="7D04BCD5" w14:textId="77777777" w:rsidR="00CC09AC" w:rsidRPr="00E71BF2" w:rsidRDefault="00CC09AC" w:rsidP="003B085A">
            <w:pPr>
              <w:jc w:val="center"/>
              <w:rPr>
                <w:b/>
                <w:bCs/>
                <w:color w:val="FFFFFF" w:themeColor="background1"/>
                <w:sz w:val="14"/>
                <w:szCs w:val="14"/>
              </w:rPr>
            </w:pPr>
            <w:r w:rsidRPr="00E71BF2">
              <w:rPr>
                <w:b/>
                <w:bCs/>
                <w:color w:val="FFFFFF" w:themeColor="background1"/>
                <w:sz w:val="14"/>
                <w:szCs w:val="14"/>
              </w:rPr>
              <w:t xml:space="preserve">Европ. </w:t>
            </w:r>
          </w:p>
          <w:p w14:paraId="39CD3D6D" w14:textId="77777777" w:rsidR="00CC09AC" w:rsidRPr="00E71BF2" w:rsidRDefault="00CC09AC" w:rsidP="003B085A">
            <w:pPr>
              <w:jc w:val="center"/>
              <w:rPr>
                <w:b/>
                <w:bCs/>
                <w:color w:val="FFFFFF" w:themeColor="background1"/>
                <w:sz w:val="16"/>
                <w:szCs w:val="16"/>
              </w:rPr>
            </w:pPr>
            <w:r w:rsidRPr="00E71BF2">
              <w:rPr>
                <w:b/>
                <w:bCs/>
                <w:color w:val="FFFFFF" w:themeColor="background1"/>
                <w:sz w:val="14"/>
                <w:szCs w:val="14"/>
              </w:rPr>
              <w:t xml:space="preserve">ср-ва </w:t>
            </w:r>
          </w:p>
        </w:tc>
      </w:tr>
      <w:tr w:rsidR="00CC09AC" w:rsidRPr="007B48E9" w14:paraId="01CD54EC"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34A05535" w14:textId="77777777" w:rsidR="00CC09AC" w:rsidRPr="001948DF" w:rsidRDefault="00CC09AC" w:rsidP="003B085A">
            <w:pPr>
              <w:rPr>
                <w:b/>
                <w:bCs/>
                <w:sz w:val="18"/>
                <w:szCs w:val="18"/>
              </w:rPr>
            </w:pPr>
            <w:r w:rsidRPr="001948DF">
              <w:rPr>
                <w:b/>
                <w:bCs/>
                <w:sz w:val="18"/>
                <w:szCs w:val="18"/>
              </w:rPr>
              <w:t>II. ОТБРАНА И СИГУРНОСТ</w:t>
            </w:r>
          </w:p>
        </w:tc>
        <w:tc>
          <w:tcPr>
            <w:tcW w:w="709" w:type="dxa"/>
            <w:tcBorders>
              <w:top w:val="nil"/>
              <w:left w:val="single" w:sz="4" w:space="0" w:color="800000"/>
              <w:bottom w:val="nil"/>
              <w:right w:val="single" w:sz="4" w:space="0" w:color="800000"/>
            </w:tcBorders>
            <w:shd w:val="clear" w:color="000000" w:fill="FFFFCC"/>
            <w:noWrap/>
            <w:vAlign w:val="bottom"/>
            <w:hideMark/>
          </w:tcPr>
          <w:p w14:paraId="05F19338" w14:textId="77777777" w:rsidR="00CC09AC" w:rsidRPr="007B48E9" w:rsidRDefault="00CC09AC" w:rsidP="003B085A">
            <w:pPr>
              <w:jc w:val="right"/>
              <w:rPr>
                <w:b/>
                <w:bCs/>
                <w:color w:val="0070C0"/>
                <w:sz w:val="18"/>
                <w:szCs w:val="18"/>
              </w:rPr>
            </w:pPr>
            <w:r>
              <w:rPr>
                <w:b/>
                <w:bCs/>
                <w:color w:val="000000"/>
                <w:sz w:val="18"/>
                <w:szCs w:val="18"/>
              </w:rPr>
              <w:t>6 547,3</w:t>
            </w:r>
          </w:p>
        </w:tc>
        <w:tc>
          <w:tcPr>
            <w:tcW w:w="709" w:type="dxa"/>
            <w:tcBorders>
              <w:top w:val="nil"/>
              <w:left w:val="nil"/>
              <w:bottom w:val="nil"/>
              <w:right w:val="single" w:sz="4" w:space="0" w:color="800000"/>
            </w:tcBorders>
            <w:shd w:val="clear" w:color="000000" w:fill="FFFFCC"/>
            <w:noWrap/>
            <w:vAlign w:val="bottom"/>
            <w:hideMark/>
          </w:tcPr>
          <w:p w14:paraId="1FA99154" w14:textId="77777777" w:rsidR="00CC09AC" w:rsidRPr="007B48E9" w:rsidRDefault="00CC09AC" w:rsidP="003B085A">
            <w:pPr>
              <w:jc w:val="right"/>
              <w:rPr>
                <w:b/>
                <w:bCs/>
                <w:color w:val="0070C0"/>
                <w:sz w:val="18"/>
                <w:szCs w:val="18"/>
              </w:rPr>
            </w:pPr>
            <w:r>
              <w:rPr>
                <w:b/>
                <w:bCs/>
                <w:color w:val="000000"/>
                <w:sz w:val="18"/>
                <w:szCs w:val="18"/>
              </w:rPr>
              <w:t>6 231,7</w:t>
            </w:r>
          </w:p>
        </w:tc>
        <w:tc>
          <w:tcPr>
            <w:tcW w:w="709" w:type="dxa"/>
            <w:tcBorders>
              <w:top w:val="nil"/>
              <w:left w:val="nil"/>
              <w:bottom w:val="nil"/>
              <w:right w:val="single" w:sz="4" w:space="0" w:color="800000"/>
            </w:tcBorders>
            <w:shd w:val="clear" w:color="000000" w:fill="FFFFCC"/>
            <w:noWrap/>
            <w:vAlign w:val="bottom"/>
            <w:hideMark/>
          </w:tcPr>
          <w:p w14:paraId="47391004" w14:textId="77777777" w:rsidR="00CC09AC" w:rsidRPr="007B48E9" w:rsidRDefault="00CC09AC" w:rsidP="003B085A">
            <w:pPr>
              <w:jc w:val="right"/>
              <w:rPr>
                <w:b/>
                <w:bCs/>
                <w:color w:val="0070C0"/>
                <w:sz w:val="18"/>
                <w:szCs w:val="18"/>
              </w:rPr>
            </w:pPr>
            <w:r>
              <w:rPr>
                <w:b/>
                <w:bCs/>
                <w:color w:val="000000"/>
                <w:sz w:val="18"/>
                <w:szCs w:val="18"/>
              </w:rPr>
              <w:t>0,1</w:t>
            </w:r>
          </w:p>
        </w:tc>
        <w:tc>
          <w:tcPr>
            <w:tcW w:w="708" w:type="dxa"/>
            <w:tcBorders>
              <w:top w:val="nil"/>
              <w:left w:val="nil"/>
              <w:bottom w:val="nil"/>
              <w:right w:val="single" w:sz="4" w:space="0" w:color="800000"/>
            </w:tcBorders>
            <w:shd w:val="clear" w:color="000000" w:fill="FFFFCC"/>
            <w:noWrap/>
            <w:vAlign w:val="bottom"/>
            <w:hideMark/>
          </w:tcPr>
          <w:p w14:paraId="732854BF" w14:textId="77777777" w:rsidR="00CC09AC" w:rsidRPr="007B48E9" w:rsidRDefault="00CC09AC" w:rsidP="003B085A">
            <w:pPr>
              <w:jc w:val="right"/>
              <w:rPr>
                <w:b/>
                <w:bCs/>
                <w:color w:val="0070C0"/>
                <w:sz w:val="18"/>
                <w:szCs w:val="18"/>
              </w:rPr>
            </w:pPr>
            <w:r>
              <w:rPr>
                <w:b/>
                <w:bCs/>
                <w:color w:val="000000"/>
                <w:sz w:val="18"/>
                <w:szCs w:val="18"/>
              </w:rPr>
              <w:t>0,3</w:t>
            </w:r>
          </w:p>
        </w:tc>
        <w:tc>
          <w:tcPr>
            <w:tcW w:w="567" w:type="dxa"/>
            <w:tcBorders>
              <w:top w:val="nil"/>
              <w:left w:val="nil"/>
              <w:bottom w:val="nil"/>
              <w:right w:val="single" w:sz="4" w:space="0" w:color="800000"/>
            </w:tcBorders>
            <w:shd w:val="clear" w:color="000000" w:fill="FFFFCC"/>
            <w:noWrap/>
            <w:vAlign w:val="bottom"/>
            <w:hideMark/>
          </w:tcPr>
          <w:p w14:paraId="6D4827C8" w14:textId="77777777" w:rsidR="00CC09AC" w:rsidRPr="007B48E9" w:rsidRDefault="00CC09AC" w:rsidP="003B085A">
            <w:pPr>
              <w:jc w:val="right"/>
              <w:rPr>
                <w:b/>
                <w:bCs/>
                <w:color w:val="0070C0"/>
                <w:sz w:val="18"/>
                <w:szCs w:val="18"/>
              </w:rPr>
            </w:pPr>
            <w:r>
              <w:rPr>
                <w:b/>
                <w:bCs/>
                <w:color w:val="000000"/>
                <w:sz w:val="18"/>
                <w:szCs w:val="18"/>
              </w:rPr>
              <w:t>0,1</w:t>
            </w:r>
          </w:p>
        </w:tc>
        <w:tc>
          <w:tcPr>
            <w:tcW w:w="567" w:type="dxa"/>
            <w:tcBorders>
              <w:top w:val="nil"/>
              <w:left w:val="nil"/>
              <w:bottom w:val="nil"/>
              <w:right w:val="single" w:sz="4" w:space="0" w:color="800000"/>
            </w:tcBorders>
            <w:shd w:val="clear" w:color="000000" w:fill="FFFFCC"/>
            <w:vAlign w:val="bottom"/>
            <w:hideMark/>
          </w:tcPr>
          <w:p w14:paraId="042B225D" w14:textId="77777777" w:rsidR="00CC09AC" w:rsidRPr="007B48E9" w:rsidRDefault="00CC09AC" w:rsidP="003B085A">
            <w:pPr>
              <w:jc w:val="right"/>
              <w:rPr>
                <w:b/>
                <w:bCs/>
                <w:color w:val="0070C0"/>
                <w:sz w:val="18"/>
                <w:szCs w:val="18"/>
              </w:rPr>
            </w:pPr>
            <w:r>
              <w:rPr>
                <w:b/>
                <w:bCs/>
                <w:color w:val="000000"/>
                <w:sz w:val="18"/>
                <w:szCs w:val="18"/>
              </w:rPr>
              <w:t>0,04</w:t>
            </w:r>
          </w:p>
        </w:tc>
        <w:tc>
          <w:tcPr>
            <w:tcW w:w="567" w:type="dxa"/>
            <w:tcBorders>
              <w:top w:val="nil"/>
              <w:left w:val="nil"/>
              <w:bottom w:val="nil"/>
              <w:right w:val="single" w:sz="4" w:space="0" w:color="800000"/>
            </w:tcBorders>
            <w:shd w:val="clear" w:color="000000" w:fill="FFFFCC"/>
            <w:vAlign w:val="bottom"/>
          </w:tcPr>
          <w:p w14:paraId="05D20342" w14:textId="77777777" w:rsidR="00CC09AC" w:rsidRPr="007B48E9" w:rsidRDefault="00CC09AC" w:rsidP="003B085A">
            <w:pPr>
              <w:jc w:val="right"/>
              <w:rPr>
                <w:b/>
                <w:bCs/>
                <w:color w:val="0070C0"/>
                <w:sz w:val="18"/>
                <w:szCs w:val="18"/>
              </w:rPr>
            </w:pPr>
            <w:r>
              <w:rPr>
                <w:b/>
                <w:bCs/>
                <w:color w:val="000000"/>
                <w:sz w:val="18"/>
                <w:szCs w:val="18"/>
              </w:rPr>
              <w:t>0,001</w:t>
            </w:r>
          </w:p>
        </w:tc>
        <w:tc>
          <w:tcPr>
            <w:tcW w:w="709" w:type="dxa"/>
            <w:tcBorders>
              <w:top w:val="nil"/>
              <w:left w:val="nil"/>
              <w:bottom w:val="nil"/>
              <w:right w:val="single" w:sz="4" w:space="0" w:color="800000"/>
            </w:tcBorders>
            <w:shd w:val="clear" w:color="000000" w:fill="FFFFCC"/>
            <w:noWrap/>
            <w:vAlign w:val="bottom"/>
            <w:hideMark/>
          </w:tcPr>
          <w:p w14:paraId="64D3BAAA" w14:textId="77777777" w:rsidR="00CC09AC" w:rsidRPr="007B48E9" w:rsidRDefault="00CC09AC" w:rsidP="003B085A">
            <w:pPr>
              <w:jc w:val="right"/>
              <w:rPr>
                <w:b/>
                <w:bCs/>
                <w:color w:val="0070C0"/>
                <w:sz w:val="18"/>
                <w:szCs w:val="18"/>
              </w:rPr>
            </w:pPr>
            <w:r>
              <w:rPr>
                <w:b/>
                <w:bCs/>
                <w:color w:val="000000"/>
                <w:sz w:val="18"/>
                <w:szCs w:val="18"/>
              </w:rPr>
              <w:t>154,6</w:t>
            </w:r>
          </w:p>
        </w:tc>
        <w:tc>
          <w:tcPr>
            <w:tcW w:w="709" w:type="dxa"/>
            <w:tcBorders>
              <w:top w:val="nil"/>
              <w:left w:val="nil"/>
              <w:bottom w:val="nil"/>
              <w:right w:val="single" w:sz="4" w:space="0" w:color="800000"/>
            </w:tcBorders>
            <w:shd w:val="clear" w:color="000000" w:fill="FFFFCC"/>
            <w:vAlign w:val="bottom"/>
            <w:hideMark/>
          </w:tcPr>
          <w:p w14:paraId="29ACF4BC" w14:textId="77777777" w:rsidR="00CC09AC" w:rsidRPr="007B48E9" w:rsidRDefault="00CC09AC" w:rsidP="003B085A">
            <w:pPr>
              <w:jc w:val="right"/>
              <w:rPr>
                <w:b/>
                <w:bCs/>
                <w:color w:val="0070C0"/>
                <w:sz w:val="18"/>
                <w:szCs w:val="18"/>
              </w:rPr>
            </w:pPr>
            <w:r>
              <w:rPr>
                <w:b/>
                <w:bCs/>
                <w:color w:val="000000"/>
                <w:sz w:val="18"/>
                <w:szCs w:val="18"/>
              </w:rPr>
              <w:t>40,0</w:t>
            </w:r>
          </w:p>
        </w:tc>
        <w:tc>
          <w:tcPr>
            <w:tcW w:w="992" w:type="dxa"/>
            <w:tcBorders>
              <w:top w:val="nil"/>
              <w:left w:val="nil"/>
              <w:bottom w:val="nil"/>
              <w:right w:val="single" w:sz="4" w:space="0" w:color="800000"/>
            </w:tcBorders>
            <w:shd w:val="clear" w:color="000000" w:fill="FFFFCC"/>
            <w:noWrap/>
            <w:vAlign w:val="bottom"/>
            <w:hideMark/>
          </w:tcPr>
          <w:p w14:paraId="6B359621" w14:textId="77777777" w:rsidR="00CC09AC" w:rsidRPr="007B48E9" w:rsidRDefault="00CC09AC" w:rsidP="003B085A">
            <w:pPr>
              <w:jc w:val="right"/>
              <w:rPr>
                <w:b/>
                <w:bCs/>
                <w:color w:val="0070C0"/>
                <w:sz w:val="18"/>
                <w:szCs w:val="18"/>
              </w:rPr>
            </w:pPr>
            <w:r>
              <w:rPr>
                <w:b/>
                <w:bCs/>
                <w:color w:val="000000"/>
                <w:sz w:val="18"/>
                <w:szCs w:val="18"/>
              </w:rPr>
              <w:t>120,4</w:t>
            </w:r>
          </w:p>
        </w:tc>
      </w:tr>
      <w:tr w:rsidR="00CC09AC" w:rsidRPr="007B48E9" w14:paraId="338C21B6"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3D3F889F" w14:textId="77777777" w:rsidR="00CC09AC" w:rsidRPr="001948DF" w:rsidRDefault="00CC09AC" w:rsidP="003B085A">
            <w:pPr>
              <w:rPr>
                <w:b/>
                <w:bCs/>
                <w:sz w:val="18"/>
                <w:szCs w:val="18"/>
              </w:rPr>
            </w:pPr>
            <w:r w:rsidRPr="001948DF">
              <w:rPr>
                <w:b/>
                <w:bCs/>
                <w:sz w:val="18"/>
                <w:szCs w:val="18"/>
              </w:rPr>
              <w:t xml:space="preserve">А. ОТБРАНА </w:t>
            </w:r>
          </w:p>
        </w:tc>
        <w:tc>
          <w:tcPr>
            <w:tcW w:w="709" w:type="dxa"/>
            <w:tcBorders>
              <w:top w:val="nil"/>
              <w:left w:val="single" w:sz="4" w:space="0" w:color="800000"/>
              <w:bottom w:val="nil"/>
              <w:right w:val="single" w:sz="4" w:space="0" w:color="800000"/>
            </w:tcBorders>
            <w:shd w:val="clear" w:color="000000" w:fill="FFFFCC"/>
            <w:noWrap/>
            <w:vAlign w:val="bottom"/>
            <w:hideMark/>
          </w:tcPr>
          <w:p w14:paraId="49692005" w14:textId="77777777" w:rsidR="00CC09AC" w:rsidRPr="007B48E9" w:rsidRDefault="00CC09AC" w:rsidP="003B085A">
            <w:pPr>
              <w:jc w:val="right"/>
              <w:rPr>
                <w:b/>
                <w:bCs/>
                <w:color w:val="0070C0"/>
                <w:sz w:val="18"/>
                <w:szCs w:val="18"/>
              </w:rPr>
            </w:pPr>
            <w:r>
              <w:rPr>
                <w:b/>
                <w:bCs/>
                <w:color w:val="000000"/>
                <w:sz w:val="18"/>
                <w:szCs w:val="18"/>
              </w:rPr>
              <w:t>2 200,5</w:t>
            </w:r>
          </w:p>
        </w:tc>
        <w:tc>
          <w:tcPr>
            <w:tcW w:w="709" w:type="dxa"/>
            <w:tcBorders>
              <w:top w:val="nil"/>
              <w:left w:val="nil"/>
              <w:bottom w:val="nil"/>
              <w:right w:val="single" w:sz="4" w:space="0" w:color="800000"/>
            </w:tcBorders>
            <w:shd w:val="clear" w:color="000000" w:fill="FFFFCC"/>
            <w:noWrap/>
            <w:vAlign w:val="bottom"/>
            <w:hideMark/>
          </w:tcPr>
          <w:p w14:paraId="60FE2BA4" w14:textId="77777777" w:rsidR="00CC09AC" w:rsidRPr="007B48E9" w:rsidRDefault="00CC09AC" w:rsidP="003B085A">
            <w:pPr>
              <w:jc w:val="right"/>
              <w:rPr>
                <w:b/>
                <w:bCs/>
                <w:color w:val="0070C0"/>
                <w:sz w:val="18"/>
                <w:szCs w:val="18"/>
              </w:rPr>
            </w:pPr>
            <w:r>
              <w:rPr>
                <w:b/>
                <w:bCs/>
                <w:color w:val="000000"/>
                <w:sz w:val="18"/>
                <w:szCs w:val="18"/>
              </w:rPr>
              <w:t>2 182,7</w:t>
            </w:r>
          </w:p>
        </w:tc>
        <w:tc>
          <w:tcPr>
            <w:tcW w:w="709" w:type="dxa"/>
            <w:tcBorders>
              <w:top w:val="nil"/>
              <w:left w:val="nil"/>
              <w:bottom w:val="nil"/>
              <w:right w:val="single" w:sz="4" w:space="0" w:color="800000"/>
            </w:tcBorders>
            <w:shd w:val="clear" w:color="000000" w:fill="FFFFCC"/>
            <w:noWrap/>
            <w:vAlign w:val="bottom"/>
            <w:hideMark/>
          </w:tcPr>
          <w:p w14:paraId="11DD2BE4" w14:textId="77777777" w:rsidR="00CC09AC" w:rsidRPr="007B48E9" w:rsidRDefault="00CC09AC" w:rsidP="003B085A">
            <w:pPr>
              <w:jc w:val="right"/>
              <w:rPr>
                <w:b/>
                <w:bCs/>
                <w:color w:val="0070C0"/>
                <w:sz w:val="18"/>
                <w:szCs w:val="18"/>
              </w:rPr>
            </w:pPr>
            <w:r>
              <w:rPr>
                <w:b/>
                <w:bCs/>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6CE98039" w14:textId="77777777" w:rsidR="00CC09AC" w:rsidRPr="007B48E9" w:rsidRDefault="00CC09AC" w:rsidP="003B085A">
            <w:pPr>
              <w:jc w:val="right"/>
              <w:rPr>
                <w:b/>
                <w:bCs/>
                <w:color w:val="0070C0"/>
                <w:sz w:val="18"/>
                <w:szCs w:val="18"/>
              </w:rPr>
            </w:pPr>
            <w:r>
              <w:rPr>
                <w:b/>
                <w:bCs/>
                <w:color w:val="000000"/>
                <w:sz w:val="18"/>
                <w:szCs w:val="18"/>
              </w:rPr>
              <w:t>0,008</w:t>
            </w:r>
          </w:p>
        </w:tc>
        <w:tc>
          <w:tcPr>
            <w:tcW w:w="567" w:type="dxa"/>
            <w:tcBorders>
              <w:top w:val="nil"/>
              <w:left w:val="nil"/>
              <w:bottom w:val="nil"/>
              <w:right w:val="single" w:sz="4" w:space="0" w:color="800000"/>
            </w:tcBorders>
            <w:shd w:val="clear" w:color="000000" w:fill="FFFFCC"/>
            <w:noWrap/>
            <w:vAlign w:val="bottom"/>
            <w:hideMark/>
          </w:tcPr>
          <w:p w14:paraId="54E905F7"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0A96A6EE"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508EB5E7"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DE536AA" w14:textId="77777777" w:rsidR="00CC09AC" w:rsidRPr="007B48E9" w:rsidRDefault="00CC09AC" w:rsidP="003B085A">
            <w:pPr>
              <w:jc w:val="right"/>
              <w:rPr>
                <w:b/>
                <w:bCs/>
                <w:color w:val="0070C0"/>
                <w:sz w:val="18"/>
                <w:szCs w:val="18"/>
              </w:rPr>
            </w:pPr>
            <w:r>
              <w:rPr>
                <w:b/>
                <w:bCs/>
                <w:color w:val="000000"/>
                <w:sz w:val="18"/>
                <w:szCs w:val="18"/>
              </w:rPr>
              <w:t>0,1</w:t>
            </w:r>
          </w:p>
        </w:tc>
        <w:tc>
          <w:tcPr>
            <w:tcW w:w="709" w:type="dxa"/>
            <w:tcBorders>
              <w:top w:val="nil"/>
              <w:left w:val="nil"/>
              <w:bottom w:val="nil"/>
              <w:right w:val="single" w:sz="4" w:space="0" w:color="800000"/>
            </w:tcBorders>
            <w:shd w:val="clear" w:color="000000" w:fill="FFFFCC"/>
            <w:vAlign w:val="bottom"/>
            <w:hideMark/>
          </w:tcPr>
          <w:p w14:paraId="2D6EBFC5" w14:textId="77777777" w:rsidR="00CC09AC" w:rsidRPr="007B48E9" w:rsidRDefault="00CC09AC" w:rsidP="003B085A">
            <w:pPr>
              <w:jc w:val="right"/>
              <w:rPr>
                <w:b/>
                <w:bCs/>
                <w:color w:val="0070C0"/>
                <w:sz w:val="18"/>
                <w:szCs w:val="18"/>
              </w:rPr>
            </w:pPr>
            <w:r>
              <w:rPr>
                <w:b/>
                <w:bCs/>
                <w:color w:val="000000"/>
                <w:sz w:val="18"/>
                <w:szCs w:val="18"/>
              </w:rPr>
              <w:t>17,7</w:t>
            </w:r>
          </w:p>
        </w:tc>
        <w:tc>
          <w:tcPr>
            <w:tcW w:w="992" w:type="dxa"/>
            <w:tcBorders>
              <w:top w:val="nil"/>
              <w:left w:val="nil"/>
              <w:bottom w:val="nil"/>
              <w:right w:val="single" w:sz="4" w:space="0" w:color="800000"/>
            </w:tcBorders>
            <w:shd w:val="clear" w:color="000000" w:fill="FFFFCC"/>
            <w:noWrap/>
            <w:vAlign w:val="bottom"/>
            <w:hideMark/>
          </w:tcPr>
          <w:p w14:paraId="0CBFC242"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5D1DD0B4" w14:textId="77777777" w:rsidTr="003B085A">
        <w:trPr>
          <w:trHeight w:val="105"/>
        </w:trPr>
        <w:tc>
          <w:tcPr>
            <w:tcW w:w="3168" w:type="dxa"/>
            <w:tcBorders>
              <w:top w:val="nil"/>
              <w:left w:val="double" w:sz="6" w:space="0" w:color="800000"/>
              <w:bottom w:val="nil"/>
              <w:right w:val="single" w:sz="4" w:space="0" w:color="800000"/>
            </w:tcBorders>
            <w:shd w:val="clear" w:color="auto" w:fill="FFFFCC"/>
            <w:noWrap/>
            <w:vAlign w:val="bottom"/>
            <w:hideMark/>
          </w:tcPr>
          <w:p w14:paraId="21F624C0" w14:textId="77777777" w:rsidR="00CC09AC" w:rsidRPr="001948DF" w:rsidRDefault="00CC09AC" w:rsidP="003B085A">
            <w:pPr>
              <w:rPr>
                <w:sz w:val="18"/>
                <w:szCs w:val="18"/>
              </w:rPr>
            </w:pPr>
            <w:r w:rsidRPr="001948DF">
              <w:rPr>
                <w:sz w:val="18"/>
                <w:szCs w:val="18"/>
              </w:rPr>
              <w:t xml:space="preserve">    Текущи нелихвени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7AECA739" w14:textId="77777777" w:rsidR="00CC09AC" w:rsidRPr="007B48E9" w:rsidRDefault="00CC09AC" w:rsidP="003B085A">
            <w:pPr>
              <w:jc w:val="right"/>
              <w:rPr>
                <w:color w:val="0070C0"/>
                <w:sz w:val="18"/>
                <w:szCs w:val="18"/>
              </w:rPr>
            </w:pPr>
            <w:r>
              <w:rPr>
                <w:color w:val="000000"/>
                <w:sz w:val="18"/>
                <w:szCs w:val="18"/>
              </w:rPr>
              <w:t>1 495,3</w:t>
            </w:r>
          </w:p>
        </w:tc>
        <w:tc>
          <w:tcPr>
            <w:tcW w:w="709" w:type="dxa"/>
            <w:tcBorders>
              <w:top w:val="nil"/>
              <w:left w:val="nil"/>
              <w:bottom w:val="nil"/>
              <w:right w:val="single" w:sz="4" w:space="0" w:color="800000"/>
            </w:tcBorders>
            <w:shd w:val="clear" w:color="000000" w:fill="FFFFCC"/>
            <w:noWrap/>
            <w:vAlign w:val="bottom"/>
            <w:hideMark/>
          </w:tcPr>
          <w:p w14:paraId="63D82EDD" w14:textId="77777777" w:rsidR="00CC09AC" w:rsidRPr="007B48E9" w:rsidRDefault="00CC09AC" w:rsidP="003B085A">
            <w:pPr>
              <w:jc w:val="right"/>
              <w:rPr>
                <w:color w:val="0070C0"/>
                <w:sz w:val="18"/>
                <w:szCs w:val="18"/>
              </w:rPr>
            </w:pPr>
            <w:r>
              <w:rPr>
                <w:color w:val="000000"/>
                <w:sz w:val="18"/>
                <w:szCs w:val="18"/>
              </w:rPr>
              <w:t>1 495,2</w:t>
            </w:r>
          </w:p>
        </w:tc>
        <w:tc>
          <w:tcPr>
            <w:tcW w:w="709" w:type="dxa"/>
            <w:tcBorders>
              <w:top w:val="nil"/>
              <w:left w:val="nil"/>
              <w:bottom w:val="nil"/>
              <w:right w:val="single" w:sz="4" w:space="0" w:color="800000"/>
            </w:tcBorders>
            <w:shd w:val="clear" w:color="000000" w:fill="FFFFCC"/>
            <w:noWrap/>
            <w:vAlign w:val="bottom"/>
            <w:hideMark/>
          </w:tcPr>
          <w:p w14:paraId="778AC98B"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2262E3F7" w14:textId="77777777" w:rsidR="00CC09AC" w:rsidRPr="007B48E9" w:rsidRDefault="00CC09AC" w:rsidP="003B085A">
            <w:pPr>
              <w:jc w:val="right"/>
              <w:rPr>
                <w:color w:val="0070C0"/>
                <w:sz w:val="18"/>
                <w:szCs w:val="18"/>
              </w:rPr>
            </w:pPr>
            <w:r>
              <w:rPr>
                <w:color w:val="000000"/>
                <w:sz w:val="18"/>
                <w:szCs w:val="18"/>
              </w:rPr>
              <w:t>0,008</w:t>
            </w:r>
          </w:p>
        </w:tc>
        <w:tc>
          <w:tcPr>
            <w:tcW w:w="567" w:type="dxa"/>
            <w:tcBorders>
              <w:top w:val="nil"/>
              <w:left w:val="nil"/>
              <w:bottom w:val="nil"/>
              <w:right w:val="single" w:sz="4" w:space="0" w:color="800000"/>
            </w:tcBorders>
            <w:shd w:val="clear" w:color="000000" w:fill="FFFFCC"/>
            <w:noWrap/>
            <w:vAlign w:val="bottom"/>
            <w:hideMark/>
          </w:tcPr>
          <w:p w14:paraId="46D047FB"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3F664C70"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528F3FE0"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5C925063" w14:textId="77777777" w:rsidR="00CC09AC" w:rsidRPr="007B48E9" w:rsidRDefault="00CC09AC" w:rsidP="003B085A">
            <w:pPr>
              <w:jc w:val="right"/>
              <w:rPr>
                <w:color w:val="0070C0"/>
                <w:sz w:val="18"/>
                <w:szCs w:val="18"/>
              </w:rPr>
            </w:pPr>
            <w:r>
              <w:rPr>
                <w:color w:val="000000"/>
                <w:sz w:val="18"/>
                <w:szCs w:val="18"/>
              </w:rPr>
              <w:t>0,1</w:t>
            </w:r>
          </w:p>
        </w:tc>
        <w:tc>
          <w:tcPr>
            <w:tcW w:w="709" w:type="dxa"/>
            <w:tcBorders>
              <w:top w:val="nil"/>
              <w:left w:val="nil"/>
              <w:bottom w:val="nil"/>
              <w:right w:val="single" w:sz="4" w:space="0" w:color="800000"/>
            </w:tcBorders>
            <w:shd w:val="clear" w:color="000000" w:fill="FFFFCC"/>
            <w:vAlign w:val="bottom"/>
            <w:hideMark/>
          </w:tcPr>
          <w:p w14:paraId="7422C1E6" w14:textId="77777777" w:rsidR="00CC09AC" w:rsidRPr="007B48E9" w:rsidRDefault="00CC09AC" w:rsidP="003B085A">
            <w:pPr>
              <w:jc w:val="right"/>
              <w:rPr>
                <w:color w:val="0070C0"/>
                <w:sz w:val="18"/>
                <w:szCs w:val="18"/>
              </w:rPr>
            </w:pPr>
            <w:r>
              <w:rPr>
                <w:color w:val="000000"/>
                <w:sz w:val="18"/>
                <w:szCs w:val="18"/>
              </w:rPr>
              <w:t>0,1</w:t>
            </w:r>
          </w:p>
        </w:tc>
        <w:tc>
          <w:tcPr>
            <w:tcW w:w="992" w:type="dxa"/>
            <w:tcBorders>
              <w:top w:val="nil"/>
              <w:left w:val="nil"/>
              <w:bottom w:val="nil"/>
              <w:right w:val="single" w:sz="4" w:space="0" w:color="800000"/>
            </w:tcBorders>
            <w:shd w:val="clear" w:color="000000" w:fill="FFFFCC"/>
            <w:noWrap/>
            <w:vAlign w:val="bottom"/>
            <w:hideMark/>
          </w:tcPr>
          <w:p w14:paraId="74758FE2"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41627E73" w14:textId="77777777" w:rsidTr="003B085A">
        <w:trPr>
          <w:trHeight w:val="82"/>
        </w:trPr>
        <w:tc>
          <w:tcPr>
            <w:tcW w:w="3168" w:type="dxa"/>
            <w:tcBorders>
              <w:top w:val="nil"/>
              <w:left w:val="double" w:sz="6" w:space="0" w:color="800000"/>
              <w:bottom w:val="nil"/>
              <w:right w:val="single" w:sz="4" w:space="0" w:color="800000"/>
            </w:tcBorders>
            <w:shd w:val="clear" w:color="auto" w:fill="FFFFCC"/>
            <w:noWrap/>
            <w:vAlign w:val="bottom"/>
            <w:hideMark/>
          </w:tcPr>
          <w:p w14:paraId="5BDC701E" w14:textId="77777777" w:rsidR="00CC09AC" w:rsidRPr="001948DF" w:rsidRDefault="00CC09AC" w:rsidP="003B085A">
            <w:pPr>
              <w:rPr>
                <w:sz w:val="18"/>
                <w:szCs w:val="18"/>
              </w:rPr>
            </w:pPr>
            <w:r w:rsidRPr="001948DF">
              <w:rPr>
                <w:sz w:val="18"/>
                <w:szCs w:val="18"/>
              </w:rPr>
              <w:t xml:space="preserve">    Капиталови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32C609DD" w14:textId="77777777" w:rsidR="00CC09AC" w:rsidRPr="007B48E9" w:rsidRDefault="00CC09AC" w:rsidP="003B085A">
            <w:pPr>
              <w:jc w:val="right"/>
              <w:rPr>
                <w:color w:val="0070C0"/>
                <w:sz w:val="18"/>
                <w:szCs w:val="18"/>
              </w:rPr>
            </w:pPr>
            <w:r>
              <w:rPr>
                <w:color w:val="000000"/>
                <w:sz w:val="18"/>
                <w:szCs w:val="18"/>
              </w:rPr>
              <w:t>705,3</w:t>
            </w:r>
          </w:p>
        </w:tc>
        <w:tc>
          <w:tcPr>
            <w:tcW w:w="709" w:type="dxa"/>
            <w:tcBorders>
              <w:top w:val="nil"/>
              <w:left w:val="nil"/>
              <w:bottom w:val="nil"/>
              <w:right w:val="single" w:sz="4" w:space="0" w:color="800000"/>
            </w:tcBorders>
            <w:shd w:val="clear" w:color="000000" w:fill="FFFFCC"/>
            <w:noWrap/>
            <w:vAlign w:val="bottom"/>
            <w:hideMark/>
          </w:tcPr>
          <w:p w14:paraId="72752A64" w14:textId="77777777" w:rsidR="00CC09AC" w:rsidRPr="007B48E9" w:rsidRDefault="00CC09AC" w:rsidP="003B085A">
            <w:pPr>
              <w:jc w:val="right"/>
              <w:rPr>
                <w:color w:val="0070C0"/>
                <w:sz w:val="18"/>
                <w:szCs w:val="18"/>
              </w:rPr>
            </w:pPr>
            <w:r>
              <w:rPr>
                <w:color w:val="000000"/>
                <w:sz w:val="18"/>
                <w:szCs w:val="18"/>
              </w:rPr>
              <w:t>687,6</w:t>
            </w:r>
          </w:p>
        </w:tc>
        <w:tc>
          <w:tcPr>
            <w:tcW w:w="709" w:type="dxa"/>
            <w:tcBorders>
              <w:top w:val="nil"/>
              <w:left w:val="nil"/>
              <w:bottom w:val="nil"/>
              <w:right w:val="single" w:sz="4" w:space="0" w:color="800000"/>
            </w:tcBorders>
            <w:shd w:val="clear" w:color="000000" w:fill="FFFFCC"/>
            <w:noWrap/>
            <w:vAlign w:val="bottom"/>
            <w:hideMark/>
          </w:tcPr>
          <w:p w14:paraId="13E826A2"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4C1EC255"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53121A88"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7890C392"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64ABB504"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A4C59C2" w14:textId="77777777" w:rsidR="00CC09AC" w:rsidRPr="007B48E9" w:rsidRDefault="00CC09AC" w:rsidP="003B085A">
            <w:pPr>
              <w:jc w:val="right"/>
              <w:rPr>
                <w:color w:val="0070C0"/>
                <w:sz w:val="18"/>
                <w:szCs w:val="18"/>
              </w:rPr>
            </w:pPr>
            <w:r>
              <w:rPr>
                <w:color w:val="000000"/>
                <w:sz w:val="18"/>
                <w:szCs w:val="18"/>
              </w:rPr>
              <w:t>0,01</w:t>
            </w:r>
          </w:p>
        </w:tc>
        <w:tc>
          <w:tcPr>
            <w:tcW w:w="709" w:type="dxa"/>
            <w:tcBorders>
              <w:top w:val="nil"/>
              <w:left w:val="nil"/>
              <w:bottom w:val="nil"/>
              <w:right w:val="single" w:sz="4" w:space="0" w:color="800000"/>
            </w:tcBorders>
            <w:shd w:val="clear" w:color="000000" w:fill="FFFFCC"/>
            <w:vAlign w:val="bottom"/>
            <w:hideMark/>
          </w:tcPr>
          <w:p w14:paraId="4E1C3241" w14:textId="77777777" w:rsidR="00CC09AC" w:rsidRPr="007B48E9" w:rsidRDefault="00CC09AC" w:rsidP="003B085A">
            <w:pPr>
              <w:jc w:val="right"/>
              <w:rPr>
                <w:color w:val="0070C0"/>
                <w:sz w:val="18"/>
                <w:szCs w:val="18"/>
              </w:rPr>
            </w:pPr>
            <w:r>
              <w:rPr>
                <w:color w:val="000000"/>
                <w:sz w:val="18"/>
                <w:szCs w:val="18"/>
              </w:rPr>
              <w:t>17,7</w:t>
            </w:r>
          </w:p>
        </w:tc>
        <w:tc>
          <w:tcPr>
            <w:tcW w:w="992" w:type="dxa"/>
            <w:tcBorders>
              <w:top w:val="nil"/>
              <w:left w:val="nil"/>
              <w:bottom w:val="nil"/>
              <w:right w:val="single" w:sz="4" w:space="0" w:color="800000"/>
            </w:tcBorders>
            <w:shd w:val="clear" w:color="000000" w:fill="FFFFCC"/>
            <w:noWrap/>
            <w:vAlign w:val="bottom"/>
            <w:hideMark/>
          </w:tcPr>
          <w:p w14:paraId="2AC0CC18"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3785B6CA"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7A99D16C" w14:textId="77777777" w:rsidR="00CC09AC" w:rsidRPr="001948DF" w:rsidRDefault="00CC09AC" w:rsidP="003B085A">
            <w:pPr>
              <w:rPr>
                <w:sz w:val="18"/>
                <w:szCs w:val="18"/>
              </w:rPr>
            </w:pPr>
            <w:r w:rsidRPr="001948DF">
              <w:rPr>
                <w:sz w:val="18"/>
                <w:szCs w:val="18"/>
              </w:rPr>
              <w:t xml:space="preserve">    Пред. тек. и кап. тр/ри за чужбина</w:t>
            </w:r>
          </w:p>
        </w:tc>
        <w:tc>
          <w:tcPr>
            <w:tcW w:w="709" w:type="dxa"/>
            <w:tcBorders>
              <w:top w:val="nil"/>
              <w:left w:val="single" w:sz="4" w:space="0" w:color="800000"/>
              <w:bottom w:val="nil"/>
              <w:right w:val="single" w:sz="4" w:space="0" w:color="800000"/>
            </w:tcBorders>
            <w:shd w:val="clear" w:color="000000" w:fill="FFFFCC"/>
            <w:noWrap/>
            <w:vAlign w:val="bottom"/>
            <w:hideMark/>
          </w:tcPr>
          <w:p w14:paraId="7A041FA8"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B3F60F4"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197719EE"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092A762A"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3D03CD4D"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55E7C49C"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76E7302"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33EE181"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3E5DDA2B"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nil"/>
              <w:bottom w:val="nil"/>
              <w:right w:val="single" w:sz="4" w:space="0" w:color="800000"/>
            </w:tcBorders>
            <w:shd w:val="clear" w:color="000000" w:fill="FFFFCC"/>
            <w:noWrap/>
            <w:vAlign w:val="bottom"/>
            <w:hideMark/>
          </w:tcPr>
          <w:p w14:paraId="31878853"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6A8CFB66" w14:textId="77777777" w:rsidTr="003B085A">
        <w:trPr>
          <w:trHeight w:val="151"/>
        </w:trPr>
        <w:tc>
          <w:tcPr>
            <w:tcW w:w="3168" w:type="dxa"/>
            <w:tcBorders>
              <w:top w:val="nil"/>
              <w:left w:val="double" w:sz="6" w:space="0" w:color="800000"/>
              <w:bottom w:val="nil"/>
              <w:right w:val="single" w:sz="4" w:space="0" w:color="800000"/>
            </w:tcBorders>
            <w:shd w:val="clear" w:color="auto" w:fill="FFFFCC"/>
            <w:noWrap/>
            <w:vAlign w:val="bottom"/>
            <w:hideMark/>
          </w:tcPr>
          <w:p w14:paraId="1FC226AC" w14:textId="77777777" w:rsidR="00CC09AC" w:rsidRPr="001948DF" w:rsidRDefault="00CC09AC" w:rsidP="003B085A">
            <w:pPr>
              <w:rPr>
                <w:b/>
                <w:bCs/>
                <w:sz w:val="18"/>
                <w:szCs w:val="18"/>
              </w:rPr>
            </w:pPr>
            <w:r w:rsidRPr="001948DF">
              <w:rPr>
                <w:b/>
                <w:bCs/>
                <w:sz w:val="18"/>
                <w:szCs w:val="18"/>
              </w:rPr>
              <w:t>Б. ПОЛИЦИЯ, ВЪТРЕШЕН РЕД И СИГУРНОСТ</w:t>
            </w:r>
          </w:p>
        </w:tc>
        <w:tc>
          <w:tcPr>
            <w:tcW w:w="709" w:type="dxa"/>
            <w:tcBorders>
              <w:top w:val="nil"/>
              <w:left w:val="single" w:sz="4" w:space="0" w:color="800000"/>
              <w:bottom w:val="nil"/>
              <w:right w:val="single" w:sz="4" w:space="0" w:color="800000"/>
            </w:tcBorders>
            <w:shd w:val="clear" w:color="000000" w:fill="FFFFCC"/>
            <w:noWrap/>
            <w:vAlign w:val="bottom"/>
            <w:hideMark/>
          </w:tcPr>
          <w:p w14:paraId="76524C4E" w14:textId="77777777" w:rsidR="00CC09AC" w:rsidRPr="007B48E9" w:rsidRDefault="00CC09AC" w:rsidP="003B085A">
            <w:pPr>
              <w:jc w:val="right"/>
              <w:rPr>
                <w:b/>
                <w:bCs/>
                <w:color w:val="0070C0"/>
                <w:sz w:val="18"/>
                <w:szCs w:val="18"/>
              </w:rPr>
            </w:pPr>
            <w:r>
              <w:rPr>
                <w:b/>
                <w:bCs/>
                <w:color w:val="000000"/>
                <w:sz w:val="18"/>
                <w:szCs w:val="18"/>
              </w:rPr>
              <w:t>2 842,6</w:t>
            </w:r>
          </w:p>
        </w:tc>
        <w:tc>
          <w:tcPr>
            <w:tcW w:w="709" w:type="dxa"/>
            <w:tcBorders>
              <w:top w:val="nil"/>
              <w:left w:val="nil"/>
              <w:bottom w:val="nil"/>
              <w:right w:val="single" w:sz="4" w:space="0" w:color="800000"/>
            </w:tcBorders>
            <w:shd w:val="clear" w:color="000000" w:fill="FFFFCC"/>
            <w:noWrap/>
            <w:vAlign w:val="bottom"/>
            <w:hideMark/>
          </w:tcPr>
          <w:p w14:paraId="4E46328A" w14:textId="77777777" w:rsidR="00CC09AC" w:rsidRPr="007B48E9" w:rsidRDefault="00CC09AC" w:rsidP="003B085A">
            <w:pPr>
              <w:jc w:val="right"/>
              <w:rPr>
                <w:b/>
                <w:bCs/>
                <w:color w:val="0070C0"/>
                <w:sz w:val="18"/>
                <w:szCs w:val="18"/>
              </w:rPr>
            </w:pPr>
            <w:r>
              <w:rPr>
                <w:b/>
                <w:bCs/>
                <w:color w:val="000000"/>
                <w:sz w:val="18"/>
                <w:szCs w:val="18"/>
              </w:rPr>
              <w:t>2 693,6</w:t>
            </w:r>
          </w:p>
        </w:tc>
        <w:tc>
          <w:tcPr>
            <w:tcW w:w="709" w:type="dxa"/>
            <w:tcBorders>
              <w:top w:val="nil"/>
              <w:left w:val="nil"/>
              <w:bottom w:val="nil"/>
              <w:right w:val="single" w:sz="4" w:space="0" w:color="800000"/>
            </w:tcBorders>
            <w:shd w:val="clear" w:color="000000" w:fill="FFFFCC"/>
            <w:noWrap/>
            <w:vAlign w:val="bottom"/>
            <w:hideMark/>
          </w:tcPr>
          <w:p w14:paraId="760DA8AE" w14:textId="77777777" w:rsidR="00CC09AC" w:rsidRPr="007B48E9" w:rsidRDefault="00CC09AC" w:rsidP="003B085A">
            <w:pPr>
              <w:jc w:val="right"/>
              <w:rPr>
                <w:b/>
                <w:bCs/>
                <w:color w:val="0070C0"/>
                <w:sz w:val="18"/>
                <w:szCs w:val="18"/>
              </w:rPr>
            </w:pPr>
            <w:r>
              <w:rPr>
                <w:b/>
                <w:bCs/>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050CFF2B"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5EA5D415"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1AC62410"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E624C02"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5C0ACC88" w14:textId="77777777" w:rsidR="00CC09AC" w:rsidRPr="007B48E9" w:rsidRDefault="00CC09AC" w:rsidP="003B085A">
            <w:pPr>
              <w:jc w:val="right"/>
              <w:rPr>
                <w:b/>
                <w:bCs/>
                <w:color w:val="0070C0"/>
                <w:sz w:val="18"/>
                <w:szCs w:val="18"/>
              </w:rPr>
            </w:pPr>
            <w:r>
              <w:rPr>
                <w:b/>
                <w:bCs/>
                <w:color w:val="000000"/>
                <w:sz w:val="18"/>
                <w:szCs w:val="18"/>
              </w:rPr>
              <w:t>36,3</w:t>
            </w:r>
          </w:p>
        </w:tc>
        <w:tc>
          <w:tcPr>
            <w:tcW w:w="709" w:type="dxa"/>
            <w:tcBorders>
              <w:top w:val="nil"/>
              <w:left w:val="nil"/>
              <w:bottom w:val="nil"/>
              <w:right w:val="single" w:sz="4" w:space="0" w:color="800000"/>
            </w:tcBorders>
            <w:shd w:val="clear" w:color="000000" w:fill="FFFFCC"/>
            <w:vAlign w:val="bottom"/>
            <w:hideMark/>
          </w:tcPr>
          <w:p w14:paraId="25555526" w14:textId="77777777" w:rsidR="00CC09AC" w:rsidRPr="007B48E9" w:rsidRDefault="00CC09AC" w:rsidP="003B085A">
            <w:pPr>
              <w:jc w:val="right"/>
              <w:rPr>
                <w:b/>
                <w:bCs/>
                <w:color w:val="0070C0"/>
                <w:sz w:val="18"/>
                <w:szCs w:val="18"/>
              </w:rPr>
            </w:pPr>
            <w:r>
              <w:rPr>
                <w:b/>
                <w:bCs/>
                <w:color w:val="000000"/>
                <w:sz w:val="18"/>
                <w:szCs w:val="18"/>
              </w:rPr>
              <w:t>6,8</w:t>
            </w:r>
          </w:p>
        </w:tc>
        <w:tc>
          <w:tcPr>
            <w:tcW w:w="992" w:type="dxa"/>
            <w:tcBorders>
              <w:top w:val="nil"/>
              <w:left w:val="nil"/>
              <w:bottom w:val="nil"/>
              <w:right w:val="single" w:sz="4" w:space="0" w:color="800000"/>
            </w:tcBorders>
            <w:shd w:val="clear" w:color="000000" w:fill="FFFFCC"/>
            <w:noWrap/>
            <w:vAlign w:val="bottom"/>
            <w:hideMark/>
          </w:tcPr>
          <w:p w14:paraId="55B0612E" w14:textId="77777777" w:rsidR="00CC09AC" w:rsidRPr="007B48E9" w:rsidRDefault="00CC09AC" w:rsidP="003B085A">
            <w:pPr>
              <w:jc w:val="right"/>
              <w:rPr>
                <w:b/>
                <w:bCs/>
                <w:color w:val="0070C0"/>
                <w:sz w:val="18"/>
                <w:szCs w:val="18"/>
              </w:rPr>
            </w:pPr>
            <w:r>
              <w:rPr>
                <w:b/>
                <w:bCs/>
                <w:color w:val="000000"/>
                <w:sz w:val="18"/>
                <w:szCs w:val="18"/>
              </w:rPr>
              <w:t>105,9</w:t>
            </w:r>
          </w:p>
        </w:tc>
      </w:tr>
      <w:tr w:rsidR="00CC09AC" w:rsidRPr="007B48E9" w14:paraId="581F3338" w14:textId="77777777" w:rsidTr="003B085A">
        <w:trPr>
          <w:trHeight w:val="82"/>
        </w:trPr>
        <w:tc>
          <w:tcPr>
            <w:tcW w:w="3168" w:type="dxa"/>
            <w:tcBorders>
              <w:top w:val="nil"/>
              <w:left w:val="double" w:sz="6" w:space="0" w:color="800000"/>
              <w:bottom w:val="nil"/>
              <w:right w:val="single" w:sz="4" w:space="0" w:color="800000"/>
            </w:tcBorders>
            <w:shd w:val="clear" w:color="auto" w:fill="FFFFCC"/>
            <w:noWrap/>
            <w:vAlign w:val="bottom"/>
            <w:hideMark/>
          </w:tcPr>
          <w:p w14:paraId="3D956227" w14:textId="77777777" w:rsidR="00CC09AC" w:rsidRPr="001948DF" w:rsidRDefault="00CC09AC" w:rsidP="003B085A">
            <w:pPr>
              <w:rPr>
                <w:sz w:val="18"/>
                <w:szCs w:val="18"/>
              </w:rPr>
            </w:pPr>
            <w:r w:rsidRPr="001948DF">
              <w:rPr>
                <w:sz w:val="18"/>
                <w:szCs w:val="18"/>
              </w:rPr>
              <w:t xml:space="preserve">    Текущи нелихвени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26E353CD" w14:textId="77777777" w:rsidR="00CC09AC" w:rsidRPr="007B48E9" w:rsidRDefault="00CC09AC" w:rsidP="003B085A">
            <w:pPr>
              <w:jc w:val="right"/>
              <w:rPr>
                <w:color w:val="0070C0"/>
                <w:sz w:val="18"/>
                <w:szCs w:val="18"/>
              </w:rPr>
            </w:pPr>
            <w:r>
              <w:rPr>
                <w:color w:val="000000"/>
                <w:sz w:val="18"/>
                <w:szCs w:val="18"/>
              </w:rPr>
              <w:t>2 609,5</w:t>
            </w:r>
          </w:p>
        </w:tc>
        <w:tc>
          <w:tcPr>
            <w:tcW w:w="709" w:type="dxa"/>
            <w:tcBorders>
              <w:top w:val="nil"/>
              <w:left w:val="nil"/>
              <w:bottom w:val="nil"/>
              <w:right w:val="single" w:sz="4" w:space="0" w:color="800000"/>
            </w:tcBorders>
            <w:shd w:val="clear" w:color="000000" w:fill="FFFFCC"/>
            <w:noWrap/>
            <w:vAlign w:val="bottom"/>
            <w:hideMark/>
          </w:tcPr>
          <w:p w14:paraId="7A12ACF2" w14:textId="77777777" w:rsidR="00CC09AC" w:rsidRPr="007B48E9" w:rsidRDefault="00CC09AC" w:rsidP="003B085A">
            <w:pPr>
              <w:jc w:val="right"/>
              <w:rPr>
                <w:color w:val="0070C0"/>
                <w:sz w:val="18"/>
                <w:szCs w:val="18"/>
              </w:rPr>
            </w:pPr>
            <w:r>
              <w:rPr>
                <w:color w:val="000000"/>
                <w:sz w:val="18"/>
                <w:szCs w:val="18"/>
              </w:rPr>
              <w:t>2 539,9</w:t>
            </w:r>
          </w:p>
        </w:tc>
        <w:tc>
          <w:tcPr>
            <w:tcW w:w="709" w:type="dxa"/>
            <w:tcBorders>
              <w:top w:val="nil"/>
              <w:left w:val="nil"/>
              <w:bottom w:val="nil"/>
              <w:right w:val="single" w:sz="4" w:space="0" w:color="800000"/>
            </w:tcBorders>
            <w:shd w:val="clear" w:color="000000" w:fill="FFFFCC"/>
            <w:noWrap/>
            <w:vAlign w:val="bottom"/>
            <w:hideMark/>
          </w:tcPr>
          <w:p w14:paraId="3981B913"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40A5DCCD"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36148894"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4CC86304"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E8B74B5"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7091EF2" w14:textId="77777777" w:rsidR="00CC09AC" w:rsidRPr="007B48E9" w:rsidRDefault="00CC09AC" w:rsidP="003B085A">
            <w:pPr>
              <w:jc w:val="right"/>
              <w:rPr>
                <w:color w:val="0070C0"/>
                <w:sz w:val="18"/>
                <w:szCs w:val="18"/>
              </w:rPr>
            </w:pPr>
            <w:r>
              <w:rPr>
                <w:color w:val="000000"/>
                <w:sz w:val="18"/>
                <w:szCs w:val="18"/>
              </w:rPr>
              <w:t>30,2</w:t>
            </w:r>
          </w:p>
        </w:tc>
        <w:tc>
          <w:tcPr>
            <w:tcW w:w="709" w:type="dxa"/>
            <w:tcBorders>
              <w:top w:val="nil"/>
              <w:left w:val="nil"/>
              <w:bottom w:val="nil"/>
              <w:right w:val="single" w:sz="4" w:space="0" w:color="800000"/>
            </w:tcBorders>
            <w:shd w:val="clear" w:color="000000" w:fill="FFFFCC"/>
            <w:vAlign w:val="bottom"/>
            <w:hideMark/>
          </w:tcPr>
          <w:p w14:paraId="03F4DF91" w14:textId="77777777" w:rsidR="00CC09AC" w:rsidRPr="007B48E9" w:rsidRDefault="00CC09AC" w:rsidP="003B085A">
            <w:pPr>
              <w:jc w:val="right"/>
              <w:rPr>
                <w:color w:val="0070C0"/>
                <w:sz w:val="18"/>
                <w:szCs w:val="18"/>
              </w:rPr>
            </w:pPr>
            <w:r>
              <w:rPr>
                <w:color w:val="000000"/>
                <w:sz w:val="18"/>
                <w:szCs w:val="18"/>
              </w:rPr>
              <w:t>2,8</w:t>
            </w:r>
          </w:p>
        </w:tc>
        <w:tc>
          <w:tcPr>
            <w:tcW w:w="992" w:type="dxa"/>
            <w:tcBorders>
              <w:top w:val="nil"/>
              <w:left w:val="nil"/>
              <w:bottom w:val="nil"/>
              <w:right w:val="single" w:sz="4" w:space="0" w:color="800000"/>
            </w:tcBorders>
            <w:shd w:val="clear" w:color="000000" w:fill="FFFFCC"/>
            <w:noWrap/>
            <w:vAlign w:val="bottom"/>
            <w:hideMark/>
          </w:tcPr>
          <w:p w14:paraId="6431733F" w14:textId="77777777" w:rsidR="00CC09AC" w:rsidRPr="007B48E9" w:rsidRDefault="00CC09AC" w:rsidP="003B085A">
            <w:pPr>
              <w:jc w:val="right"/>
              <w:rPr>
                <w:color w:val="0070C0"/>
                <w:sz w:val="18"/>
                <w:szCs w:val="18"/>
              </w:rPr>
            </w:pPr>
            <w:r>
              <w:rPr>
                <w:color w:val="000000"/>
                <w:sz w:val="18"/>
                <w:szCs w:val="18"/>
              </w:rPr>
              <w:t>36,6</w:t>
            </w:r>
          </w:p>
        </w:tc>
      </w:tr>
      <w:tr w:rsidR="00CC09AC" w:rsidRPr="007B48E9" w14:paraId="104512A2" w14:textId="77777777" w:rsidTr="003B085A">
        <w:trPr>
          <w:trHeight w:val="105"/>
        </w:trPr>
        <w:tc>
          <w:tcPr>
            <w:tcW w:w="3168" w:type="dxa"/>
            <w:tcBorders>
              <w:top w:val="nil"/>
              <w:left w:val="double" w:sz="6" w:space="0" w:color="800000"/>
              <w:bottom w:val="nil"/>
              <w:right w:val="single" w:sz="4" w:space="0" w:color="800000"/>
            </w:tcBorders>
            <w:shd w:val="clear" w:color="auto" w:fill="FFFFCC"/>
            <w:noWrap/>
            <w:vAlign w:val="bottom"/>
            <w:hideMark/>
          </w:tcPr>
          <w:p w14:paraId="3FFCC46F" w14:textId="77777777" w:rsidR="00CC09AC" w:rsidRPr="001948DF" w:rsidRDefault="00CC09AC" w:rsidP="003B085A">
            <w:pPr>
              <w:rPr>
                <w:sz w:val="18"/>
                <w:szCs w:val="18"/>
              </w:rPr>
            </w:pPr>
            <w:r w:rsidRPr="001948DF">
              <w:rPr>
                <w:sz w:val="18"/>
                <w:szCs w:val="18"/>
              </w:rPr>
              <w:t xml:space="preserve">    Капиталови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5F08AF0A" w14:textId="77777777" w:rsidR="00CC09AC" w:rsidRPr="007B48E9" w:rsidRDefault="00CC09AC" w:rsidP="003B085A">
            <w:pPr>
              <w:jc w:val="right"/>
              <w:rPr>
                <w:color w:val="0070C0"/>
                <w:sz w:val="18"/>
                <w:szCs w:val="18"/>
              </w:rPr>
            </w:pPr>
            <w:r>
              <w:rPr>
                <w:color w:val="000000"/>
                <w:sz w:val="18"/>
                <w:szCs w:val="18"/>
              </w:rPr>
              <w:t>232,8</w:t>
            </w:r>
          </w:p>
        </w:tc>
        <w:tc>
          <w:tcPr>
            <w:tcW w:w="709" w:type="dxa"/>
            <w:tcBorders>
              <w:top w:val="nil"/>
              <w:left w:val="nil"/>
              <w:bottom w:val="nil"/>
              <w:right w:val="single" w:sz="4" w:space="0" w:color="800000"/>
            </w:tcBorders>
            <w:shd w:val="clear" w:color="000000" w:fill="FFFFCC"/>
            <w:noWrap/>
            <w:vAlign w:val="bottom"/>
            <w:hideMark/>
          </w:tcPr>
          <w:p w14:paraId="6B2FEEDE" w14:textId="77777777" w:rsidR="00CC09AC" w:rsidRPr="007B48E9" w:rsidRDefault="00CC09AC" w:rsidP="003B085A">
            <w:pPr>
              <w:jc w:val="right"/>
              <w:rPr>
                <w:color w:val="0070C0"/>
                <w:sz w:val="18"/>
                <w:szCs w:val="18"/>
              </w:rPr>
            </w:pPr>
            <w:r>
              <w:rPr>
                <w:color w:val="000000"/>
                <w:sz w:val="18"/>
                <w:szCs w:val="18"/>
              </w:rPr>
              <w:t>153,8</w:t>
            </w:r>
          </w:p>
        </w:tc>
        <w:tc>
          <w:tcPr>
            <w:tcW w:w="709" w:type="dxa"/>
            <w:tcBorders>
              <w:top w:val="nil"/>
              <w:left w:val="nil"/>
              <w:bottom w:val="nil"/>
              <w:right w:val="single" w:sz="4" w:space="0" w:color="800000"/>
            </w:tcBorders>
            <w:shd w:val="clear" w:color="000000" w:fill="FFFFCC"/>
            <w:noWrap/>
            <w:vAlign w:val="bottom"/>
            <w:hideMark/>
          </w:tcPr>
          <w:p w14:paraId="28EBAB7E"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741EC987"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5C262831"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3EE0CC39"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51077A2D"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6E6F787" w14:textId="77777777" w:rsidR="00CC09AC" w:rsidRPr="007B48E9" w:rsidRDefault="00CC09AC" w:rsidP="003B085A">
            <w:pPr>
              <w:jc w:val="right"/>
              <w:rPr>
                <w:color w:val="0070C0"/>
                <w:sz w:val="18"/>
                <w:szCs w:val="18"/>
              </w:rPr>
            </w:pPr>
            <w:r>
              <w:rPr>
                <w:color w:val="000000"/>
                <w:sz w:val="18"/>
                <w:szCs w:val="18"/>
              </w:rPr>
              <w:t>6,1</w:t>
            </w:r>
          </w:p>
        </w:tc>
        <w:tc>
          <w:tcPr>
            <w:tcW w:w="709" w:type="dxa"/>
            <w:tcBorders>
              <w:top w:val="nil"/>
              <w:left w:val="nil"/>
              <w:bottom w:val="nil"/>
              <w:right w:val="single" w:sz="4" w:space="0" w:color="800000"/>
            </w:tcBorders>
            <w:shd w:val="clear" w:color="000000" w:fill="FFFFCC"/>
            <w:vAlign w:val="bottom"/>
            <w:hideMark/>
          </w:tcPr>
          <w:p w14:paraId="05B2AE18" w14:textId="77777777" w:rsidR="00CC09AC" w:rsidRPr="007B48E9" w:rsidRDefault="00CC09AC" w:rsidP="003B085A">
            <w:pPr>
              <w:jc w:val="right"/>
              <w:rPr>
                <w:color w:val="0070C0"/>
                <w:sz w:val="18"/>
                <w:szCs w:val="18"/>
              </w:rPr>
            </w:pPr>
            <w:r>
              <w:rPr>
                <w:color w:val="000000"/>
                <w:sz w:val="18"/>
                <w:szCs w:val="18"/>
              </w:rPr>
              <w:t>3,72</w:t>
            </w:r>
          </w:p>
        </w:tc>
        <w:tc>
          <w:tcPr>
            <w:tcW w:w="992" w:type="dxa"/>
            <w:tcBorders>
              <w:top w:val="nil"/>
              <w:left w:val="nil"/>
              <w:bottom w:val="nil"/>
              <w:right w:val="single" w:sz="4" w:space="0" w:color="800000"/>
            </w:tcBorders>
            <w:shd w:val="clear" w:color="000000" w:fill="FFFFCC"/>
            <w:noWrap/>
            <w:vAlign w:val="bottom"/>
            <w:hideMark/>
          </w:tcPr>
          <w:p w14:paraId="32CD7D1A" w14:textId="77777777" w:rsidR="00CC09AC" w:rsidRPr="007B48E9" w:rsidRDefault="00CC09AC" w:rsidP="003B085A">
            <w:pPr>
              <w:jc w:val="right"/>
              <w:rPr>
                <w:color w:val="0070C0"/>
                <w:sz w:val="18"/>
                <w:szCs w:val="18"/>
              </w:rPr>
            </w:pPr>
            <w:r>
              <w:rPr>
                <w:color w:val="000000"/>
                <w:sz w:val="18"/>
                <w:szCs w:val="18"/>
              </w:rPr>
              <w:t>69,3</w:t>
            </w:r>
          </w:p>
        </w:tc>
      </w:tr>
      <w:tr w:rsidR="00CC09AC" w:rsidRPr="007B48E9" w14:paraId="12DE1516" w14:textId="77777777" w:rsidTr="003B085A">
        <w:trPr>
          <w:trHeight w:val="82"/>
        </w:trPr>
        <w:tc>
          <w:tcPr>
            <w:tcW w:w="3168" w:type="dxa"/>
            <w:tcBorders>
              <w:top w:val="nil"/>
              <w:left w:val="double" w:sz="6" w:space="0" w:color="800000"/>
              <w:bottom w:val="nil"/>
              <w:right w:val="single" w:sz="4" w:space="0" w:color="800000"/>
            </w:tcBorders>
            <w:shd w:val="clear" w:color="auto" w:fill="FFFFCC"/>
            <w:noWrap/>
            <w:vAlign w:val="bottom"/>
            <w:hideMark/>
          </w:tcPr>
          <w:p w14:paraId="44E88F91" w14:textId="77777777" w:rsidR="00CC09AC" w:rsidRPr="001948DF" w:rsidRDefault="00CC09AC" w:rsidP="003B085A">
            <w:pPr>
              <w:rPr>
                <w:sz w:val="18"/>
                <w:szCs w:val="18"/>
              </w:rPr>
            </w:pPr>
            <w:r w:rsidRPr="001948DF">
              <w:rPr>
                <w:sz w:val="18"/>
                <w:szCs w:val="18"/>
              </w:rPr>
              <w:t xml:space="preserve">    Пред. тек. и кап. тр/ри за чужбина</w:t>
            </w:r>
          </w:p>
        </w:tc>
        <w:tc>
          <w:tcPr>
            <w:tcW w:w="709" w:type="dxa"/>
            <w:tcBorders>
              <w:top w:val="nil"/>
              <w:left w:val="single" w:sz="4" w:space="0" w:color="800000"/>
              <w:bottom w:val="nil"/>
              <w:right w:val="single" w:sz="4" w:space="0" w:color="800000"/>
            </w:tcBorders>
            <w:shd w:val="clear" w:color="000000" w:fill="FFFFCC"/>
            <w:noWrap/>
            <w:vAlign w:val="bottom"/>
            <w:hideMark/>
          </w:tcPr>
          <w:p w14:paraId="28D888CA" w14:textId="77777777" w:rsidR="00CC09AC" w:rsidRPr="007B48E9" w:rsidRDefault="00CC09AC" w:rsidP="003B085A">
            <w:pPr>
              <w:jc w:val="right"/>
              <w:rPr>
                <w:color w:val="0070C0"/>
                <w:sz w:val="18"/>
                <w:szCs w:val="18"/>
              </w:rPr>
            </w:pPr>
            <w:r>
              <w:rPr>
                <w:color w:val="000000"/>
                <w:sz w:val="18"/>
                <w:szCs w:val="18"/>
              </w:rPr>
              <w:t>0,2</w:t>
            </w:r>
          </w:p>
        </w:tc>
        <w:tc>
          <w:tcPr>
            <w:tcW w:w="709" w:type="dxa"/>
            <w:tcBorders>
              <w:top w:val="nil"/>
              <w:left w:val="nil"/>
              <w:bottom w:val="nil"/>
              <w:right w:val="single" w:sz="4" w:space="0" w:color="800000"/>
            </w:tcBorders>
            <w:shd w:val="clear" w:color="000000" w:fill="FFFFCC"/>
            <w:noWrap/>
            <w:vAlign w:val="bottom"/>
            <w:hideMark/>
          </w:tcPr>
          <w:p w14:paraId="1604826E" w14:textId="77777777" w:rsidR="00CC09AC" w:rsidRPr="007B48E9" w:rsidRDefault="00CC09AC" w:rsidP="003B085A">
            <w:pPr>
              <w:jc w:val="right"/>
              <w:rPr>
                <w:color w:val="0070C0"/>
                <w:sz w:val="18"/>
                <w:szCs w:val="18"/>
              </w:rPr>
            </w:pPr>
            <w:r>
              <w:rPr>
                <w:color w:val="000000"/>
                <w:sz w:val="18"/>
                <w:szCs w:val="18"/>
              </w:rPr>
              <w:t>0,003</w:t>
            </w:r>
          </w:p>
        </w:tc>
        <w:tc>
          <w:tcPr>
            <w:tcW w:w="709" w:type="dxa"/>
            <w:tcBorders>
              <w:top w:val="nil"/>
              <w:left w:val="nil"/>
              <w:bottom w:val="nil"/>
              <w:right w:val="single" w:sz="4" w:space="0" w:color="800000"/>
            </w:tcBorders>
            <w:shd w:val="clear" w:color="000000" w:fill="FFFFCC"/>
            <w:noWrap/>
            <w:vAlign w:val="bottom"/>
            <w:hideMark/>
          </w:tcPr>
          <w:p w14:paraId="460C6FA8"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662454A0"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1ACF5ABD"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1FD8CB9F"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5B0846C3"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678F82ED"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079EA102" w14:textId="77777777" w:rsidR="00CC09AC" w:rsidRPr="007B48E9" w:rsidRDefault="00CC09AC" w:rsidP="003B085A">
            <w:pPr>
              <w:jc w:val="right"/>
              <w:rPr>
                <w:color w:val="0070C0"/>
                <w:sz w:val="18"/>
                <w:szCs w:val="18"/>
              </w:rPr>
            </w:pPr>
            <w:r>
              <w:rPr>
                <w:color w:val="000000"/>
                <w:sz w:val="18"/>
                <w:szCs w:val="18"/>
              </w:rPr>
              <w:t>0,24</w:t>
            </w:r>
          </w:p>
        </w:tc>
        <w:tc>
          <w:tcPr>
            <w:tcW w:w="992" w:type="dxa"/>
            <w:tcBorders>
              <w:top w:val="nil"/>
              <w:left w:val="nil"/>
              <w:bottom w:val="nil"/>
              <w:right w:val="single" w:sz="4" w:space="0" w:color="800000"/>
            </w:tcBorders>
            <w:shd w:val="clear" w:color="000000" w:fill="FFFFCC"/>
            <w:noWrap/>
            <w:vAlign w:val="bottom"/>
            <w:hideMark/>
          </w:tcPr>
          <w:p w14:paraId="6B937435"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2A3300E8"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6CDB9BF8" w14:textId="77777777" w:rsidR="00CC09AC" w:rsidRPr="001948DF" w:rsidRDefault="00CC09AC" w:rsidP="003B085A">
            <w:pPr>
              <w:rPr>
                <w:b/>
                <w:bCs/>
                <w:sz w:val="18"/>
                <w:szCs w:val="18"/>
              </w:rPr>
            </w:pPr>
            <w:r w:rsidRPr="001948DF">
              <w:rPr>
                <w:b/>
                <w:bCs/>
                <w:sz w:val="18"/>
                <w:szCs w:val="18"/>
              </w:rPr>
              <w:t>В. СЪДЕБНА ВЛАСТ</w:t>
            </w:r>
          </w:p>
        </w:tc>
        <w:tc>
          <w:tcPr>
            <w:tcW w:w="709" w:type="dxa"/>
            <w:tcBorders>
              <w:top w:val="nil"/>
              <w:left w:val="single" w:sz="4" w:space="0" w:color="800000"/>
              <w:bottom w:val="nil"/>
              <w:right w:val="single" w:sz="4" w:space="0" w:color="800000"/>
            </w:tcBorders>
            <w:shd w:val="clear" w:color="000000" w:fill="FFFFCC"/>
            <w:noWrap/>
            <w:vAlign w:val="bottom"/>
            <w:hideMark/>
          </w:tcPr>
          <w:p w14:paraId="3FFB7507" w14:textId="77777777" w:rsidR="00CC09AC" w:rsidRPr="007B48E9" w:rsidRDefault="00CC09AC" w:rsidP="003B085A">
            <w:pPr>
              <w:jc w:val="right"/>
              <w:rPr>
                <w:b/>
                <w:bCs/>
                <w:color w:val="0070C0"/>
                <w:sz w:val="18"/>
                <w:szCs w:val="18"/>
              </w:rPr>
            </w:pPr>
            <w:r>
              <w:rPr>
                <w:b/>
                <w:bCs/>
                <w:color w:val="000000"/>
                <w:sz w:val="18"/>
                <w:szCs w:val="18"/>
              </w:rPr>
              <w:t>1 083,1</w:t>
            </w:r>
          </w:p>
        </w:tc>
        <w:tc>
          <w:tcPr>
            <w:tcW w:w="709" w:type="dxa"/>
            <w:tcBorders>
              <w:top w:val="nil"/>
              <w:left w:val="nil"/>
              <w:bottom w:val="nil"/>
              <w:right w:val="single" w:sz="4" w:space="0" w:color="800000"/>
            </w:tcBorders>
            <w:shd w:val="clear" w:color="000000" w:fill="FFFFCC"/>
            <w:noWrap/>
            <w:vAlign w:val="bottom"/>
            <w:hideMark/>
          </w:tcPr>
          <w:p w14:paraId="2CC551CE" w14:textId="77777777" w:rsidR="00CC09AC" w:rsidRPr="007B48E9" w:rsidRDefault="00CC09AC" w:rsidP="003B085A">
            <w:pPr>
              <w:jc w:val="right"/>
              <w:rPr>
                <w:b/>
                <w:bCs/>
                <w:color w:val="0070C0"/>
                <w:sz w:val="18"/>
                <w:szCs w:val="18"/>
              </w:rPr>
            </w:pPr>
            <w:r>
              <w:rPr>
                <w:b/>
                <w:bCs/>
                <w:color w:val="000000"/>
                <w:sz w:val="18"/>
                <w:szCs w:val="18"/>
              </w:rPr>
              <w:t>1 075,3</w:t>
            </w:r>
          </w:p>
        </w:tc>
        <w:tc>
          <w:tcPr>
            <w:tcW w:w="709" w:type="dxa"/>
            <w:tcBorders>
              <w:top w:val="nil"/>
              <w:left w:val="nil"/>
              <w:bottom w:val="nil"/>
              <w:right w:val="single" w:sz="4" w:space="0" w:color="800000"/>
            </w:tcBorders>
            <w:shd w:val="clear" w:color="000000" w:fill="FFFFCC"/>
            <w:noWrap/>
            <w:vAlign w:val="bottom"/>
            <w:hideMark/>
          </w:tcPr>
          <w:p w14:paraId="28E01185" w14:textId="77777777" w:rsidR="00CC09AC" w:rsidRPr="007B48E9" w:rsidRDefault="00CC09AC" w:rsidP="003B085A">
            <w:pPr>
              <w:jc w:val="right"/>
              <w:rPr>
                <w:b/>
                <w:bCs/>
                <w:color w:val="0070C0"/>
                <w:sz w:val="18"/>
                <w:szCs w:val="18"/>
              </w:rPr>
            </w:pPr>
            <w:r>
              <w:rPr>
                <w:b/>
                <w:bCs/>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370CF24F"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06B8961F"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7263D96F"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7B995DAC"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45AB947B"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626C1C68" w14:textId="77777777" w:rsidR="00CC09AC" w:rsidRPr="007B48E9" w:rsidRDefault="00CC09AC" w:rsidP="003B085A">
            <w:pPr>
              <w:jc w:val="right"/>
              <w:rPr>
                <w:b/>
                <w:bCs/>
                <w:color w:val="0070C0"/>
                <w:sz w:val="18"/>
                <w:szCs w:val="18"/>
              </w:rPr>
            </w:pPr>
            <w:r>
              <w:rPr>
                <w:b/>
                <w:bCs/>
                <w:color w:val="000000"/>
                <w:sz w:val="18"/>
                <w:szCs w:val="18"/>
              </w:rPr>
              <w:t>1,6</w:t>
            </w:r>
          </w:p>
        </w:tc>
        <w:tc>
          <w:tcPr>
            <w:tcW w:w="992" w:type="dxa"/>
            <w:tcBorders>
              <w:top w:val="nil"/>
              <w:left w:val="nil"/>
              <w:bottom w:val="nil"/>
              <w:right w:val="single" w:sz="4" w:space="0" w:color="800000"/>
            </w:tcBorders>
            <w:shd w:val="clear" w:color="000000" w:fill="FFFFCC"/>
            <w:noWrap/>
            <w:vAlign w:val="bottom"/>
            <w:hideMark/>
          </w:tcPr>
          <w:p w14:paraId="688AA6EF" w14:textId="77777777" w:rsidR="00CC09AC" w:rsidRPr="007B48E9" w:rsidRDefault="00CC09AC" w:rsidP="003B085A">
            <w:pPr>
              <w:jc w:val="right"/>
              <w:rPr>
                <w:b/>
                <w:bCs/>
                <w:color w:val="0070C0"/>
                <w:sz w:val="18"/>
                <w:szCs w:val="18"/>
              </w:rPr>
            </w:pPr>
            <w:r>
              <w:rPr>
                <w:b/>
                <w:bCs/>
                <w:color w:val="000000"/>
                <w:sz w:val="18"/>
                <w:szCs w:val="18"/>
              </w:rPr>
              <w:t>6,2</w:t>
            </w:r>
          </w:p>
        </w:tc>
      </w:tr>
      <w:tr w:rsidR="00CC09AC" w:rsidRPr="007B48E9" w14:paraId="4151E961"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01B69535" w14:textId="77777777" w:rsidR="00CC09AC" w:rsidRPr="001948DF" w:rsidRDefault="00CC09AC" w:rsidP="003B085A">
            <w:pPr>
              <w:rPr>
                <w:sz w:val="18"/>
                <w:szCs w:val="18"/>
              </w:rPr>
            </w:pPr>
            <w:r w:rsidRPr="001948DF">
              <w:rPr>
                <w:sz w:val="18"/>
                <w:szCs w:val="18"/>
              </w:rPr>
              <w:t xml:space="preserve">    Текущи нелихвени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5486CC53" w14:textId="77777777" w:rsidR="00CC09AC" w:rsidRPr="007B48E9" w:rsidRDefault="00CC09AC" w:rsidP="003B085A">
            <w:pPr>
              <w:jc w:val="right"/>
              <w:rPr>
                <w:color w:val="0070C0"/>
                <w:sz w:val="18"/>
                <w:szCs w:val="18"/>
              </w:rPr>
            </w:pPr>
            <w:r>
              <w:rPr>
                <w:color w:val="000000"/>
                <w:sz w:val="18"/>
                <w:szCs w:val="18"/>
              </w:rPr>
              <w:t>1 055,3</w:t>
            </w:r>
          </w:p>
        </w:tc>
        <w:tc>
          <w:tcPr>
            <w:tcW w:w="709" w:type="dxa"/>
            <w:tcBorders>
              <w:top w:val="nil"/>
              <w:left w:val="nil"/>
              <w:bottom w:val="nil"/>
              <w:right w:val="single" w:sz="4" w:space="0" w:color="800000"/>
            </w:tcBorders>
            <w:shd w:val="clear" w:color="000000" w:fill="FFFFCC"/>
            <w:noWrap/>
            <w:vAlign w:val="bottom"/>
            <w:hideMark/>
          </w:tcPr>
          <w:p w14:paraId="52595D3A" w14:textId="77777777" w:rsidR="00CC09AC" w:rsidRPr="007B48E9" w:rsidRDefault="00CC09AC" w:rsidP="003B085A">
            <w:pPr>
              <w:jc w:val="right"/>
              <w:rPr>
                <w:color w:val="0070C0"/>
                <w:sz w:val="18"/>
                <w:szCs w:val="18"/>
              </w:rPr>
            </w:pPr>
            <w:r>
              <w:rPr>
                <w:color w:val="000000"/>
                <w:sz w:val="18"/>
                <w:szCs w:val="18"/>
              </w:rPr>
              <w:t>1 049,8</w:t>
            </w:r>
          </w:p>
        </w:tc>
        <w:tc>
          <w:tcPr>
            <w:tcW w:w="709" w:type="dxa"/>
            <w:tcBorders>
              <w:top w:val="nil"/>
              <w:left w:val="nil"/>
              <w:bottom w:val="nil"/>
              <w:right w:val="single" w:sz="4" w:space="0" w:color="800000"/>
            </w:tcBorders>
            <w:shd w:val="clear" w:color="000000" w:fill="FFFFCC"/>
            <w:noWrap/>
            <w:vAlign w:val="bottom"/>
            <w:hideMark/>
          </w:tcPr>
          <w:p w14:paraId="495A5914"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2A183A65"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7E84FE44"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4F1B8524"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6DCF9B74"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508BA820"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18BDBE8D" w14:textId="77777777" w:rsidR="00CC09AC" w:rsidRPr="007B48E9" w:rsidRDefault="00CC09AC" w:rsidP="003B085A">
            <w:pPr>
              <w:jc w:val="right"/>
              <w:rPr>
                <w:color w:val="0070C0"/>
                <w:sz w:val="18"/>
                <w:szCs w:val="18"/>
              </w:rPr>
            </w:pPr>
            <w:r>
              <w:rPr>
                <w:color w:val="000000"/>
                <w:sz w:val="18"/>
                <w:szCs w:val="18"/>
              </w:rPr>
              <w:t>1,3</w:t>
            </w:r>
          </w:p>
        </w:tc>
        <w:tc>
          <w:tcPr>
            <w:tcW w:w="992" w:type="dxa"/>
            <w:tcBorders>
              <w:top w:val="nil"/>
              <w:left w:val="nil"/>
              <w:bottom w:val="nil"/>
              <w:right w:val="single" w:sz="4" w:space="0" w:color="800000"/>
            </w:tcBorders>
            <w:shd w:val="clear" w:color="000000" w:fill="FFFFCC"/>
            <w:noWrap/>
            <w:vAlign w:val="bottom"/>
            <w:hideMark/>
          </w:tcPr>
          <w:p w14:paraId="4243E26B" w14:textId="77777777" w:rsidR="00CC09AC" w:rsidRPr="007B48E9" w:rsidRDefault="00CC09AC" w:rsidP="003B085A">
            <w:pPr>
              <w:jc w:val="right"/>
              <w:rPr>
                <w:color w:val="0070C0"/>
                <w:sz w:val="18"/>
                <w:szCs w:val="18"/>
              </w:rPr>
            </w:pPr>
            <w:r>
              <w:rPr>
                <w:color w:val="000000"/>
                <w:sz w:val="18"/>
                <w:szCs w:val="18"/>
              </w:rPr>
              <w:t>4,2</w:t>
            </w:r>
          </w:p>
        </w:tc>
      </w:tr>
      <w:tr w:rsidR="00CC09AC" w:rsidRPr="007B48E9" w14:paraId="39D6D1B7"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7E730527" w14:textId="77777777" w:rsidR="00CC09AC" w:rsidRPr="001948DF" w:rsidRDefault="00CC09AC" w:rsidP="003B085A">
            <w:pPr>
              <w:rPr>
                <w:sz w:val="18"/>
                <w:szCs w:val="18"/>
              </w:rPr>
            </w:pPr>
            <w:r w:rsidRPr="001948DF">
              <w:rPr>
                <w:sz w:val="18"/>
                <w:szCs w:val="18"/>
              </w:rPr>
              <w:t xml:space="preserve">    Капиталови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1D999DFC" w14:textId="77777777" w:rsidR="00CC09AC" w:rsidRPr="007B48E9" w:rsidRDefault="00CC09AC" w:rsidP="003B085A">
            <w:pPr>
              <w:jc w:val="right"/>
              <w:rPr>
                <w:color w:val="0070C0"/>
                <w:sz w:val="18"/>
                <w:szCs w:val="18"/>
              </w:rPr>
            </w:pPr>
            <w:r>
              <w:rPr>
                <w:color w:val="000000"/>
                <w:sz w:val="18"/>
                <w:szCs w:val="18"/>
              </w:rPr>
              <w:t>27,6</w:t>
            </w:r>
          </w:p>
        </w:tc>
        <w:tc>
          <w:tcPr>
            <w:tcW w:w="709" w:type="dxa"/>
            <w:tcBorders>
              <w:top w:val="nil"/>
              <w:left w:val="nil"/>
              <w:bottom w:val="nil"/>
              <w:right w:val="single" w:sz="4" w:space="0" w:color="800000"/>
            </w:tcBorders>
            <w:shd w:val="clear" w:color="000000" w:fill="FFFFCC"/>
            <w:noWrap/>
            <w:vAlign w:val="bottom"/>
            <w:hideMark/>
          </w:tcPr>
          <w:p w14:paraId="294E86EB" w14:textId="77777777" w:rsidR="00CC09AC" w:rsidRPr="007B48E9" w:rsidRDefault="00CC09AC" w:rsidP="003B085A">
            <w:pPr>
              <w:jc w:val="right"/>
              <w:rPr>
                <w:color w:val="0070C0"/>
                <w:sz w:val="18"/>
                <w:szCs w:val="18"/>
              </w:rPr>
            </w:pPr>
            <w:r>
              <w:rPr>
                <w:color w:val="000000"/>
                <w:sz w:val="18"/>
                <w:szCs w:val="18"/>
              </w:rPr>
              <w:t>25,4</w:t>
            </w:r>
          </w:p>
        </w:tc>
        <w:tc>
          <w:tcPr>
            <w:tcW w:w="709" w:type="dxa"/>
            <w:tcBorders>
              <w:top w:val="nil"/>
              <w:left w:val="nil"/>
              <w:bottom w:val="nil"/>
              <w:right w:val="single" w:sz="4" w:space="0" w:color="800000"/>
            </w:tcBorders>
            <w:shd w:val="clear" w:color="000000" w:fill="FFFFCC"/>
            <w:noWrap/>
            <w:vAlign w:val="bottom"/>
            <w:hideMark/>
          </w:tcPr>
          <w:p w14:paraId="449AABF4"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7CC38D86"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75193E5E"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647AA38B"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4FE0EE07"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31856EB"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57CB16B7" w14:textId="77777777" w:rsidR="00CC09AC" w:rsidRPr="007B48E9" w:rsidRDefault="00CC09AC" w:rsidP="003B085A">
            <w:pPr>
              <w:jc w:val="right"/>
              <w:rPr>
                <w:color w:val="0070C0"/>
                <w:sz w:val="18"/>
                <w:szCs w:val="18"/>
              </w:rPr>
            </w:pPr>
            <w:r>
              <w:rPr>
                <w:color w:val="000000"/>
                <w:sz w:val="18"/>
                <w:szCs w:val="18"/>
              </w:rPr>
              <w:t>0,2</w:t>
            </w:r>
          </w:p>
        </w:tc>
        <w:tc>
          <w:tcPr>
            <w:tcW w:w="992" w:type="dxa"/>
            <w:tcBorders>
              <w:top w:val="nil"/>
              <w:left w:val="nil"/>
              <w:bottom w:val="nil"/>
              <w:right w:val="single" w:sz="4" w:space="0" w:color="800000"/>
            </w:tcBorders>
            <w:shd w:val="clear" w:color="000000" w:fill="FFFFCC"/>
            <w:noWrap/>
            <w:vAlign w:val="bottom"/>
            <w:hideMark/>
          </w:tcPr>
          <w:p w14:paraId="25333DCE" w14:textId="77777777" w:rsidR="00CC09AC" w:rsidRPr="007B48E9" w:rsidRDefault="00CC09AC" w:rsidP="003B085A">
            <w:pPr>
              <w:jc w:val="right"/>
              <w:rPr>
                <w:color w:val="0070C0"/>
                <w:sz w:val="18"/>
                <w:szCs w:val="18"/>
              </w:rPr>
            </w:pPr>
            <w:r>
              <w:rPr>
                <w:color w:val="000000"/>
                <w:sz w:val="18"/>
                <w:szCs w:val="18"/>
              </w:rPr>
              <w:t>2,0</w:t>
            </w:r>
          </w:p>
        </w:tc>
      </w:tr>
      <w:tr w:rsidR="00CC09AC" w:rsidRPr="007B48E9" w14:paraId="66503D56"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01383712" w14:textId="77777777" w:rsidR="00CC09AC" w:rsidRPr="001948DF" w:rsidRDefault="00CC09AC" w:rsidP="003B085A">
            <w:pPr>
              <w:rPr>
                <w:sz w:val="18"/>
                <w:szCs w:val="18"/>
              </w:rPr>
            </w:pPr>
            <w:r w:rsidRPr="001948DF">
              <w:rPr>
                <w:sz w:val="18"/>
                <w:szCs w:val="18"/>
              </w:rPr>
              <w:t xml:space="preserve">    Пред. тек. и кап. тр/ри за чужбина</w:t>
            </w:r>
          </w:p>
        </w:tc>
        <w:tc>
          <w:tcPr>
            <w:tcW w:w="709" w:type="dxa"/>
            <w:tcBorders>
              <w:top w:val="nil"/>
              <w:left w:val="single" w:sz="4" w:space="0" w:color="800000"/>
              <w:bottom w:val="nil"/>
              <w:right w:val="single" w:sz="4" w:space="0" w:color="800000"/>
            </w:tcBorders>
            <w:shd w:val="clear" w:color="000000" w:fill="FFFFCC"/>
            <w:noWrap/>
            <w:vAlign w:val="bottom"/>
            <w:hideMark/>
          </w:tcPr>
          <w:p w14:paraId="64A55BFE" w14:textId="77777777" w:rsidR="00CC09AC" w:rsidRPr="007B48E9" w:rsidRDefault="00CC09AC" w:rsidP="003B085A">
            <w:pPr>
              <w:jc w:val="right"/>
              <w:rPr>
                <w:color w:val="0070C0"/>
                <w:sz w:val="18"/>
                <w:szCs w:val="18"/>
              </w:rPr>
            </w:pPr>
            <w:r>
              <w:rPr>
                <w:color w:val="000000"/>
                <w:sz w:val="18"/>
                <w:szCs w:val="18"/>
              </w:rPr>
              <w:t>0,1</w:t>
            </w:r>
          </w:p>
        </w:tc>
        <w:tc>
          <w:tcPr>
            <w:tcW w:w="709" w:type="dxa"/>
            <w:tcBorders>
              <w:top w:val="nil"/>
              <w:left w:val="nil"/>
              <w:bottom w:val="nil"/>
              <w:right w:val="single" w:sz="4" w:space="0" w:color="800000"/>
            </w:tcBorders>
            <w:shd w:val="clear" w:color="000000" w:fill="FFFFCC"/>
            <w:noWrap/>
            <w:vAlign w:val="bottom"/>
            <w:hideMark/>
          </w:tcPr>
          <w:p w14:paraId="36C710CB"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0DDC01CF"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4C3E0F4E"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03DE0A84"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784621FF"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5932EBF"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6A7519A5"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2965BAFD" w14:textId="77777777" w:rsidR="00CC09AC" w:rsidRPr="007B48E9" w:rsidRDefault="00CC09AC" w:rsidP="003B085A">
            <w:pPr>
              <w:jc w:val="right"/>
              <w:rPr>
                <w:color w:val="0070C0"/>
                <w:sz w:val="18"/>
                <w:szCs w:val="18"/>
              </w:rPr>
            </w:pPr>
            <w:r>
              <w:rPr>
                <w:color w:val="000000"/>
                <w:sz w:val="18"/>
                <w:szCs w:val="18"/>
              </w:rPr>
              <w:t>0,1</w:t>
            </w:r>
          </w:p>
        </w:tc>
        <w:tc>
          <w:tcPr>
            <w:tcW w:w="992" w:type="dxa"/>
            <w:tcBorders>
              <w:top w:val="nil"/>
              <w:left w:val="nil"/>
              <w:bottom w:val="nil"/>
              <w:right w:val="single" w:sz="4" w:space="0" w:color="800000"/>
            </w:tcBorders>
            <w:shd w:val="clear" w:color="000000" w:fill="FFFFCC"/>
            <w:noWrap/>
            <w:vAlign w:val="bottom"/>
            <w:hideMark/>
          </w:tcPr>
          <w:p w14:paraId="3EC352E7" w14:textId="77777777" w:rsidR="00CC09AC" w:rsidRPr="007B48E9" w:rsidRDefault="00CC09AC" w:rsidP="003B085A">
            <w:pPr>
              <w:jc w:val="right"/>
              <w:rPr>
                <w:color w:val="0070C0"/>
                <w:sz w:val="18"/>
                <w:szCs w:val="18"/>
              </w:rPr>
            </w:pPr>
            <w:r>
              <w:rPr>
                <w:color w:val="000000"/>
                <w:sz w:val="18"/>
                <w:szCs w:val="18"/>
              </w:rPr>
              <w:t>-0,004</w:t>
            </w:r>
          </w:p>
        </w:tc>
      </w:tr>
      <w:tr w:rsidR="00CC09AC" w:rsidRPr="007B48E9" w14:paraId="2731C2CF"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2F4DE8C8" w14:textId="77777777" w:rsidR="00CC09AC" w:rsidRPr="001948DF" w:rsidRDefault="00CC09AC" w:rsidP="003B085A">
            <w:pPr>
              <w:rPr>
                <w:b/>
                <w:bCs/>
                <w:sz w:val="18"/>
                <w:szCs w:val="18"/>
              </w:rPr>
            </w:pPr>
            <w:r w:rsidRPr="001948DF">
              <w:rPr>
                <w:b/>
                <w:bCs/>
                <w:sz w:val="18"/>
                <w:szCs w:val="18"/>
              </w:rPr>
              <w:t>Г. АДМИНИСТРАЦИЯ НА ЗАТВОРИТЕ</w:t>
            </w:r>
          </w:p>
        </w:tc>
        <w:tc>
          <w:tcPr>
            <w:tcW w:w="709" w:type="dxa"/>
            <w:tcBorders>
              <w:top w:val="nil"/>
              <w:left w:val="single" w:sz="4" w:space="0" w:color="800000"/>
              <w:bottom w:val="nil"/>
              <w:right w:val="single" w:sz="4" w:space="0" w:color="800000"/>
            </w:tcBorders>
            <w:shd w:val="clear" w:color="000000" w:fill="FFFFCC"/>
            <w:noWrap/>
            <w:vAlign w:val="bottom"/>
            <w:hideMark/>
          </w:tcPr>
          <w:p w14:paraId="5AE800A5" w14:textId="77777777" w:rsidR="00CC09AC" w:rsidRPr="007B48E9" w:rsidRDefault="00CC09AC" w:rsidP="003B085A">
            <w:pPr>
              <w:jc w:val="right"/>
              <w:rPr>
                <w:b/>
                <w:bCs/>
                <w:color w:val="0070C0"/>
                <w:sz w:val="18"/>
                <w:szCs w:val="18"/>
              </w:rPr>
            </w:pPr>
            <w:r>
              <w:rPr>
                <w:b/>
                <w:bCs/>
                <w:color w:val="000000"/>
                <w:sz w:val="18"/>
                <w:szCs w:val="18"/>
              </w:rPr>
              <w:t>265,3</w:t>
            </w:r>
          </w:p>
        </w:tc>
        <w:tc>
          <w:tcPr>
            <w:tcW w:w="709" w:type="dxa"/>
            <w:tcBorders>
              <w:top w:val="nil"/>
              <w:left w:val="nil"/>
              <w:bottom w:val="nil"/>
              <w:right w:val="single" w:sz="4" w:space="0" w:color="800000"/>
            </w:tcBorders>
            <w:shd w:val="clear" w:color="000000" w:fill="FFFFCC"/>
            <w:noWrap/>
            <w:vAlign w:val="bottom"/>
            <w:hideMark/>
          </w:tcPr>
          <w:p w14:paraId="116D986E" w14:textId="77777777" w:rsidR="00CC09AC" w:rsidRPr="007B48E9" w:rsidRDefault="00CC09AC" w:rsidP="003B085A">
            <w:pPr>
              <w:jc w:val="right"/>
              <w:rPr>
                <w:b/>
                <w:bCs/>
                <w:color w:val="0070C0"/>
                <w:sz w:val="18"/>
                <w:szCs w:val="18"/>
              </w:rPr>
            </w:pPr>
            <w:r>
              <w:rPr>
                <w:b/>
                <w:bCs/>
                <w:color w:val="000000"/>
                <w:sz w:val="18"/>
                <w:szCs w:val="18"/>
              </w:rPr>
              <w:t>251,4</w:t>
            </w:r>
          </w:p>
        </w:tc>
        <w:tc>
          <w:tcPr>
            <w:tcW w:w="709" w:type="dxa"/>
            <w:tcBorders>
              <w:top w:val="nil"/>
              <w:left w:val="nil"/>
              <w:bottom w:val="nil"/>
              <w:right w:val="single" w:sz="4" w:space="0" w:color="800000"/>
            </w:tcBorders>
            <w:shd w:val="clear" w:color="000000" w:fill="FFFFCC"/>
            <w:noWrap/>
            <w:vAlign w:val="bottom"/>
            <w:hideMark/>
          </w:tcPr>
          <w:p w14:paraId="347D6950" w14:textId="77777777" w:rsidR="00CC09AC" w:rsidRPr="007B48E9" w:rsidRDefault="00CC09AC" w:rsidP="003B085A">
            <w:pPr>
              <w:jc w:val="right"/>
              <w:rPr>
                <w:b/>
                <w:bCs/>
                <w:color w:val="0070C0"/>
                <w:sz w:val="18"/>
                <w:szCs w:val="18"/>
              </w:rPr>
            </w:pPr>
            <w:r>
              <w:rPr>
                <w:b/>
                <w:bCs/>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4A3DE220"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4318CB14"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293395DC" w14:textId="77777777" w:rsidR="00CC09AC" w:rsidRPr="007B48E9" w:rsidRDefault="00CC09AC" w:rsidP="003B085A">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B08D95C"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5D87805A"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3253E60C" w14:textId="77777777" w:rsidR="00CC09AC" w:rsidRPr="007B48E9" w:rsidRDefault="00CC09AC" w:rsidP="003B085A">
            <w:pPr>
              <w:jc w:val="right"/>
              <w:rPr>
                <w:b/>
                <w:bCs/>
                <w:color w:val="0070C0"/>
                <w:sz w:val="18"/>
                <w:szCs w:val="18"/>
              </w:rPr>
            </w:pPr>
            <w:r>
              <w:rPr>
                <w:b/>
                <w:bCs/>
                <w:color w:val="000000"/>
                <w:sz w:val="18"/>
                <w:szCs w:val="18"/>
              </w:rPr>
              <w:t>13,9</w:t>
            </w:r>
          </w:p>
        </w:tc>
        <w:tc>
          <w:tcPr>
            <w:tcW w:w="992" w:type="dxa"/>
            <w:tcBorders>
              <w:top w:val="nil"/>
              <w:left w:val="nil"/>
              <w:bottom w:val="nil"/>
              <w:right w:val="single" w:sz="4" w:space="0" w:color="800000"/>
            </w:tcBorders>
            <w:shd w:val="clear" w:color="000000" w:fill="FFFFCC"/>
            <w:noWrap/>
            <w:vAlign w:val="bottom"/>
            <w:hideMark/>
          </w:tcPr>
          <w:p w14:paraId="57AD1CAB" w14:textId="77777777" w:rsidR="00CC09AC" w:rsidRPr="007B48E9" w:rsidRDefault="00CC09AC" w:rsidP="003B085A">
            <w:pPr>
              <w:jc w:val="right"/>
              <w:rPr>
                <w:b/>
                <w:bCs/>
                <w:color w:val="0070C0"/>
                <w:sz w:val="18"/>
                <w:szCs w:val="18"/>
              </w:rPr>
            </w:pPr>
            <w:r>
              <w:rPr>
                <w:b/>
                <w:bCs/>
                <w:color w:val="000000"/>
                <w:sz w:val="18"/>
                <w:szCs w:val="18"/>
              </w:rPr>
              <w:t>0,03</w:t>
            </w:r>
          </w:p>
        </w:tc>
      </w:tr>
      <w:tr w:rsidR="00CC09AC" w:rsidRPr="007B48E9" w14:paraId="527C121C"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3B0B4E40" w14:textId="77777777" w:rsidR="00CC09AC" w:rsidRPr="001948DF" w:rsidRDefault="00CC09AC" w:rsidP="003B085A">
            <w:pPr>
              <w:rPr>
                <w:sz w:val="18"/>
                <w:szCs w:val="18"/>
              </w:rPr>
            </w:pPr>
            <w:r w:rsidRPr="001948DF">
              <w:rPr>
                <w:sz w:val="18"/>
                <w:szCs w:val="18"/>
              </w:rPr>
              <w:t xml:space="preserve">    Текущи нелихвени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3BC5B8EE" w14:textId="77777777" w:rsidR="00CC09AC" w:rsidRPr="007B48E9" w:rsidRDefault="00CC09AC" w:rsidP="003B085A">
            <w:pPr>
              <w:jc w:val="right"/>
              <w:rPr>
                <w:color w:val="0070C0"/>
                <w:sz w:val="18"/>
                <w:szCs w:val="18"/>
              </w:rPr>
            </w:pPr>
            <w:r>
              <w:rPr>
                <w:color w:val="000000"/>
                <w:sz w:val="18"/>
                <w:szCs w:val="18"/>
              </w:rPr>
              <w:t>252,7</w:t>
            </w:r>
          </w:p>
        </w:tc>
        <w:tc>
          <w:tcPr>
            <w:tcW w:w="709" w:type="dxa"/>
            <w:tcBorders>
              <w:top w:val="nil"/>
              <w:left w:val="nil"/>
              <w:bottom w:val="nil"/>
              <w:right w:val="single" w:sz="4" w:space="0" w:color="800000"/>
            </w:tcBorders>
            <w:shd w:val="clear" w:color="000000" w:fill="FFFFCC"/>
            <w:noWrap/>
            <w:vAlign w:val="bottom"/>
            <w:hideMark/>
          </w:tcPr>
          <w:p w14:paraId="2B544779" w14:textId="77777777" w:rsidR="00CC09AC" w:rsidRPr="007B48E9" w:rsidRDefault="00CC09AC" w:rsidP="003B085A">
            <w:pPr>
              <w:jc w:val="right"/>
              <w:rPr>
                <w:color w:val="0070C0"/>
                <w:sz w:val="18"/>
                <w:szCs w:val="18"/>
              </w:rPr>
            </w:pPr>
            <w:r>
              <w:rPr>
                <w:color w:val="000000"/>
                <w:sz w:val="18"/>
                <w:szCs w:val="18"/>
              </w:rPr>
              <w:t>251,7</w:t>
            </w:r>
          </w:p>
        </w:tc>
        <w:tc>
          <w:tcPr>
            <w:tcW w:w="709" w:type="dxa"/>
            <w:tcBorders>
              <w:top w:val="nil"/>
              <w:left w:val="nil"/>
              <w:bottom w:val="nil"/>
              <w:right w:val="single" w:sz="4" w:space="0" w:color="800000"/>
            </w:tcBorders>
            <w:shd w:val="clear" w:color="000000" w:fill="FFFFCC"/>
            <w:noWrap/>
            <w:vAlign w:val="bottom"/>
            <w:hideMark/>
          </w:tcPr>
          <w:p w14:paraId="5B46AB99"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4131E0BA"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318718BC"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26CCC3FB"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18874C4D"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1986F0D4"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68D1BA19" w14:textId="77777777" w:rsidR="00CC09AC" w:rsidRPr="007B48E9" w:rsidRDefault="00CC09AC" w:rsidP="003B085A">
            <w:pPr>
              <w:jc w:val="right"/>
              <w:rPr>
                <w:color w:val="0070C0"/>
                <w:sz w:val="18"/>
                <w:szCs w:val="18"/>
              </w:rPr>
            </w:pPr>
            <w:r>
              <w:rPr>
                <w:color w:val="000000"/>
                <w:sz w:val="18"/>
                <w:szCs w:val="18"/>
              </w:rPr>
              <w:t>1,0</w:t>
            </w:r>
          </w:p>
        </w:tc>
        <w:tc>
          <w:tcPr>
            <w:tcW w:w="992" w:type="dxa"/>
            <w:tcBorders>
              <w:top w:val="nil"/>
              <w:left w:val="nil"/>
              <w:bottom w:val="nil"/>
              <w:right w:val="single" w:sz="4" w:space="0" w:color="800000"/>
            </w:tcBorders>
            <w:shd w:val="clear" w:color="000000" w:fill="FFFFCC"/>
            <w:noWrap/>
            <w:vAlign w:val="bottom"/>
            <w:hideMark/>
          </w:tcPr>
          <w:p w14:paraId="50DD3D0E" w14:textId="77777777" w:rsidR="00CC09AC" w:rsidRPr="007B48E9" w:rsidRDefault="00CC09AC" w:rsidP="003B085A">
            <w:pPr>
              <w:jc w:val="right"/>
              <w:rPr>
                <w:color w:val="0070C0"/>
                <w:sz w:val="18"/>
                <w:szCs w:val="18"/>
              </w:rPr>
            </w:pPr>
            <w:r>
              <w:rPr>
                <w:color w:val="000000"/>
                <w:sz w:val="18"/>
                <w:szCs w:val="18"/>
              </w:rPr>
              <w:t>0,03</w:t>
            </w:r>
          </w:p>
        </w:tc>
      </w:tr>
      <w:tr w:rsidR="00CC09AC" w:rsidRPr="007B48E9" w14:paraId="5682061D"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hideMark/>
          </w:tcPr>
          <w:p w14:paraId="7CCF95B5" w14:textId="77777777" w:rsidR="00CC09AC" w:rsidRPr="001948DF" w:rsidRDefault="00CC09AC" w:rsidP="003B085A">
            <w:pPr>
              <w:rPr>
                <w:sz w:val="18"/>
                <w:szCs w:val="18"/>
              </w:rPr>
            </w:pPr>
            <w:r w:rsidRPr="001948DF">
              <w:rPr>
                <w:sz w:val="18"/>
                <w:szCs w:val="18"/>
              </w:rPr>
              <w:t xml:space="preserve">    Капиталови разходи</w:t>
            </w:r>
          </w:p>
        </w:tc>
        <w:tc>
          <w:tcPr>
            <w:tcW w:w="709" w:type="dxa"/>
            <w:tcBorders>
              <w:top w:val="nil"/>
              <w:left w:val="single" w:sz="4" w:space="0" w:color="800000"/>
              <w:bottom w:val="nil"/>
              <w:right w:val="single" w:sz="4" w:space="0" w:color="800000"/>
            </w:tcBorders>
            <w:shd w:val="clear" w:color="000000" w:fill="FFFFCC"/>
            <w:noWrap/>
            <w:vAlign w:val="bottom"/>
            <w:hideMark/>
          </w:tcPr>
          <w:p w14:paraId="42AF4347" w14:textId="77777777" w:rsidR="00CC09AC" w:rsidRPr="007B48E9" w:rsidRDefault="00CC09AC" w:rsidP="003B085A">
            <w:pPr>
              <w:jc w:val="right"/>
              <w:rPr>
                <w:color w:val="0070C0"/>
                <w:sz w:val="18"/>
                <w:szCs w:val="18"/>
              </w:rPr>
            </w:pPr>
            <w:r>
              <w:rPr>
                <w:color w:val="000000"/>
                <w:sz w:val="18"/>
                <w:szCs w:val="18"/>
              </w:rPr>
              <w:t>12,6</w:t>
            </w:r>
          </w:p>
        </w:tc>
        <w:tc>
          <w:tcPr>
            <w:tcW w:w="709" w:type="dxa"/>
            <w:tcBorders>
              <w:top w:val="nil"/>
              <w:left w:val="nil"/>
              <w:bottom w:val="nil"/>
              <w:right w:val="single" w:sz="4" w:space="0" w:color="800000"/>
            </w:tcBorders>
            <w:shd w:val="clear" w:color="000000" w:fill="FFFFCC"/>
            <w:noWrap/>
            <w:vAlign w:val="bottom"/>
            <w:hideMark/>
          </w:tcPr>
          <w:p w14:paraId="58B4E4D1" w14:textId="77777777" w:rsidR="00CC09AC" w:rsidRPr="007B48E9" w:rsidRDefault="00CC09AC" w:rsidP="003B085A">
            <w:pPr>
              <w:jc w:val="right"/>
              <w:rPr>
                <w:color w:val="0070C0"/>
                <w:sz w:val="18"/>
                <w:szCs w:val="18"/>
              </w:rPr>
            </w:pPr>
            <w:r>
              <w:rPr>
                <w:color w:val="000000"/>
                <w:sz w:val="18"/>
                <w:szCs w:val="18"/>
              </w:rPr>
              <w:t>-0,2</w:t>
            </w:r>
          </w:p>
        </w:tc>
        <w:tc>
          <w:tcPr>
            <w:tcW w:w="709" w:type="dxa"/>
            <w:tcBorders>
              <w:top w:val="nil"/>
              <w:left w:val="nil"/>
              <w:bottom w:val="nil"/>
              <w:right w:val="single" w:sz="4" w:space="0" w:color="800000"/>
            </w:tcBorders>
            <w:shd w:val="clear" w:color="000000" w:fill="FFFFCC"/>
            <w:noWrap/>
            <w:vAlign w:val="bottom"/>
            <w:hideMark/>
          </w:tcPr>
          <w:p w14:paraId="2EBB0097"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hideMark/>
          </w:tcPr>
          <w:p w14:paraId="57127274"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hideMark/>
          </w:tcPr>
          <w:p w14:paraId="79BD9E8F"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hideMark/>
          </w:tcPr>
          <w:p w14:paraId="7A78CCA8"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07503ADA"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BEE6D60"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hideMark/>
          </w:tcPr>
          <w:p w14:paraId="74E6CDD8" w14:textId="77777777" w:rsidR="00CC09AC" w:rsidRPr="007B48E9" w:rsidRDefault="00CC09AC" w:rsidP="003B085A">
            <w:pPr>
              <w:jc w:val="right"/>
              <w:rPr>
                <w:color w:val="0070C0"/>
                <w:sz w:val="18"/>
                <w:szCs w:val="18"/>
              </w:rPr>
            </w:pPr>
            <w:r>
              <w:rPr>
                <w:color w:val="000000"/>
                <w:sz w:val="18"/>
                <w:szCs w:val="18"/>
              </w:rPr>
              <w:t>12,85</w:t>
            </w:r>
          </w:p>
        </w:tc>
        <w:tc>
          <w:tcPr>
            <w:tcW w:w="992" w:type="dxa"/>
            <w:tcBorders>
              <w:top w:val="nil"/>
              <w:left w:val="nil"/>
              <w:bottom w:val="nil"/>
              <w:right w:val="single" w:sz="4" w:space="0" w:color="800000"/>
            </w:tcBorders>
            <w:shd w:val="clear" w:color="000000" w:fill="FFFFCC"/>
            <w:noWrap/>
            <w:vAlign w:val="bottom"/>
            <w:hideMark/>
          </w:tcPr>
          <w:p w14:paraId="5573CCBB"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71954E6E" w14:textId="77777777" w:rsidTr="003B085A">
        <w:trPr>
          <w:trHeight w:val="261"/>
        </w:trPr>
        <w:tc>
          <w:tcPr>
            <w:tcW w:w="3168" w:type="dxa"/>
            <w:tcBorders>
              <w:top w:val="nil"/>
              <w:left w:val="double" w:sz="6" w:space="0" w:color="800000"/>
              <w:bottom w:val="nil"/>
              <w:right w:val="single" w:sz="4" w:space="0" w:color="800000"/>
            </w:tcBorders>
            <w:shd w:val="clear" w:color="auto" w:fill="FFFFCC"/>
            <w:noWrap/>
            <w:vAlign w:val="bottom"/>
          </w:tcPr>
          <w:p w14:paraId="55315AC1" w14:textId="77777777" w:rsidR="00CC09AC" w:rsidRPr="001948DF" w:rsidRDefault="00CC09AC" w:rsidP="003B085A">
            <w:pPr>
              <w:rPr>
                <w:sz w:val="18"/>
                <w:szCs w:val="18"/>
              </w:rPr>
            </w:pPr>
            <w:r w:rsidRPr="001948DF">
              <w:rPr>
                <w:sz w:val="18"/>
                <w:szCs w:val="18"/>
              </w:rPr>
              <w:t xml:space="preserve">    Пред. тек. и кап. тр/ри за чужбина</w:t>
            </w:r>
          </w:p>
        </w:tc>
        <w:tc>
          <w:tcPr>
            <w:tcW w:w="709" w:type="dxa"/>
            <w:tcBorders>
              <w:top w:val="nil"/>
              <w:left w:val="single" w:sz="4" w:space="0" w:color="800000"/>
              <w:bottom w:val="nil"/>
              <w:right w:val="single" w:sz="4" w:space="0" w:color="800000"/>
            </w:tcBorders>
            <w:shd w:val="clear" w:color="000000" w:fill="FFFFCC"/>
            <w:noWrap/>
            <w:vAlign w:val="bottom"/>
          </w:tcPr>
          <w:p w14:paraId="61737E3F"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26BF1273"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0B339E45"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tcPr>
          <w:p w14:paraId="564B8466"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tcPr>
          <w:p w14:paraId="2A2313E6"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1EBF260A"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26230C0D"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29920DF7"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tcPr>
          <w:p w14:paraId="632E7BE5"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nil"/>
              <w:bottom w:val="nil"/>
              <w:right w:val="single" w:sz="4" w:space="0" w:color="800000"/>
            </w:tcBorders>
            <w:shd w:val="clear" w:color="000000" w:fill="FFFFCC"/>
            <w:noWrap/>
            <w:vAlign w:val="bottom"/>
          </w:tcPr>
          <w:p w14:paraId="0953DEC1"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420DFF6D" w14:textId="77777777" w:rsidTr="003B085A">
        <w:trPr>
          <w:trHeight w:val="142"/>
        </w:trPr>
        <w:tc>
          <w:tcPr>
            <w:tcW w:w="3168" w:type="dxa"/>
            <w:tcBorders>
              <w:top w:val="nil"/>
              <w:left w:val="double" w:sz="6" w:space="0" w:color="800000"/>
              <w:bottom w:val="nil"/>
              <w:right w:val="single" w:sz="4" w:space="0" w:color="800000"/>
            </w:tcBorders>
            <w:shd w:val="clear" w:color="auto" w:fill="FFFFCC"/>
            <w:noWrap/>
            <w:vAlign w:val="bottom"/>
            <w:hideMark/>
          </w:tcPr>
          <w:p w14:paraId="07EEB445" w14:textId="77777777" w:rsidR="00CC09AC" w:rsidRPr="001948DF" w:rsidRDefault="00CC09AC" w:rsidP="003B085A">
            <w:pPr>
              <w:rPr>
                <w:b/>
                <w:bCs/>
                <w:sz w:val="18"/>
                <w:szCs w:val="18"/>
              </w:rPr>
            </w:pPr>
            <w:r w:rsidRPr="001948DF">
              <w:rPr>
                <w:b/>
                <w:bCs/>
                <w:sz w:val="18"/>
                <w:szCs w:val="18"/>
              </w:rPr>
              <w:t>Д. ЗАЩИТА НА НАСЕЛЕНИЕТО,  УПРАВЛЕНИЕ И ДЕЙНОСТИ ПРИ СТИХИЙНИ БЕДСТВИЯ И АВАРИИ</w:t>
            </w:r>
          </w:p>
        </w:tc>
        <w:tc>
          <w:tcPr>
            <w:tcW w:w="709" w:type="dxa"/>
            <w:tcBorders>
              <w:top w:val="nil"/>
              <w:left w:val="single" w:sz="4" w:space="0" w:color="800000"/>
              <w:bottom w:val="nil"/>
              <w:right w:val="single" w:sz="4" w:space="0" w:color="800000"/>
            </w:tcBorders>
            <w:shd w:val="clear" w:color="000000" w:fill="FFFFCC"/>
            <w:noWrap/>
            <w:vAlign w:val="bottom"/>
            <w:hideMark/>
          </w:tcPr>
          <w:p w14:paraId="6B867A87" w14:textId="77777777" w:rsidR="00CC09AC" w:rsidRPr="007B48E9" w:rsidRDefault="00CC09AC" w:rsidP="003B085A">
            <w:pPr>
              <w:jc w:val="right"/>
              <w:rPr>
                <w:b/>
                <w:bCs/>
                <w:color w:val="0070C0"/>
                <w:sz w:val="18"/>
                <w:szCs w:val="18"/>
              </w:rPr>
            </w:pPr>
            <w:r>
              <w:rPr>
                <w:b/>
                <w:bCs/>
                <w:color w:val="000000"/>
                <w:sz w:val="18"/>
                <w:szCs w:val="18"/>
              </w:rPr>
              <w:t>155,8</w:t>
            </w:r>
          </w:p>
        </w:tc>
        <w:tc>
          <w:tcPr>
            <w:tcW w:w="709" w:type="dxa"/>
            <w:tcBorders>
              <w:top w:val="nil"/>
              <w:left w:val="nil"/>
              <w:bottom w:val="nil"/>
              <w:right w:val="single" w:sz="4" w:space="0" w:color="800000"/>
            </w:tcBorders>
            <w:shd w:val="clear" w:color="000000" w:fill="FFFFCC"/>
            <w:noWrap/>
            <w:vAlign w:val="bottom"/>
            <w:hideMark/>
          </w:tcPr>
          <w:p w14:paraId="2117877A" w14:textId="77777777" w:rsidR="00CC09AC" w:rsidRPr="007B48E9" w:rsidRDefault="00CC09AC" w:rsidP="003B085A">
            <w:pPr>
              <w:jc w:val="right"/>
              <w:rPr>
                <w:b/>
                <w:bCs/>
                <w:color w:val="0070C0"/>
                <w:sz w:val="18"/>
                <w:szCs w:val="18"/>
              </w:rPr>
            </w:pPr>
            <w:r>
              <w:rPr>
                <w:b/>
                <w:bCs/>
                <w:color w:val="000000"/>
                <w:sz w:val="18"/>
                <w:szCs w:val="18"/>
              </w:rPr>
              <w:t>28,6</w:t>
            </w:r>
          </w:p>
        </w:tc>
        <w:tc>
          <w:tcPr>
            <w:tcW w:w="709" w:type="dxa"/>
            <w:tcBorders>
              <w:top w:val="nil"/>
              <w:left w:val="nil"/>
              <w:bottom w:val="nil"/>
              <w:right w:val="single" w:sz="4" w:space="0" w:color="800000"/>
            </w:tcBorders>
            <w:shd w:val="clear" w:color="000000" w:fill="FFFFCC"/>
            <w:noWrap/>
            <w:vAlign w:val="bottom"/>
            <w:hideMark/>
          </w:tcPr>
          <w:p w14:paraId="1EB525AB" w14:textId="77777777" w:rsidR="00CC09AC" w:rsidRPr="007B48E9" w:rsidRDefault="00CC09AC" w:rsidP="003B085A">
            <w:pPr>
              <w:jc w:val="right"/>
              <w:rPr>
                <w:b/>
                <w:bCs/>
                <w:color w:val="0070C0"/>
                <w:sz w:val="18"/>
                <w:szCs w:val="18"/>
              </w:rPr>
            </w:pPr>
            <w:r>
              <w:rPr>
                <w:b/>
                <w:bCs/>
                <w:color w:val="000000"/>
                <w:sz w:val="18"/>
                <w:szCs w:val="18"/>
              </w:rPr>
              <w:t>0,1</w:t>
            </w:r>
          </w:p>
        </w:tc>
        <w:tc>
          <w:tcPr>
            <w:tcW w:w="708" w:type="dxa"/>
            <w:tcBorders>
              <w:top w:val="nil"/>
              <w:left w:val="nil"/>
              <w:bottom w:val="nil"/>
              <w:right w:val="single" w:sz="4" w:space="0" w:color="800000"/>
            </w:tcBorders>
            <w:shd w:val="clear" w:color="000000" w:fill="FFFFCC"/>
            <w:noWrap/>
            <w:vAlign w:val="bottom"/>
            <w:hideMark/>
          </w:tcPr>
          <w:p w14:paraId="2672DC80" w14:textId="77777777" w:rsidR="00CC09AC" w:rsidRPr="007B48E9" w:rsidRDefault="00CC09AC" w:rsidP="003B085A">
            <w:pPr>
              <w:jc w:val="right"/>
              <w:rPr>
                <w:b/>
                <w:bCs/>
                <w:color w:val="0070C0"/>
                <w:sz w:val="18"/>
                <w:szCs w:val="18"/>
              </w:rPr>
            </w:pPr>
            <w:r>
              <w:rPr>
                <w:b/>
                <w:bCs/>
                <w:color w:val="000000"/>
                <w:sz w:val="18"/>
                <w:szCs w:val="18"/>
              </w:rPr>
              <w:t>0,3</w:t>
            </w:r>
          </w:p>
        </w:tc>
        <w:tc>
          <w:tcPr>
            <w:tcW w:w="567" w:type="dxa"/>
            <w:tcBorders>
              <w:top w:val="nil"/>
              <w:left w:val="nil"/>
              <w:bottom w:val="nil"/>
              <w:right w:val="single" w:sz="4" w:space="0" w:color="800000"/>
            </w:tcBorders>
            <w:shd w:val="clear" w:color="000000" w:fill="FFFFCC"/>
            <w:noWrap/>
            <w:vAlign w:val="bottom"/>
            <w:hideMark/>
          </w:tcPr>
          <w:p w14:paraId="1F81EA00" w14:textId="77777777" w:rsidR="00CC09AC" w:rsidRPr="007B48E9" w:rsidRDefault="00CC09AC" w:rsidP="003B085A">
            <w:pPr>
              <w:jc w:val="right"/>
              <w:rPr>
                <w:b/>
                <w:bCs/>
                <w:color w:val="0070C0"/>
                <w:sz w:val="18"/>
                <w:szCs w:val="18"/>
              </w:rPr>
            </w:pPr>
            <w:r>
              <w:rPr>
                <w:b/>
                <w:bCs/>
                <w:color w:val="000000"/>
                <w:sz w:val="18"/>
                <w:szCs w:val="18"/>
              </w:rPr>
              <w:t>0,1</w:t>
            </w:r>
          </w:p>
        </w:tc>
        <w:tc>
          <w:tcPr>
            <w:tcW w:w="567" w:type="dxa"/>
            <w:tcBorders>
              <w:top w:val="nil"/>
              <w:left w:val="nil"/>
              <w:bottom w:val="nil"/>
              <w:right w:val="single" w:sz="4" w:space="0" w:color="800000"/>
            </w:tcBorders>
            <w:shd w:val="clear" w:color="000000" w:fill="FFFFCC"/>
            <w:vAlign w:val="bottom"/>
            <w:hideMark/>
          </w:tcPr>
          <w:p w14:paraId="55FAD120" w14:textId="77777777" w:rsidR="00CC09AC" w:rsidRPr="007B48E9" w:rsidRDefault="00CC09AC" w:rsidP="003B085A">
            <w:pPr>
              <w:jc w:val="right"/>
              <w:rPr>
                <w:b/>
                <w:bCs/>
                <w:color w:val="0070C0"/>
                <w:sz w:val="18"/>
                <w:szCs w:val="18"/>
              </w:rPr>
            </w:pPr>
            <w:r>
              <w:rPr>
                <w:b/>
                <w:bCs/>
                <w:color w:val="000000"/>
                <w:sz w:val="18"/>
                <w:szCs w:val="18"/>
              </w:rPr>
              <w:t>0,04</w:t>
            </w:r>
          </w:p>
        </w:tc>
        <w:tc>
          <w:tcPr>
            <w:tcW w:w="567" w:type="dxa"/>
            <w:tcBorders>
              <w:top w:val="nil"/>
              <w:left w:val="nil"/>
              <w:bottom w:val="nil"/>
              <w:right w:val="single" w:sz="4" w:space="0" w:color="800000"/>
            </w:tcBorders>
            <w:shd w:val="clear" w:color="000000" w:fill="FFFFCC"/>
            <w:vAlign w:val="bottom"/>
          </w:tcPr>
          <w:p w14:paraId="12358B46" w14:textId="77777777" w:rsidR="00CC09AC" w:rsidRPr="007B48E9" w:rsidRDefault="00CC09AC" w:rsidP="003B085A">
            <w:pPr>
              <w:jc w:val="right"/>
              <w:rPr>
                <w:b/>
                <w:bCs/>
                <w:color w:val="0070C0"/>
                <w:sz w:val="18"/>
                <w:szCs w:val="18"/>
              </w:rPr>
            </w:pPr>
            <w:r>
              <w:rPr>
                <w:b/>
                <w:bCs/>
                <w:color w:val="000000"/>
                <w:sz w:val="18"/>
                <w:szCs w:val="18"/>
              </w:rPr>
              <w:t>0,001</w:t>
            </w:r>
          </w:p>
        </w:tc>
        <w:tc>
          <w:tcPr>
            <w:tcW w:w="709" w:type="dxa"/>
            <w:tcBorders>
              <w:top w:val="nil"/>
              <w:left w:val="nil"/>
              <w:bottom w:val="nil"/>
              <w:right w:val="single" w:sz="4" w:space="0" w:color="800000"/>
            </w:tcBorders>
            <w:shd w:val="clear" w:color="000000" w:fill="FFFFCC"/>
            <w:noWrap/>
            <w:vAlign w:val="bottom"/>
            <w:hideMark/>
          </w:tcPr>
          <w:p w14:paraId="2B2CBD52" w14:textId="77777777" w:rsidR="00CC09AC" w:rsidRPr="007B48E9" w:rsidRDefault="00CC09AC" w:rsidP="003B085A">
            <w:pPr>
              <w:jc w:val="right"/>
              <w:rPr>
                <w:b/>
                <w:bCs/>
                <w:color w:val="0070C0"/>
                <w:sz w:val="18"/>
                <w:szCs w:val="18"/>
              </w:rPr>
            </w:pPr>
            <w:r>
              <w:rPr>
                <w:b/>
                <w:bCs/>
                <w:color w:val="000000"/>
                <w:sz w:val="18"/>
                <w:szCs w:val="18"/>
              </w:rPr>
              <w:t>118,3</w:t>
            </w:r>
          </w:p>
        </w:tc>
        <w:tc>
          <w:tcPr>
            <w:tcW w:w="709" w:type="dxa"/>
            <w:tcBorders>
              <w:top w:val="nil"/>
              <w:left w:val="nil"/>
              <w:bottom w:val="nil"/>
              <w:right w:val="single" w:sz="4" w:space="0" w:color="800000"/>
            </w:tcBorders>
            <w:shd w:val="clear" w:color="000000" w:fill="FFFFCC"/>
            <w:vAlign w:val="bottom"/>
            <w:hideMark/>
          </w:tcPr>
          <w:p w14:paraId="6E67B1CD" w14:textId="77777777" w:rsidR="00CC09AC" w:rsidRPr="007B48E9" w:rsidRDefault="00CC09AC" w:rsidP="003B085A">
            <w:pPr>
              <w:jc w:val="right"/>
              <w:rPr>
                <w:b/>
                <w:bCs/>
                <w:color w:val="0070C0"/>
                <w:sz w:val="18"/>
                <w:szCs w:val="18"/>
              </w:rPr>
            </w:pPr>
            <w:r>
              <w:rPr>
                <w:b/>
                <w:bCs/>
                <w:color w:val="000000"/>
                <w:sz w:val="18"/>
                <w:szCs w:val="18"/>
              </w:rPr>
              <w:t> </w:t>
            </w:r>
          </w:p>
        </w:tc>
        <w:tc>
          <w:tcPr>
            <w:tcW w:w="992" w:type="dxa"/>
            <w:tcBorders>
              <w:top w:val="nil"/>
              <w:left w:val="nil"/>
              <w:bottom w:val="nil"/>
              <w:right w:val="single" w:sz="4" w:space="0" w:color="800000"/>
            </w:tcBorders>
            <w:shd w:val="clear" w:color="000000" w:fill="FFFFCC"/>
            <w:noWrap/>
            <w:vAlign w:val="bottom"/>
            <w:hideMark/>
          </w:tcPr>
          <w:p w14:paraId="1B1CFC76" w14:textId="77777777" w:rsidR="00CC09AC" w:rsidRPr="007B48E9" w:rsidRDefault="00CC09AC" w:rsidP="003B085A">
            <w:pPr>
              <w:jc w:val="right"/>
              <w:rPr>
                <w:b/>
                <w:bCs/>
                <w:color w:val="0070C0"/>
                <w:sz w:val="18"/>
                <w:szCs w:val="18"/>
              </w:rPr>
            </w:pPr>
            <w:r>
              <w:rPr>
                <w:b/>
                <w:bCs/>
                <w:color w:val="000000"/>
                <w:sz w:val="18"/>
                <w:szCs w:val="18"/>
              </w:rPr>
              <w:t>8,3</w:t>
            </w:r>
          </w:p>
        </w:tc>
      </w:tr>
      <w:tr w:rsidR="00CC09AC" w:rsidRPr="007B48E9" w14:paraId="7F9C9D5A" w14:textId="77777777" w:rsidTr="003B085A">
        <w:trPr>
          <w:trHeight w:val="142"/>
        </w:trPr>
        <w:tc>
          <w:tcPr>
            <w:tcW w:w="3168" w:type="dxa"/>
            <w:tcBorders>
              <w:top w:val="nil"/>
              <w:left w:val="double" w:sz="6" w:space="0" w:color="800000"/>
              <w:bottom w:val="nil"/>
              <w:right w:val="single" w:sz="4" w:space="0" w:color="800000"/>
            </w:tcBorders>
            <w:shd w:val="clear" w:color="auto" w:fill="FFFFCC"/>
            <w:noWrap/>
            <w:vAlign w:val="bottom"/>
          </w:tcPr>
          <w:p w14:paraId="2E0CDA28" w14:textId="77777777" w:rsidR="00CC09AC" w:rsidRPr="001948DF" w:rsidRDefault="00CC09AC" w:rsidP="003B085A">
            <w:pPr>
              <w:rPr>
                <w:sz w:val="18"/>
                <w:szCs w:val="18"/>
              </w:rPr>
            </w:pPr>
            <w:r w:rsidRPr="001948DF">
              <w:rPr>
                <w:sz w:val="18"/>
                <w:szCs w:val="18"/>
              </w:rPr>
              <w:t xml:space="preserve">    Текущи нелихвени разходи</w:t>
            </w:r>
          </w:p>
        </w:tc>
        <w:tc>
          <w:tcPr>
            <w:tcW w:w="709" w:type="dxa"/>
            <w:tcBorders>
              <w:top w:val="nil"/>
              <w:left w:val="single" w:sz="4" w:space="0" w:color="800000"/>
              <w:bottom w:val="nil"/>
              <w:right w:val="single" w:sz="4" w:space="0" w:color="800000"/>
            </w:tcBorders>
            <w:shd w:val="clear" w:color="000000" w:fill="FFFFCC"/>
            <w:noWrap/>
            <w:vAlign w:val="bottom"/>
          </w:tcPr>
          <w:p w14:paraId="3E19F70A" w14:textId="77777777" w:rsidR="00CC09AC" w:rsidRPr="007B48E9" w:rsidRDefault="00CC09AC" w:rsidP="003B085A">
            <w:pPr>
              <w:jc w:val="right"/>
              <w:rPr>
                <w:color w:val="0070C0"/>
                <w:sz w:val="18"/>
                <w:szCs w:val="18"/>
              </w:rPr>
            </w:pPr>
            <w:r>
              <w:rPr>
                <w:color w:val="000000"/>
                <w:sz w:val="18"/>
                <w:szCs w:val="18"/>
              </w:rPr>
              <w:t>72,7</w:t>
            </w:r>
          </w:p>
        </w:tc>
        <w:tc>
          <w:tcPr>
            <w:tcW w:w="709" w:type="dxa"/>
            <w:tcBorders>
              <w:top w:val="nil"/>
              <w:left w:val="nil"/>
              <w:bottom w:val="nil"/>
              <w:right w:val="single" w:sz="4" w:space="0" w:color="800000"/>
            </w:tcBorders>
            <w:shd w:val="clear" w:color="000000" w:fill="FFFFCC"/>
            <w:noWrap/>
            <w:vAlign w:val="bottom"/>
          </w:tcPr>
          <w:p w14:paraId="0527118E" w14:textId="77777777" w:rsidR="00CC09AC" w:rsidRPr="007B48E9" w:rsidRDefault="00CC09AC" w:rsidP="003B085A">
            <w:pPr>
              <w:jc w:val="right"/>
              <w:rPr>
                <w:color w:val="0070C0"/>
                <w:sz w:val="18"/>
                <w:szCs w:val="18"/>
              </w:rPr>
            </w:pPr>
            <w:r>
              <w:rPr>
                <w:color w:val="000000"/>
                <w:sz w:val="18"/>
                <w:szCs w:val="18"/>
              </w:rPr>
              <w:t>13,9</w:t>
            </w:r>
          </w:p>
        </w:tc>
        <w:tc>
          <w:tcPr>
            <w:tcW w:w="709" w:type="dxa"/>
            <w:tcBorders>
              <w:top w:val="nil"/>
              <w:left w:val="nil"/>
              <w:bottom w:val="nil"/>
              <w:right w:val="single" w:sz="4" w:space="0" w:color="800000"/>
            </w:tcBorders>
            <w:shd w:val="clear" w:color="000000" w:fill="FFFFCC"/>
            <w:noWrap/>
            <w:vAlign w:val="bottom"/>
          </w:tcPr>
          <w:p w14:paraId="46D91CAC" w14:textId="77777777" w:rsidR="00CC09AC" w:rsidRPr="007B48E9" w:rsidRDefault="00CC09AC" w:rsidP="003B085A">
            <w:pPr>
              <w:jc w:val="right"/>
              <w:rPr>
                <w:color w:val="0070C0"/>
                <w:sz w:val="18"/>
                <w:szCs w:val="18"/>
              </w:rPr>
            </w:pPr>
            <w:r>
              <w:rPr>
                <w:color w:val="000000"/>
                <w:sz w:val="18"/>
                <w:szCs w:val="18"/>
              </w:rPr>
              <w:t>0,1</w:t>
            </w:r>
          </w:p>
        </w:tc>
        <w:tc>
          <w:tcPr>
            <w:tcW w:w="708" w:type="dxa"/>
            <w:tcBorders>
              <w:top w:val="nil"/>
              <w:left w:val="nil"/>
              <w:bottom w:val="nil"/>
              <w:right w:val="single" w:sz="4" w:space="0" w:color="800000"/>
            </w:tcBorders>
            <w:shd w:val="clear" w:color="000000" w:fill="FFFFCC"/>
            <w:noWrap/>
            <w:vAlign w:val="bottom"/>
          </w:tcPr>
          <w:p w14:paraId="122DD325" w14:textId="77777777" w:rsidR="00CC09AC" w:rsidRPr="007B48E9" w:rsidRDefault="00CC09AC" w:rsidP="003B085A">
            <w:pPr>
              <w:jc w:val="right"/>
              <w:rPr>
                <w:color w:val="0070C0"/>
                <w:sz w:val="18"/>
                <w:szCs w:val="18"/>
              </w:rPr>
            </w:pPr>
            <w:r>
              <w:rPr>
                <w:color w:val="000000"/>
                <w:sz w:val="18"/>
                <w:szCs w:val="18"/>
              </w:rPr>
              <w:t>0,02</w:t>
            </w:r>
          </w:p>
        </w:tc>
        <w:tc>
          <w:tcPr>
            <w:tcW w:w="567" w:type="dxa"/>
            <w:tcBorders>
              <w:top w:val="nil"/>
              <w:left w:val="nil"/>
              <w:bottom w:val="nil"/>
              <w:right w:val="single" w:sz="4" w:space="0" w:color="800000"/>
            </w:tcBorders>
            <w:shd w:val="clear" w:color="000000" w:fill="FFFFCC"/>
            <w:noWrap/>
            <w:vAlign w:val="bottom"/>
          </w:tcPr>
          <w:p w14:paraId="0309F20F" w14:textId="77777777" w:rsidR="00CC09AC" w:rsidRPr="007B48E9" w:rsidRDefault="00CC09AC" w:rsidP="003B085A">
            <w:pPr>
              <w:jc w:val="right"/>
              <w:rPr>
                <w:color w:val="0070C0"/>
                <w:sz w:val="18"/>
                <w:szCs w:val="18"/>
              </w:rPr>
            </w:pPr>
            <w:r>
              <w:rPr>
                <w:color w:val="000000"/>
                <w:sz w:val="18"/>
                <w:szCs w:val="18"/>
              </w:rPr>
              <w:t>0,1</w:t>
            </w:r>
          </w:p>
        </w:tc>
        <w:tc>
          <w:tcPr>
            <w:tcW w:w="567" w:type="dxa"/>
            <w:tcBorders>
              <w:top w:val="nil"/>
              <w:left w:val="nil"/>
              <w:bottom w:val="nil"/>
              <w:right w:val="single" w:sz="4" w:space="0" w:color="800000"/>
            </w:tcBorders>
            <w:shd w:val="clear" w:color="000000" w:fill="FFFFCC"/>
            <w:vAlign w:val="bottom"/>
          </w:tcPr>
          <w:p w14:paraId="2F97E518" w14:textId="77777777" w:rsidR="00CC09AC" w:rsidRPr="007B48E9" w:rsidRDefault="00CC09AC" w:rsidP="003B085A">
            <w:pPr>
              <w:jc w:val="right"/>
              <w:rPr>
                <w:color w:val="0070C0"/>
                <w:sz w:val="18"/>
                <w:szCs w:val="18"/>
              </w:rPr>
            </w:pPr>
            <w:r>
              <w:rPr>
                <w:color w:val="000000"/>
                <w:sz w:val="18"/>
                <w:szCs w:val="18"/>
              </w:rPr>
              <w:t>0,04</w:t>
            </w:r>
          </w:p>
        </w:tc>
        <w:tc>
          <w:tcPr>
            <w:tcW w:w="567" w:type="dxa"/>
            <w:tcBorders>
              <w:top w:val="nil"/>
              <w:left w:val="nil"/>
              <w:bottom w:val="nil"/>
              <w:right w:val="single" w:sz="4" w:space="0" w:color="800000"/>
            </w:tcBorders>
            <w:shd w:val="clear" w:color="000000" w:fill="FFFFCC"/>
            <w:vAlign w:val="bottom"/>
          </w:tcPr>
          <w:p w14:paraId="713C93AC" w14:textId="77777777" w:rsidR="00CC09AC" w:rsidRPr="007B48E9" w:rsidRDefault="00CC09AC" w:rsidP="003B085A">
            <w:pPr>
              <w:jc w:val="right"/>
              <w:rPr>
                <w:color w:val="0070C0"/>
                <w:sz w:val="18"/>
                <w:szCs w:val="18"/>
              </w:rPr>
            </w:pPr>
            <w:r>
              <w:rPr>
                <w:color w:val="000000"/>
                <w:sz w:val="18"/>
                <w:szCs w:val="18"/>
              </w:rPr>
              <w:t>0,001</w:t>
            </w:r>
          </w:p>
        </w:tc>
        <w:tc>
          <w:tcPr>
            <w:tcW w:w="709" w:type="dxa"/>
            <w:tcBorders>
              <w:top w:val="nil"/>
              <w:left w:val="nil"/>
              <w:bottom w:val="nil"/>
              <w:right w:val="single" w:sz="4" w:space="0" w:color="800000"/>
            </w:tcBorders>
            <w:shd w:val="clear" w:color="000000" w:fill="FFFFCC"/>
            <w:noWrap/>
            <w:vAlign w:val="bottom"/>
          </w:tcPr>
          <w:p w14:paraId="3BFA290B" w14:textId="77777777" w:rsidR="00CC09AC" w:rsidRPr="007B48E9" w:rsidRDefault="00CC09AC" w:rsidP="003B085A">
            <w:pPr>
              <w:jc w:val="right"/>
              <w:rPr>
                <w:color w:val="0070C0"/>
                <w:sz w:val="18"/>
                <w:szCs w:val="18"/>
              </w:rPr>
            </w:pPr>
            <w:r>
              <w:rPr>
                <w:color w:val="000000"/>
                <w:sz w:val="18"/>
                <w:szCs w:val="18"/>
              </w:rPr>
              <w:t>58,2</w:t>
            </w:r>
          </w:p>
        </w:tc>
        <w:tc>
          <w:tcPr>
            <w:tcW w:w="709" w:type="dxa"/>
            <w:tcBorders>
              <w:top w:val="nil"/>
              <w:left w:val="nil"/>
              <w:bottom w:val="nil"/>
              <w:right w:val="single" w:sz="4" w:space="0" w:color="800000"/>
            </w:tcBorders>
            <w:shd w:val="clear" w:color="000000" w:fill="FFFFCC"/>
            <w:vAlign w:val="bottom"/>
          </w:tcPr>
          <w:p w14:paraId="070552B5"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nil"/>
              <w:bottom w:val="nil"/>
              <w:right w:val="single" w:sz="4" w:space="0" w:color="800000"/>
            </w:tcBorders>
            <w:shd w:val="clear" w:color="000000" w:fill="FFFFCC"/>
            <w:noWrap/>
            <w:vAlign w:val="bottom"/>
          </w:tcPr>
          <w:p w14:paraId="724296B5" w14:textId="77777777" w:rsidR="00CC09AC" w:rsidRPr="007B48E9" w:rsidRDefault="00CC09AC" w:rsidP="003B085A">
            <w:pPr>
              <w:jc w:val="right"/>
              <w:rPr>
                <w:color w:val="0070C0"/>
                <w:sz w:val="18"/>
                <w:szCs w:val="18"/>
              </w:rPr>
            </w:pPr>
            <w:r>
              <w:rPr>
                <w:color w:val="000000"/>
                <w:sz w:val="18"/>
                <w:szCs w:val="18"/>
              </w:rPr>
              <w:t>0,3</w:t>
            </w:r>
          </w:p>
        </w:tc>
      </w:tr>
      <w:tr w:rsidR="00CC09AC" w:rsidRPr="007B48E9" w14:paraId="0B3DDB2C" w14:textId="77777777" w:rsidTr="003B085A">
        <w:trPr>
          <w:trHeight w:val="142"/>
        </w:trPr>
        <w:tc>
          <w:tcPr>
            <w:tcW w:w="3168" w:type="dxa"/>
            <w:tcBorders>
              <w:top w:val="nil"/>
              <w:left w:val="double" w:sz="6" w:space="0" w:color="800000"/>
              <w:bottom w:val="nil"/>
              <w:right w:val="single" w:sz="4" w:space="0" w:color="800000"/>
            </w:tcBorders>
            <w:shd w:val="clear" w:color="auto" w:fill="FFFFCC"/>
            <w:noWrap/>
            <w:vAlign w:val="bottom"/>
          </w:tcPr>
          <w:p w14:paraId="364D92C9" w14:textId="77777777" w:rsidR="00CC09AC" w:rsidRPr="001948DF" w:rsidRDefault="00CC09AC" w:rsidP="003B085A">
            <w:pPr>
              <w:rPr>
                <w:sz w:val="18"/>
                <w:szCs w:val="18"/>
              </w:rPr>
            </w:pPr>
            <w:r w:rsidRPr="001948DF">
              <w:rPr>
                <w:sz w:val="18"/>
                <w:szCs w:val="18"/>
              </w:rPr>
              <w:t xml:space="preserve">    Капиталови разходи</w:t>
            </w:r>
          </w:p>
        </w:tc>
        <w:tc>
          <w:tcPr>
            <w:tcW w:w="709" w:type="dxa"/>
            <w:tcBorders>
              <w:top w:val="nil"/>
              <w:left w:val="single" w:sz="4" w:space="0" w:color="800000"/>
              <w:bottom w:val="nil"/>
              <w:right w:val="single" w:sz="4" w:space="0" w:color="800000"/>
            </w:tcBorders>
            <w:shd w:val="clear" w:color="000000" w:fill="FFFFCC"/>
            <w:noWrap/>
            <w:vAlign w:val="bottom"/>
          </w:tcPr>
          <w:p w14:paraId="5905040E" w14:textId="77777777" w:rsidR="00CC09AC" w:rsidRPr="007B48E9" w:rsidRDefault="00CC09AC" w:rsidP="003B085A">
            <w:pPr>
              <w:jc w:val="right"/>
              <w:rPr>
                <w:color w:val="0070C0"/>
                <w:sz w:val="18"/>
                <w:szCs w:val="18"/>
              </w:rPr>
            </w:pPr>
            <w:r>
              <w:rPr>
                <w:color w:val="000000"/>
                <w:sz w:val="18"/>
                <w:szCs w:val="18"/>
              </w:rPr>
              <w:t>47,1</w:t>
            </w:r>
          </w:p>
        </w:tc>
        <w:tc>
          <w:tcPr>
            <w:tcW w:w="709" w:type="dxa"/>
            <w:tcBorders>
              <w:top w:val="nil"/>
              <w:left w:val="nil"/>
              <w:bottom w:val="nil"/>
              <w:right w:val="single" w:sz="4" w:space="0" w:color="800000"/>
            </w:tcBorders>
            <w:shd w:val="clear" w:color="000000" w:fill="FFFFCC"/>
            <w:noWrap/>
            <w:vAlign w:val="bottom"/>
          </w:tcPr>
          <w:p w14:paraId="30798187" w14:textId="77777777" w:rsidR="00CC09AC" w:rsidRPr="007B48E9" w:rsidRDefault="00CC09AC" w:rsidP="003B085A">
            <w:pPr>
              <w:jc w:val="right"/>
              <w:rPr>
                <w:color w:val="0070C0"/>
                <w:sz w:val="18"/>
                <w:szCs w:val="18"/>
              </w:rPr>
            </w:pPr>
            <w:r>
              <w:rPr>
                <w:color w:val="000000"/>
                <w:sz w:val="18"/>
                <w:szCs w:val="18"/>
              </w:rPr>
              <w:t>0,7</w:t>
            </w:r>
          </w:p>
        </w:tc>
        <w:tc>
          <w:tcPr>
            <w:tcW w:w="709" w:type="dxa"/>
            <w:tcBorders>
              <w:top w:val="nil"/>
              <w:left w:val="nil"/>
              <w:bottom w:val="nil"/>
              <w:right w:val="single" w:sz="4" w:space="0" w:color="800000"/>
            </w:tcBorders>
            <w:shd w:val="clear" w:color="000000" w:fill="FFFFCC"/>
            <w:noWrap/>
            <w:vAlign w:val="bottom"/>
          </w:tcPr>
          <w:p w14:paraId="406AD5DC" w14:textId="77777777" w:rsidR="00CC09AC" w:rsidRPr="007B48E9" w:rsidRDefault="00CC09AC" w:rsidP="003B085A">
            <w:pPr>
              <w:jc w:val="right"/>
              <w:rPr>
                <w:color w:val="0070C0"/>
                <w:sz w:val="18"/>
                <w:szCs w:val="18"/>
              </w:rPr>
            </w:pPr>
            <w:r>
              <w:rPr>
                <w:color w:val="000000"/>
                <w:sz w:val="18"/>
                <w:szCs w:val="18"/>
              </w:rPr>
              <w:t>0,0027</w:t>
            </w:r>
          </w:p>
        </w:tc>
        <w:tc>
          <w:tcPr>
            <w:tcW w:w="708" w:type="dxa"/>
            <w:tcBorders>
              <w:top w:val="nil"/>
              <w:left w:val="nil"/>
              <w:bottom w:val="nil"/>
              <w:right w:val="single" w:sz="4" w:space="0" w:color="800000"/>
            </w:tcBorders>
            <w:shd w:val="clear" w:color="000000" w:fill="FFFFCC"/>
            <w:noWrap/>
            <w:vAlign w:val="bottom"/>
          </w:tcPr>
          <w:p w14:paraId="5D9B2D24" w14:textId="77777777" w:rsidR="00CC09AC" w:rsidRPr="007B48E9" w:rsidRDefault="00CC09AC" w:rsidP="003B085A">
            <w:pPr>
              <w:jc w:val="right"/>
              <w:rPr>
                <w:color w:val="0070C0"/>
                <w:sz w:val="18"/>
                <w:szCs w:val="18"/>
              </w:rPr>
            </w:pPr>
            <w:r>
              <w:rPr>
                <w:color w:val="000000"/>
                <w:sz w:val="18"/>
                <w:szCs w:val="18"/>
              </w:rPr>
              <w:t>0,3</w:t>
            </w:r>
          </w:p>
        </w:tc>
        <w:tc>
          <w:tcPr>
            <w:tcW w:w="567" w:type="dxa"/>
            <w:tcBorders>
              <w:top w:val="nil"/>
              <w:left w:val="nil"/>
              <w:bottom w:val="nil"/>
              <w:right w:val="single" w:sz="4" w:space="0" w:color="800000"/>
            </w:tcBorders>
            <w:shd w:val="clear" w:color="000000" w:fill="FFFFCC"/>
            <w:noWrap/>
            <w:vAlign w:val="bottom"/>
          </w:tcPr>
          <w:p w14:paraId="251F9E37" w14:textId="77777777" w:rsidR="00CC09AC" w:rsidRPr="007B48E9" w:rsidRDefault="00CC09AC" w:rsidP="003B085A">
            <w:pPr>
              <w:jc w:val="right"/>
              <w:rPr>
                <w:color w:val="0070C0"/>
                <w:sz w:val="18"/>
                <w:szCs w:val="18"/>
              </w:rPr>
            </w:pPr>
            <w:r>
              <w:rPr>
                <w:color w:val="000000"/>
                <w:sz w:val="18"/>
                <w:szCs w:val="18"/>
              </w:rPr>
              <w:t>0,002</w:t>
            </w:r>
          </w:p>
        </w:tc>
        <w:tc>
          <w:tcPr>
            <w:tcW w:w="567" w:type="dxa"/>
            <w:tcBorders>
              <w:top w:val="nil"/>
              <w:left w:val="nil"/>
              <w:bottom w:val="nil"/>
              <w:right w:val="single" w:sz="4" w:space="0" w:color="800000"/>
            </w:tcBorders>
            <w:shd w:val="clear" w:color="000000" w:fill="FFFFCC"/>
            <w:vAlign w:val="bottom"/>
          </w:tcPr>
          <w:p w14:paraId="4905592E"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6D3B1233"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0E361C3A" w14:textId="77777777" w:rsidR="00CC09AC" w:rsidRPr="007B48E9" w:rsidRDefault="00CC09AC" w:rsidP="003B085A">
            <w:pPr>
              <w:jc w:val="right"/>
              <w:rPr>
                <w:color w:val="0070C0"/>
                <w:sz w:val="18"/>
                <w:szCs w:val="18"/>
              </w:rPr>
            </w:pPr>
            <w:r>
              <w:rPr>
                <w:color w:val="000000"/>
                <w:sz w:val="18"/>
                <w:szCs w:val="18"/>
              </w:rPr>
              <w:t>38,7</w:t>
            </w:r>
          </w:p>
        </w:tc>
        <w:tc>
          <w:tcPr>
            <w:tcW w:w="709" w:type="dxa"/>
            <w:tcBorders>
              <w:top w:val="nil"/>
              <w:left w:val="nil"/>
              <w:bottom w:val="nil"/>
              <w:right w:val="single" w:sz="4" w:space="0" w:color="800000"/>
            </w:tcBorders>
            <w:shd w:val="clear" w:color="000000" w:fill="FFFFCC"/>
            <w:vAlign w:val="bottom"/>
          </w:tcPr>
          <w:p w14:paraId="4CE58D8C"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nil"/>
              <w:bottom w:val="nil"/>
              <w:right w:val="single" w:sz="4" w:space="0" w:color="800000"/>
            </w:tcBorders>
            <w:shd w:val="clear" w:color="000000" w:fill="FFFFCC"/>
            <w:noWrap/>
            <w:vAlign w:val="bottom"/>
          </w:tcPr>
          <w:p w14:paraId="1D7421B5" w14:textId="77777777" w:rsidR="00CC09AC" w:rsidRPr="007B48E9" w:rsidRDefault="00CC09AC" w:rsidP="003B085A">
            <w:pPr>
              <w:jc w:val="right"/>
              <w:rPr>
                <w:color w:val="0070C0"/>
                <w:sz w:val="18"/>
                <w:szCs w:val="18"/>
              </w:rPr>
            </w:pPr>
            <w:r>
              <w:rPr>
                <w:color w:val="000000"/>
                <w:sz w:val="18"/>
                <w:szCs w:val="18"/>
              </w:rPr>
              <w:t>7,3</w:t>
            </w:r>
          </w:p>
        </w:tc>
      </w:tr>
      <w:tr w:rsidR="00CC09AC" w:rsidRPr="007B48E9" w14:paraId="0C5F4121" w14:textId="77777777" w:rsidTr="003B085A">
        <w:trPr>
          <w:trHeight w:val="142"/>
        </w:trPr>
        <w:tc>
          <w:tcPr>
            <w:tcW w:w="3168" w:type="dxa"/>
            <w:tcBorders>
              <w:top w:val="nil"/>
              <w:left w:val="double" w:sz="6" w:space="0" w:color="800000"/>
              <w:bottom w:val="nil"/>
              <w:right w:val="single" w:sz="4" w:space="0" w:color="800000"/>
            </w:tcBorders>
            <w:shd w:val="clear" w:color="auto" w:fill="FFFFCC"/>
            <w:noWrap/>
            <w:vAlign w:val="bottom"/>
          </w:tcPr>
          <w:p w14:paraId="5F0DE639" w14:textId="77777777" w:rsidR="00CC09AC" w:rsidRPr="001948DF" w:rsidRDefault="00CC09AC" w:rsidP="003B085A">
            <w:pPr>
              <w:rPr>
                <w:sz w:val="18"/>
                <w:szCs w:val="18"/>
              </w:rPr>
            </w:pPr>
            <w:r w:rsidRPr="001948DF">
              <w:rPr>
                <w:sz w:val="18"/>
                <w:szCs w:val="18"/>
              </w:rPr>
              <w:t xml:space="preserve">    Пред. тек. и кап. тр/ри за чужбина</w:t>
            </w:r>
          </w:p>
        </w:tc>
        <w:tc>
          <w:tcPr>
            <w:tcW w:w="709" w:type="dxa"/>
            <w:tcBorders>
              <w:top w:val="nil"/>
              <w:left w:val="single" w:sz="4" w:space="0" w:color="800000"/>
              <w:bottom w:val="nil"/>
              <w:right w:val="single" w:sz="4" w:space="0" w:color="800000"/>
            </w:tcBorders>
            <w:shd w:val="clear" w:color="000000" w:fill="FFFFCC"/>
            <w:noWrap/>
            <w:vAlign w:val="bottom"/>
          </w:tcPr>
          <w:p w14:paraId="3345FE3C" w14:textId="77777777" w:rsidR="00CC09AC" w:rsidRPr="007B48E9" w:rsidRDefault="00CC09AC" w:rsidP="003B085A">
            <w:pPr>
              <w:jc w:val="right"/>
              <w:rPr>
                <w:color w:val="0070C0"/>
                <w:sz w:val="18"/>
                <w:szCs w:val="18"/>
              </w:rPr>
            </w:pPr>
            <w:r>
              <w:rPr>
                <w:color w:val="000000"/>
                <w:sz w:val="18"/>
                <w:szCs w:val="18"/>
              </w:rPr>
              <w:t>0,6</w:t>
            </w:r>
          </w:p>
        </w:tc>
        <w:tc>
          <w:tcPr>
            <w:tcW w:w="709" w:type="dxa"/>
            <w:tcBorders>
              <w:top w:val="nil"/>
              <w:left w:val="nil"/>
              <w:bottom w:val="nil"/>
              <w:right w:val="single" w:sz="4" w:space="0" w:color="800000"/>
            </w:tcBorders>
            <w:shd w:val="clear" w:color="000000" w:fill="FFFFCC"/>
            <w:noWrap/>
            <w:vAlign w:val="bottom"/>
          </w:tcPr>
          <w:p w14:paraId="1F37225C" w14:textId="77777777" w:rsidR="00CC09AC" w:rsidRPr="007B48E9" w:rsidRDefault="00CC09AC" w:rsidP="003B085A">
            <w:pPr>
              <w:jc w:val="right"/>
              <w:rPr>
                <w:color w:val="0070C0"/>
                <w:sz w:val="18"/>
                <w:szCs w:val="18"/>
              </w:rPr>
            </w:pPr>
            <w:r>
              <w:rPr>
                <w:color w:val="000000"/>
                <w:sz w:val="18"/>
                <w:szCs w:val="18"/>
              </w:rPr>
              <w:t>0,0</w:t>
            </w:r>
          </w:p>
        </w:tc>
        <w:tc>
          <w:tcPr>
            <w:tcW w:w="709" w:type="dxa"/>
            <w:tcBorders>
              <w:top w:val="nil"/>
              <w:left w:val="nil"/>
              <w:bottom w:val="nil"/>
              <w:right w:val="single" w:sz="4" w:space="0" w:color="800000"/>
            </w:tcBorders>
            <w:shd w:val="clear" w:color="000000" w:fill="FFFFCC"/>
            <w:noWrap/>
            <w:vAlign w:val="bottom"/>
          </w:tcPr>
          <w:p w14:paraId="212DDFBE"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000000" w:fill="FFFFCC"/>
            <w:noWrap/>
            <w:vAlign w:val="bottom"/>
          </w:tcPr>
          <w:p w14:paraId="77ED37F7"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noWrap/>
            <w:vAlign w:val="bottom"/>
          </w:tcPr>
          <w:p w14:paraId="6288E48E"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38B51618"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000000" w:fill="FFFFCC"/>
            <w:vAlign w:val="bottom"/>
          </w:tcPr>
          <w:p w14:paraId="161D6FE3"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025A10CA"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vAlign w:val="bottom"/>
          </w:tcPr>
          <w:p w14:paraId="5442C722"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nil"/>
              <w:bottom w:val="nil"/>
              <w:right w:val="single" w:sz="4" w:space="0" w:color="800000"/>
            </w:tcBorders>
            <w:shd w:val="clear" w:color="000000" w:fill="FFFFCC"/>
            <w:noWrap/>
            <w:vAlign w:val="bottom"/>
          </w:tcPr>
          <w:p w14:paraId="20DE5493" w14:textId="77777777" w:rsidR="00CC09AC" w:rsidRPr="007B48E9" w:rsidRDefault="00CC09AC" w:rsidP="003B085A">
            <w:pPr>
              <w:jc w:val="right"/>
              <w:rPr>
                <w:color w:val="0070C0"/>
                <w:sz w:val="18"/>
                <w:szCs w:val="18"/>
              </w:rPr>
            </w:pPr>
            <w:r>
              <w:rPr>
                <w:color w:val="000000"/>
                <w:sz w:val="18"/>
                <w:szCs w:val="18"/>
              </w:rPr>
              <w:t>0,6</w:t>
            </w:r>
          </w:p>
        </w:tc>
      </w:tr>
      <w:tr w:rsidR="00CC09AC" w:rsidRPr="007B48E9" w14:paraId="58A062CF" w14:textId="77777777" w:rsidTr="003B085A">
        <w:trPr>
          <w:trHeight w:val="142"/>
        </w:trPr>
        <w:tc>
          <w:tcPr>
            <w:tcW w:w="3168" w:type="dxa"/>
            <w:tcBorders>
              <w:top w:val="nil"/>
              <w:left w:val="double" w:sz="6" w:space="0" w:color="800000"/>
              <w:bottom w:val="double" w:sz="6" w:space="0" w:color="800000"/>
              <w:right w:val="single" w:sz="4" w:space="0" w:color="800000"/>
            </w:tcBorders>
            <w:shd w:val="clear" w:color="auto" w:fill="FFFFCC"/>
            <w:noWrap/>
            <w:vAlign w:val="bottom"/>
          </w:tcPr>
          <w:p w14:paraId="3D524B88" w14:textId="77777777" w:rsidR="00CC09AC" w:rsidRPr="001948DF" w:rsidRDefault="00CC09AC" w:rsidP="003B085A">
            <w:pPr>
              <w:rPr>
                <w:sz w:val="18"/>
                <w:szCs w:val="18"/>
              </w:rPr>
            </w:pPr>
            <w:r w:rsidRPr="001948DF">
              <w:rPr>
                <w:sz w:val="18"/>
                <w:szCs w:val="18"/>
              </w:rPr>
              <w:t xml:space="preserve">    Предотвратяване и ликвидиране на последиците от бедствия и аварии</w:t>
            </w:r>
          </w:p>
        </w:tc>
        <w:tc>
          <w:tcPr>
            <w:tcW w:w="709" w:type="dxa"/>
            <w:tcBorders>
              <w:top w:val="nil"/>
              <w:left w:val="single" w:sz="4" w:space="0" w:color="800000"/>
              <w:bottom w:val="double" w:sz="6" w:space="0" w:color="800000"/>
              <w:right w:val="single" w:sz="4" w:space="0" w:color="800000"/>
            </w:tcBorders>
            <w:shd w:val="clear" w:color="000000" w:fill="FFFFCC"/>
            <w:noWrap/>
            <w:vAlign w:val="bottom"/>
          </w:tcPr>
          <w:p w14:paraId="19287142" w14:textId="77777777" w:rsidR="00CC09AC" w:rsidRPr="007B48E9" w:rsidRDefault="00CC09AC" w:rsidP="003B085A">
            <w:pPr>
              <w:jc w:val="right"/>
              <w:rPr>
                <w:color w:val="0070C0"/>
                <w:sz w:val="18"/>
                <w:szCs w:val="18"/>
              </w:rPr>
            </w:pPr>
            <w:r>
              <w:rPr>
                <w:color w:val="000000"/>
                <w:sz w:val="18"/>
                <w:szCs w:val="18"/>
              </w:rPr>
              <w:t>35,3</w:t>
            </w:r>
          </w:p>
        </w:tc>
        <w:tc>
          <w:tcPr>
            <w:tcW w:w="709" w:type="dxa"/>
            <w:tcBorders>
              <w:top w:val="nil"/>
              <w:left w:val="nil"/>
              <w:bottom w:val="double" w:sz="6" w:space="0" w:color="800000"/>
              <w:right w:val="single" w:sz="4" w:space="0" w:color="800000"/>
            </w:tcBorders>
            <w:shd w:val="clear" w:color="000000" w:fill="FFFFCC"/>
            <w:noWrap/>
            <w:vAlign w:val="bottom"/>
          </w:tcPr>
          <w:p w14:paraId="3F8DA414" w14:textId="77777777" w:rsidR="00CC09AC" w:rsidRPr="007B48E9" w:rsidRDefault="00CC09AC" w:rsidP="003B085A">
            <w:pPr>
              <w:jc w:val="right"/>
              <w:rPr>
                <w:color w:val="0070C0"/>
                <w:sz w:val="18"/>
                <w:szCs w:val="18"/>
              </w:rPr>
            </w:pPr>
            <w:r>
              <w:rPr>
                <w:color w:val="000000"/>
                <w:sz w:val="18"/>
                <w:szCs w:val="18"/>
              </w:rPr>
              <w:t>13,9</w:t>
            </w:r>
          </w:p>
        </w:tc>
        <w:tc>
          <w:tcPr>
            <w:tcW w:w="709" w:type="dxa"/>
            <w:tcBorders>
              <w:top w:val="nil"/>
              <w:left w:val="nil"/>
              <w:bottom w:val="double" w:sz="6" w:space="0" w:color="800000"/>
              <w:right w:val="single" w:sz="4" w:space="0" w:color="800000"/>
            </w:tcBorders>
            <w:shd w:val="clear" w:color="000000" w:fill="FFFFCC"/>
            <w:noWrap/>
            <w:vAlign w:val="bottom"/>
          </w:tcPr>
          <w:p w14:paraId="37DC6876" w14:textId="77777777" w:rsidR="00CC09AC" w:rsidRPr="007B48E9" w:rsidRDefault="00CC09AC" w:rsidP="003B085A">
            <w:pPr>
              <w:jc w:val="right"/>
              <w:rPr>
                <w:color w:val="0070C0"/>
                <w:sz w:val="18"/>
                <w:szCs w:val="18"/>
              </w:rPr>
            </w:pPr>
            <w:r>
              <w:rPr>
                <w:color w:val="000000"/>
                <w:sz w:val="18"/>
                <w:szCs w:val="18"/>
              </w:rPr>
              <w:t> </w:t>
            </w:r>
          </w:p>
        </w:tc>
        <w:tc>
          <w:tcPr>
            <w:tcW w:w="708" w:type="dxa"/>
            <w:tcBorders>
              <w:top w:val="nil"/>
              <w:left w:val="nil"/>
              <w:bottom w:val="double" w:sz="6" w:space="0" w:color="800000"/>
              <w:right w:val="single" w:sz="4" w:space="0" w:color="800000"/>
            </w:tcBorders>
            <w:shd w:val="clear" w:color="000000" w:fill="FFFFCC"/>
            <w:noWrap/>
            <w:vAlign w:val="bottom"/>
          </w:tcPr>
          <w:p w14:paraId="1DA03E80" w14:textId="77777777" w:rsidR="00CC09AC" w:rsidRPr="007B48E9" w:rsidRDefault="00CC09AC" w:rsidP="003B085A">
            <w:pPr>
              <w:jc w:val="right"/>
              <w:rPr>
                <w:color w:val="0070C0"/>
                <w:sz w:val="18"/>
                <w:szCs w:val="18"/>
              </w:rPr>
            </w:pPr>
            <w:r>
              <w:rPr>
                <w:color w:val="000000"/>
                <w:sz w:val="18"/>
                <w:szCs w:val="18"/>
              </w:rPr>
              <w:t>0,002</w:t>
            </w:r>
          </w:p>
        </w:tc>
        <w:tc>
          <w:tcPr>
            <w:tcW w:w="567" w:type="dxa"/>
            <w:tcBorders>
              <w:top w:val="nil"/>
              <w:left w:val="nil"/>
              <w:bottom w:val="double" w:sz="6" w:space="0" w:color="800000"/>
              <w:right w:val="single" w:sz="4" w:space="0" w:color="800000"/>
            </w:tcBorders>
            <w:shd w:val="clear" w:color="000000" w:fill="FFFFCC"/>
            <w:noWrap/>
            <w:vAlign w:val="bottom"/>
          </w:tcPr>
          <w:p w14:paraId="278A80DB"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double" w:sz="6" w:space="0" w:color="800000"/>
              <w:right w:val="single" w:sz="4" w:space="0" w:color="800000"/>
            </w:tcBorders>
            <w:shd w:val="clear" w:color="000000" w:fill="FFFFCC"/>
            <w:vAlign w:val="bottom"/>
          </w:tcPr>
          <w:p w14:paraId="077E088F" w14:textId="77777777" w:rsidR="00CC09AC" w:rsidRPr="007B48E9" w:rsidRDefault="00CC09AC" w:rsidP="003B085A">
            <w:pPr>
              <w:jc w:val="right"/>
              <w:rPr>
                <w:color w:val="0070C0"/>
                <w:sz w:val="18"/>
                <w:szCs w:val="18"/>
              </w:rPr>
            </w:pPr>
            <w:r>
              <w:rPr>
                <w:color w:val="000000"/>
                <w:sz w:val="18"/>
                <w:szCs w:val="18"/>
              </w:rPr>
              <w:t> </w:t>
            </w:r>
          </w:p>
        </w:tc>
        <w:tc>
          <w:tcPr>
            <w:tcW w:w="567" w:type="dxa"/>
            <w:tcBorders>
              <w:top w:val="nil"/>
              <w:left w:val="nil"/>
              <w:bottom w:val="double" w:sz="6" w:space="0" w:color="800000"/>
              <w:right w:val="single" w:sz="4" w:space="0" w:color="800000"/>
            </w:tcBorders>
            <w:shd w:val="clear" w:color="000000" w:fill="FFFFCC"/>
            <w:vAlign w:val="bottom"/>
          </w:tcPr>
          <w:p w14:paraId="091B15DE"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nil"/>
              <w:bottom w:val="double" w:sz="6" w:space="0" w:color="800000"/>
              <w:right w:val="single" w:sz="4" w:space="0" w:color="800000"/>
            </w:tcBorders>
            <w:shd w:val="clear" w:color="000000" w:fill="FFFFCC"/>
            <w:noWrap/>
            <w:vAlign w:val="bottom"/>
          </w:tcPr>
          <w:p w14:paraId="6F2296CD" w14:textId="77777777" w:rsidR="00CC09AC" w:rsidRPr="007B48E9" w:rsidRDefault="00CC09AC" w:rsidP="003B085A">
            <w:pPr>
              <w:jc w:val="right"/>
              <w:rPr>
                <w:color w:val="0070C0"/>
                <w:sz w:val="18"/>
                <w:szCs w:val="18"/>
              </w:rPr>
            </w:pPr>
            <w:r>
              <w:rPr>
                <w:color w:val="000000"/>
                <w:sz w:val="18"/>
                <w:szCs w:val="18"/>
              </w:rPr>
              <w:t>21,4</w:t>
            </w:r>
          </w:p>
        </w:tc>
        <w:tc>
          <w:tcPr>
            <w:tcW w:w="709" w:type="dxa"/>
            <w:tcBorders>
              <w:top w:val="nil"/>
              <w:left w:val="nil"/>
              <w:bottom w:val="double" w:sz="6" w:space="0" w:color="800000"/>
              <w:right w:val="single" w:sz="4" w:space="0" w:color="800000"/>
            </w:tcBorders>
            <w:shd w:val="clear" w:color="000000" w:fill="FFFFCC"/>
            <w:vAlign w:val="bottom"/>
          </w:tcPr>
          <w:p w14:paraId="1D00164F"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nil"/>
              <w:bottom w:val="double" w:sz="6" w:space="0" w:color="800000"/>
              <w:right w:val="single" w:sz="4" w:space="0" w:color="800000"/>
            </w:tcBorders>
            <w:shd w:val="clear" w:color="000000" w:fill="FFFFCC"/>
            <w:noWrap/>
            <w:vAlign w:val="bottom"/>
          </w:tcPr>
          <w:p w14:paraId="27649477" w14:textId="77777777" w:rsidR="00CC09AC" w:rsidRPr="007B48E9" w:rsidRDefault="00CC09AC" w:rsidP="003B085A">
            <w:pPr>
              <w:jc w:val="right"/>
              <w:rPr>
                <w:color w:val="0070C0"/>
                <w:sz w:val="18"/>
                <w:szCs w:val="18"/>
              </w:rPr>
            </w:pPr>
            <w:r>
              <w:rPr>
                <w:color w:val="000000"/>
                <w:sz w:val="18"/>
                <w:szCs w:val="18"/>
              </w:rPr>
              <w:t> </w:t>
            </w:r>
          </w:p>
        </w:tc>
      </w:tr>
    </w:tbl>
    <w:p w14:paraId="0687EF53" w14:textId="77777777" w:rsidR="00CC09AC" w:rsidRPr="001948DF" w:rsidRDefault="00CC09AC" w:rsidP="009F7EA4">
      <w:pPr>
        <w:spacing w:before="240"/>
        <w:ind w:firstLine="709"/>
        <w:rPr>
          <w:b/>
          <w:i/>
        </w:rPr>
      </w:pPr>
      <w:r w:rsidRPr="001948DF">
        <w:rPr>
          <w:b/>
        </w:rPr>
        <w:t xml:space="preserve">Група А: </w:t>
      </w:r>
      <w:r w:rsidRPr="001948DF">
        <w:rPr>
          <w:b/>
          <w:i/>
        </w:rPr>
        <w:t>„Отбрана”</w:t>
      </w:r>
    </w:p>
    <w:p w14:paraId="27F4FDF9" w14:textId="77777777" w:rsidR="00CC09AC" w:rsidRPr="007B48E9" w:rsidRDefault="00CC09AC" w:rsidP="00CC09AC">
      <w:pPr>
        <w:ind w:firstLine="709"/>
        <w:jc w:val="both"/>
        <w:rPr>
          <w:color w:val="0070C0"/>
          <w:sz w:val="12"/>
          <w:szCs w:val="12"/>
        </w:rPr>
      </w:pPr>
    </w:p>
    <w:p w14:paraId="7CC0037C" w14:textId="77777777" w:rsidR="00CC09AC" w:rsidRPr="007B48E9" w:rsidRDefault="00CC09AC" w:rsidP="00CC09AC">
      <w:pPr>
        <w:ind w:firstLine="709"/>
        <w:jc w:val="both"/>
        <w:rPr>
          <w:color w:val="0070C0"/>
        </w:rPr>
      </w:pPr>
      <w:r w:rsidRPr="00713CFB">
        <w:t xml:space="preserve">Извършените разходи </w:t>
      </w:r>
      <w:r w:rsidRPr="00713CFB">
        <w:rPr>
          <w:bCs/>
        </w:rPr>
        <w:t>по</w:t>
      </w:r>
      <w:r w:rsidRPr="00713CFB">
        <w:t xml:space="preserve"> консолидираната фискална програма за група </w:t>
      </w:r>
      <w:r w:rsidRPr="00713CFB">
        <w:rPr>
          <w:b/>
          <w:i/>
        </w:rPr>
        <w:t xml:space="preserve">„Отбрана” </w:t>
      </w:r>
      <w:r w:rsidRPr="00390ECE">
        <w:t xml:space="preserve">през 2022 г. са в размер на </w:t>
      </w:r>
      <w:r w:rsidRPr="00390ECE">
        <w:rPr>
          <w:lang w:val="ru-RU"/>
        </w:rPr>
        <w:t>2 200,5</w:t>
      </w:r>
      <w:r w:rsidRPr="00390ECE">
        <w:t xml:space="preserve"> млн. лв. От тях </w:t>
      </w:r>
      <w:r w:rsidRPr="004D5FFC">
        <w:rPr>
          <w:lang w:val="ru-RU"/>
        </w:rPr>
        <w:t>2</w:t>
      </w:r>
      <w:r w:rsidRPr="00390ECE">
        <w:rPr>
          <w:lang w:val="en-US"/>
        </w:rPr>
        <w:t> </w:t>
      </w:r>
      <w:r w:rsidRPr="004D5FFC">
        <w:rPr>
          <w:lang w:val="ru-RU"/>
        </w:rPr>
        <w:t>182</w:t>
      </w:r>
      <w:r w:rsidRPr="00390ECE">
        <w:t>,</w:t>
      </w:r>
      <w:r w:rsidRPr="004D5FFC">
        <w:rPr>
          <w:lang w:val="ru-RU"/>
        </w:rPr>
        <w:t>7</w:t>
      </w:r>
      <w:r w:rsidRPr="00390ECE">
        <w:t xml:space="preserve"> млн. лв. са по бюджетите на </w:t>
      </w:r>
      <w:r w:rsidRPr="00A657AF">
        <w:rPr>
          <w:b/>
        </w:rPr>
        <w:t xml:space="preserve">министерства и ведомства, </w:t>
      </w:r>
      <w:r w:rsidRPr="00A657AF">
        <w:t xml:space="preserve">при разчетени със ЗДБРБ за 2022 г. разходи в размер на </w:t>
      </w:r>
      <w:r w:rsidRPr="00A657AF">
        <w:rPr>
          <w:lang w:val="ru-RU"/>
        </w:rPr>
        <w:t>1 </w:t>
      </w:r>
      <w:r w:rsidRPr="004142F0">
        <w:rPr>
          <w:lang w:val="ru-RU"/>
        </w:rPr>
        <w:t>750,4</w:t>
      </w:r>
      <w:r w:rsidRPr="004142F0">
        <w:t> млн. лв. Най-голям относителен дял имат разходите, отчетени по бюджета на МО – 2</w:t>
      </w:r>
      <w:r>
        <w:t> 181,7</w:t>
      </w:r>
      <w:r w:rsidRPr="004142F0">
        <w:t xml:space="preserve"> млн. лв. </w:t>
      </w:r>
    </w:p>
    <w:p w14:paraId="6D529791" w14:textId="77777777" w:rsidR="00CC09AC" w:rsidRPr="00B9005A" w:rsidRDefault="00CC09AC" w:rsidP="00CC09AC">
      <w:pPr>
        <w:ind w:firstLine="709"/>
        <w:jc w:val="both"/>
      </w:pPr>
      <w:r w:rsidRPr="00B9005A">
        <w:t>Отбранителната политика през 20</w:t>
      </w:r>
      <w:r w:rsidRPr="004D5FFC">
        <w:rPr>
          <w:lang w:val="ru-RU"/>
        </w:rPr>
        <w:t>2</w:t>
      </w:r>
      <w:r w:rsidRPr="00B9005A">
        <w:t xml:space="preserve">2 г. продължи да се осъществява в съответствие с Конституцията, законите и стратегически документи в областта на сигурността и отбраната. Продължи изпълнението на </w:t>
      </w:r>
      <w:r w:rsidRPr="00B9005A">
        <w:rPr>
          <w:bCs/>
        </w:rPr>
        <w:t>Програмата за развитие на отбранителните способности на въоръжените сили на Република България 2032, приета от НС на 11.02.2021 г. (обн., ДВ, бр. 13 от 2021 г.)</w:t>
      </w:r>
      <w:r w:rsidRPr="00B9005A">
        <w:t xml:space="preserve">, на </w:t>
      </w:r>
      <w:r w:rsidRPr="00B9005A">
        <w:rPr>
          <w:bCs/>
        </w:rPr>
        <w:t xml:space="preserve">Плана за развитие на въоръжените сили на Република България до 2026 г., приет с ПМС № 183 от 2021 г. </w:t>
      </w:r>
      <w:r w:rsidRPr="00B9005A">
        <w:t>и на Националния план за повишаване на разходите за отбрана на 2 на сто от БВП на република България до 2024 г., одобрен с Решение № 3 на Министерския съвет от 2018 г. Осигурена беше приемственост в националните цели и приоритети и при изпълнение на поетите ангажименти в рамките на колективната отбрана на НАТО и Общата политика за сигурност и отбрана на ЕС. Като съюзник в НАТО и член на ЕС, страната ни следва и целите и приоритетите, залегнали в новата Стратегическа концепция на НАТО 2022 и Стратегическия компас на ЕС.</w:t>
      </w:r>
    </w:p>
    <w:p w14:paraId="148D88B2" w14:textId="77777777" w:rsidR="00CC09AC" w:rsidRPr="00B9005A" w:rsidRDefault="00CC09AC" w:rsidP="00CC09AC">
      <w:pPr>
        <w:ind w:firstLine="709"/>
        <w:jc w:val="both"/>
      </w:pPr>
      <w:r w:rsidRPr="00B9005A">
        <w:t>През годината усилията на Министерството на отбраната бяха фокусирани върху: изпълнение на мисиите и задачите на въоръжените сили; изграждане и поддържане на необходимите отбранителни способности и попълване на техния дефицит; изпълнение на Целите на способностите на НАТО; превъоръжаване и модернизация; изграждане на предното присъствие на НАТО в региона; попълване на вакантните длъжности във въоръжените сили; окомплектоване и подготовка на доброволния резерв.</w:t>
      </w:r>
    </w:p>
    <w:p w14:paraId="14C1C140" w14:textId="77777777" w:rsidR="00CC09AC" w:rsidRPr="004D5FFC" w:rsidRDefault="00CC09AC" w:rsidP="00CC09AC">
      <w:pPr>
        <w:ind w:firstLine="709"/>
        <w:jc w:val="both"/>
        <w:rPr>
          <w:lang w:val="ru-RU"/>
        </w:rPr>
      </w:pPr>
      <w:r w:rsidRPr="00B9005A">
        <w:t xml:space="preserve">В рамките на утвърдения бюджет на Министерството на отбраната за 2022 г. Въоръжените сили изпълняваха задачи, произтичащи от конституционните им задължения по мисиите „Отбрана“, „Подкрепа на международния мир и сигурност” и „Принос към националната сигурност в мирно време“. </w:t>
      </w:r>
    </w:p>
    <w:p w14:paraId="681F6AA5" w14:textId="77777777" w:rsidR="00CC09AC" w:rsidRPr="00B9005A" w:rsidRDefault="00CC09AC" w:rsidP="00CC09AC">
      <w:pPr>
        <w:widowControl w:val="0"/>
        <w:ind w:firstLine="709"/>
        <w:jc w:val="both"/>
        <w:rPr>
          <w:color w:val="000000"/>
        </w:rPr>
      </w:pPr>
      <w:r w:rsidRPr="00B9005A">
        <w:t xml:space="preserve">В рамките на мисия „Отбрана“ основните усилия бяха насочени към усвояване и поддържане на плановете за бойна готовност и мобилизация, и моделите за работа на оперативните групи на всички нива, с цел устойчиво управление на </w:t>
      </w:r>
      <w:r w:rsidRPr="00B9005A">
        <w:rPr>
          <w:color w:val="000000"/>
        </w:rPr>
        <w:t xml:space="preserve">подчинените формирования и структури при нарастване на готовността, своевременно привеждане в по-високи степени на бойна готовност и при провеждане на мобилизация. </w:t>
      </w:r>
    </w:p>
    <w:p w14:paraId="184B3734" w14:textId="77777777" w:rsidR="00CC09AC" w:rsidRPr="00B9005A" w:rsidRDefault="00CC09AC" w:rsidP="00CC09AC">
      <w:pPr>
        <w:ind w:firstLine="709"/>
        <w:jc w:val="both"/>
      </w:pPr>
      <w:r w:rsidRPr="00B9005A">
        <w:t xml:space="preserve">В изпълнение на мисия „Подкрепа на международния мир и сигурност“ през 2022 г. формирования и отделни военнослужещи участваха зад граница в 10 различни мисии и операции на НАТО и ЕС. Общият брой участвали военнослужещи беше средно до 520 за една ротация, което е повишение с 200 военнослужещи в сравнение с предходната година. </w:t>
      </w:r>
    </w:p>
    <w:p w14:paraId="189171A7" w14:textId="77777777" w:rsidR="00CC09AC" w:rsidRPr="00B9005A" w:rsidRDefault="00CC09AC" w:rsidP="00CC09AC">
      <w:pPr>
        <w:ind w:firstLine="709"/>
        <w:jc w:val="both"/>
      </w:pPr>
      <w:r w:rsidRPr="00B9005A">
        <w:t>В рамките на мисия „Принос към националната сигурност в мирно време“ през 2022</w:t>
      </w:r>
      <w:r>
        <w:rPr>
          <w:lang w:val="en-US"/>
        </w:rPr>
        <w:t> </w:t>
      </w:r>
      <w:r w:rsidRPr="00B9005A">
        <w:t>г. Въоръжените сили изпълняваха следните задачи:</w:t>
      </w:r>
    </w:p>
    <w:p w14:paraId="1EC1CA25" w14:textId="77777777" w:rsidR="00CC09AC" w:rsidRPr="00B9005A" w:rsidRDefault="00CC09AC" w:rsidP="00BD39E0">
      <w:pPr>
        <w:pStyle w:val="ListParagraph"/>
        <w:numPr>
          <w:ilvl w:val="0"/>
          <w:numId w:val="48"/>
        </w:numPr>
        <w:tabs>
          <w:tab w:val="left" w:pos="851"/>
        </w:tabs>
        <w:ind w:left="142" w:firstLine="567"/>
        <w:jc w:val="both"/>
      </w:pPr>
      <w:r w:rsidRPr="00B9005A">
        <w:t>в изпълнение на националния план за действие при извънредна ситуация вследствие на увеличен миграционен натиск по границата с Република Турция поддържаха 24-часова готовност до 1 051 военнослужещи и цивилни служители, а за действие по границата с Република Гърция – до 801;</w:t>
      </w:r>
    </w:p>
    <w:p w14:paraId="0B74A2F2" w14:textId="77777777" w:rsidR="00CC09AC" w:rsidRPr="00B9005A" w:rsidRDefault="00CC09AC" w:rsidP="00BD39E0">
      <w:pPr>
        <w:pStyle w:val="ListParagraph"/>
        <w:numPr>
          <w:ilvl w:val="0"/>
          <w:numId w:val="48"/>
        </w:numPr>
        <w:tabs>
          <w:tab w:val="left" w:pos="851"/>
        </w:tabs>
        <w:ind w:left="142" w:firstLine="567"/>
        <w:jc w:val="both"/>
      </w:pPr>
      <w:r w:rsidRPr="00B9005A">
        <w:rPr>
          <w:rFonts w:eastAsia="Arial"/>
        </w:rPr>
        <w:t>поддържаха в готовност до 1 100 души за съвместни действия с Министерството на вътрешните работи по плановете по противодействие на тероризма;</w:t>
      </w:r>
    </w:p>
    <w:p w14:paraId="149BC58E" w14:textId="77777777" w:rsidR="00CC09AC" w:rsidRPr="00B9005A" w:rsidRDefault="00CC09AC" w:rsidP="00BD39E0">
      <w:pPr>
        <w:pStyle w:val="ListParagraph"/>
        <w:numPr>
          <w:ilvl w:val="0"/>
          <w:numId w:val="48"/>
        </w:numPr>
        <w:tabs>
          <w:tab w:val="left" w:pos="851"/>
        </w:tabs>
        <w:ind w:left="142" w:firstLine="567"/>
        <w:jc w:val="both"/>
      </w:pPr>
      <w:r w:rsidRPr="00B9005A">
        <w:rPr>
          <w:rFonts w:eastAsia="Arial"/>
        </w:rPr>
        <w:t>поддържаха 96 формирования за овладяване и/или преодоляване на последствията от бедствия и две групи за евакуация на населението при авария в АЕЦ „Козлодуй“, с общо 2690 души и 760 пътни превозни средства;</w:t>
      </w:r>
    </w:p>
    <w:p w14:paraId="36F68F6F" w14:textId="77777777" w:rsidR="00CC09AC" w:rsidRPr="00B9005A" w:rsidRDefault="00CC09AC" w:rsidP="00BD39E0">
      <w:pPr>
        <w:pStyle w:val="ListParagraph"/>
        <w:numPr>
          <w:ilvl w:val="0"/>
          <w:numId w:val="48"/>
        </w:numPr>
        <w:tabs>
          <w:tab w:val="left" w:pos="851"/>
        </w:tabs>
        <w:ind w:left="142" w:firstLine="567"/>
        <w:jc w:val="both"/>
      </w:pPr>
      <w:r w:rsidRPr="00B9005A">
        <w:rPr>
          <w:rFonts w:eastAsia="Arial"/>
        </w:rPr>
        <w:t>в постоянна готовност за изпълнение на специални задачи се поддържаха самолет C-27J „Spartan” за транспортиране и евакуация, вертолети AS-532-AL „Cougar” и Ми-17 за пожарогасене, транспортиране, евакуация, въздушно разузнаване и наблюдение от въздуха;</w:t>
      </w:r>
    </w:p>
    <w:p w14:paraId="2BE96DAB" w14:textId="77777777" w:rsidR="00CC09AC" w:rsidRPr="00B9005A" w:rsidRDefault="00CC09AC" w:rsidP="00BD39E0">
      <w:pPr>
        <w:pStyle w:val="ListParagraph"/>
        <w:numPr>
          <w:ilvl w:val="0"/>
          <w:numId w:val="48"/>
        </w:numPr>
        <w:tabs>
          <w:tab w:val="left" w:pos="851"/>
        </w:tabs>
        <w:ind w:left="142" w:firstLine="567"/>
        <w:jc w:val="both"/>
      </w:pPr>
      <w:r w:rsidRPr="00B9005A">
        <w:rPr>
          <w:rFonts w:eastAsia="Arial"/>
        </w:rPr>
        <w:t>около 3 000 военнослужещи на ротационен принцип и над 400 единици транспортна и специална техника участваха активно в операции по оказване на помощ за охрана на държавната граница и логистичното осигуряване на Министерството на вътрешните работи;</w:t>
      </w:r>
    </w:p>
    <w:p w14:paraId="3520F284" w14:textId="77777777" w:rsidR="00CC09AC" w:rsidRPr="00B9005A" w:rsidRDefault="00CC09AC" w:rsidP="00BD39E0">
      <w:pPr>
        <w:pStyle w:val="ListParagraph"/>
        <w:numPr>
          <w:ilvl w:val="0"/>
          <w:numId w:val="48"/>
        </w:numPr>
        <w:tabs>
          <w:tab w:val="left" w:pos="851"/>
        </w:tabs>
        <w:ind w:left="0" w:firstLine="709"/>
        <w:jc w:val="both"/>
      </w:pPr>
      <w:r w:rsidRPr="00B9005A">
        <w:t>извършиха ремонт за възстановяване на целостта на 110 км. проблемни участъци от инженерното възпрепятстващо съоръжение по българо-турската граница. В ремонтно-възстановителни дейности участваха до 30 военнослужещи и до 10 пътни превозни средства от инженерните формирования на Сухопътни войски;</w:t>
      </w:r>
    </w:p>
    <w:p w14:paraId="4C049109" w14:textId="77777777" w:rsidR="00CC09AC" w:rsidRPr="00B9005A" w:rsidRDefault="00CC09AC" w:rsidP="00BD39E0">
      <w:pPr>
        <w:pStyle w:val="ListParagraph"/>
        <w:numPr>
          <w:ilvl w:val="0"/>
          <w:numId w:val="48"/>
        </w:numPr>
        <w:tabs>
          <w:tab w:val="left" w:pos="851"/>
        </w:tabs>
        <w:ind w:left="0" w:firstLine="709"/>
        <w:jc w:val="both"/>
      </w:pPr>
      <w:r w:rsidRPr="00B9005A">
        <w:rPr>
          <w:rFonts w:eastAsia="Arial Unicode MS"/>
        </w:rPr>
        <w:t>над 4000 военнослужещи и около 400 пътни превозни средства участваха в ликвидирането на последствията от наводненията на територията на община Карлово;</w:t>
      </w:r>
    </w:p>
    <w:p w14:paraId="663CF35D" w14:textId="77777777" w:rsidR="00CC09AC" w:rsidRPr="00B9005A" w:rsidRDefault="00CC09AC" w:rsidP="00BD39E0">
      <w:pPr>
        <w:pStyle w:val="ListParagraph"/>
        <w:numPr>
          <w:ilvl w:val="0"/>
          <w:numId w:val="48"/>
        </w:numPr>
        <w:shd w:val="clear" w:color="auto" w:fill="FFFFFF"/>
        <w:tabs>
          <w:tab w:val="left" w:pos="851"/>
        </w:tabs>
        <w:ind w:left="0" w:firstLine="709"/>
        <w:jc w:val="both"/>
        <w:rPr>
          <w:rFonts w:eastAsia="Arial Unicode MS"/>
        </w:rPr>
      </w:pPr>
      <w:r w:rsidRPr="00B9005A">
        <w:rPr>
          <w:rFonts w:eastAsia="Arial Unicode MS"/>
        </w:rPr>
        <w:t>участваха в гасенето на над 50 горски и полски пожара;</w:t>
      </w:r>
    </w:p>
    <w:p w14:paraId="4B51229B" w14:textId="77777777" w:rsidR="00CC09AC" w:rsidRPr="00B9005A" w:rsidRDefault="00CC09AC" w:rsidP="00BD39E0">
      <w:pPr>
        <w:pStyle w:val="ListParagraph"/>
        <w:numPr>
          <w:ilvl w:val="0"/>
          <w:numId w:val="48"/>
        </w:numPr>
        <w:shd w:val="clear" w:color="auto" w:fill="FFFFFF"/>
        <w:tabs>
          <w:tab w:val="left" w:pos="851"/>
        </w:tabs>
        <w:ind w:left="0" w:firstLine="709"/>
        <w:jc w:val="both"/>
        <w:rPr>
          <w:rFonts w:eastAsia="Arial Unicode MS"/>
        </w:rPr>
      </w:pPr>
      <w:r w:rsidRPr="00B9005A">
        <w:rPr>
          <w:rFonts w:eastAsia="Arial Unicode MS"/>
        </w:rPr>
        <w:t>вертолети от Военновъздушните сили изпълниха 39 специални задачи за потушаване на пожари, при което бяха използвани 1 500 тона вода;</w:t>
      </w:r>
    </w:p>
    <w:p w14:paraId="02A97CC3" w14:textId="77777777" w:rsidR="00CC09AC" w:rsidRPr="00B9005A" w:rsidRDefault="00CC09AC" w:rsidP="00BD39E0">
      <w:pPr>
        <w:pStyle w:val="ListParagraph"/>
        <w:numPr>
          <w:ilvl w:val="0"/>
          <w:numId w:val="48"/>
        </w:numPr>
        <w:shd w:val="clear" w:color="auto" w:fill="FFFFFF"/>
        <w:tabs>
          <w:tab w:val="left" w:pos="851"/>
        </w:tabs>
        <w:ind w:left="0" w:firstLine="709"/>
        <w:jc w:val="both"/>
        <w:rPr>
          <w:rFonts w:eastAsia="Arial Unicode MS"/>
        </w:rPr>
      </w:pPr>
      <w:r w:rsidRPr="00B9005A">
        <w:rPr>
          <w:rFonts w:eastAsia="Arial Unicode MS"/>
        </w:rPr>
        <w:t>за търсене, спасяване, медицинска евакуация и транспортиране на помощи са извършени 72 полета в страната и чужбина;</w:t>
      </w:r>
    </w:p>
    <w:p w14:paraId="3B240042" w14:textId="77777777" w:rsidR="00CC09AC" w:rsidRPr="00B9005A" w:rsidRDefault="00CC09AC" w:rsidP="00BD39E0">
      <w:pPr>
        <w:pStyle w:val="ListParagraph"/>
        <w:numPr>
          <w:ilvl w:val="0"/>
          <w:numId w:val="48"/>
        </w:numPr>
        <w:tabs>
          <w:tab w:val="left" w:pos="851"/>
        </w:tabs>
        <w:ind w:left="0" w:firstLine="709"/>
        <w:jc w:val="both"/>
      </w:pPr>
      <w:r w:rsidRPr="00B9005A">
        <w:t>на територията на страната бяха унищожени 194 невзривени бойни припаса от различен тип и калибър. Изпълнени са 75 мероприятия от 390 военнослужещи със 167 пътни превозни средства;</w:t>
      </w:r>
    </w:p>
    <w:p w14:paraId="6F2ABF64" w14:textId="77777777" w:rsidR="00CC09AC" w:rsidRPr="00B9005A" w:rsidRDefault="00CC09AC" w:rsidP="00BD39E0">
      <w:pPr>
        <w:pStyle w:val="ListParagraph"/>
        <w:numPr>
          <w:ilvl w:val="0"/>
          <w:numId w:val="48"/>
        </w:numPr>
        <w:shd w:val="clear" w:color="auto" w:fill="FFFFFF"/>
        <w:tabs>
          <w:tab w:val="left" w:pos="851"/>
        </w:tabs>
        <w:ind w:left="0" w:firstLine="709"/>
        <w:jc w:val="both"/>
        <w:rPr>
          <w:rFonts w:eastAsia="Arial Unicode MS"/>
        </w:rPr>
      </w:pPr>
      <w:r w:rsidRPr="00B9005A">
        <w:rPr>
          <w:rFonts w:eastAsia="Arial Unicode MS"/>
        </w:rPr>
        <w:t>Военноморските сили участваха в търсене и спасяване на хора на море с морски плавателни съдове. Извършени бяха полети с вертолет за обследване за наличие на дрейфащи мини. От началото на конфликта в Украйна са получени и проверени 33 сигнала за забелязани подозрителни обекти в морските пространства на страната, при което бяха унищожени 4 морски мини, две от които дрейфащи</w:t>
      </w:r>
      <w:r w:rsidRPr="004D5FFC">
        <w:rPr>
          <w:rFonts w:eastAsia="Arial Unicode MS"/>
          <w:lang w:val="ru-RU"/>
        </w:rPr>
        <w:t>.</w:t>
      </w:r>
    </w:p>
    <w:p w14:paraId="55FD40E2" w14:textId="77777777" w:rsidR="00CC09AC" w:rsidRPr="007B48E9" w:rsidRDefault="00CC09AC" w:rsidP="00CC09AC">
      <w:pPr>
        <w:spacing w:after="120"/>
        <w:ind w:firstLine="709"/>
        <w:jc w:val="both"/>
        <w:rPr>
          <w:color w:val="0070C0"/>
        </w:rPr>
      </w:pPr>
    </w:p>
    <w:p w14:paraId="6FAF0B1F" w14:textId="77777777" w:rsidR="00CC09AC" w:rsidRPr="00D05B1A" w:rsidRDefault="00CC09AC" w:rsidP="00CC09AC">
      <w:pPr>
        <w:ind w:firstLine="709"/>
        <w:rPr>
          <w:b/>
        </w:rPr>
      </w:pPr>
      <w:r w:rsidRPr="00D05B1A">
        <w:rPr>
          <w:b/>
        </w:rPr>
        <w:t xml:space="preserve">Група Б: </w:t>
      </w:r>
      <w:r w:rsidRPr="00D05B1A">
        <w:rPr>
          <w:b/>
          <w:i/>
        </w:rPr>
        <w:t>„Полиция, вътрешен ред и сигурност”</w:t>
      </w:r>
    </w:p>
    <w:p w14:paraId="294A891E" w14:textId="77777777" w:rsidR="00CC09AC" w:rsidRPr="007B48E9" w:rsidRDefault="00CC09AC" w:rsidP="00CC09AC">
      <w:pPr>
        <w:ind w:right="-108" w:firstLine="709"/>
        <w:rPr>
          <w:color w:val="0070C0"/>
          <w:sz w:val="12"/>
          <w:szCs w:val="12"/>
        </w:rPr>
      </w:pPr>
    </w:p>
    <w:p w14:paraId="2B7B0A42" w14:textId="77777777" w:rsidR="00CC09AC" w:rsidRPr="00D05B1A" w:rsidRDefault="00CC09AC" w:rsidP="009F7EA4">
      <w:pPr>
        <w:pStyle w:val="BodyText"/>
        <w:spacing w:after="0"/>
        <w:ind w:firstLine="709"/>
        <w:jc w:val="both"/>
      </w:pPr>
      <w:r w:rsidRPr="00D05B1A">
        <w:t>Отчетените разходи за група „Полиция, вътрешен ред и сигурност” по КФП са в размер на 2 </w:t>
      </w:r>
      <w:r w:rsidRPr="004D5FFC">
        <w:rPr>
          <w:lang w:val="ru-RU"/>
        </w:rPr>
        <w:t>842</w:t>
      </w:r>
      <w:r w:rsidRPr="00D05B1A">
        <w:t xml:space="preserve">,6 млн. лв. </w:t>
      </w:r>
    </w:p>
    <w:p w14:paraId="2A454EF5" w14:textId="77777777" w:rsidR="00CC09AC" w:rsidRPr="007B48E9" w:rsidRDefault="00CC09AC" w:rsidP="009F7EA4">
      <w:pPr>
        <w:ind w:firstLine="540"/>
        <w:jc w:val="both"/>
        <w:rPr>
          <w:color w:val="0070C0"/>
        </w:rPr>
      </w:pPr>
      <w:r w:rsidRPr="00D05B1A">
        <w:t>Със ЗДБРБ за 202</w:t>
      </w:r>
      <w:r w:rsidRPr="004D5FFC">
        <w:rPr>
          <w:lang w:val="ru-RU"/>
        </w:rPr>
        <w:t>2</w:t>
      </w:r>
      <w:r w:rsidRPr="00D05B1A">
        <w:t xml:space="preserve"> г. по бюджетите </w:t>
      </w:r>
      <w:r w:rsidRPr="00D05B1A">
        <w:rPr>
          <w:b/>
        </w:rPr>
        <w:t>на министерствата и ведомствата</w:t>
      </w:r>
      <w:r w:rsidRPr="00D05B1A">
        <w:t xml:space="preserve"> са утвърдени 2 </w:t>
      </w:r>
      <w:r w:rsidRPr="004D5FFC">
        <w:rPr>
          <w:lang w:val="ru-RU"/>
        </w:rPr>
        <w:t>315</w:t>
      </w:r>
      <w:r w:rsidRPr="00D05B1A">
        <w:t>,</w:t>
      </w:r>
      <w:r w:rsidRPr="004D5FFC">
        <w:rPr>
          <w:lang w:val="ru-RU"/>
        </w:rPr>
        <w:t>7</w:t>
      </w:r>
      <w:r w:rsidRPr="00D05B1A">
        <w:t xml:space="preserve"> млн. лв. По отчет разходите им са общо 2 693,6 млн. лв., в т.ч. на Министерството на вътрешните работи – 2 385,4 млн. лв., на  Държавна агенция „Национална сигурност” – 145,1 млн. лв., на Националната служба за охрана – 53,2 млн. лв., на Държавна агенция „Разузнаване“ – 35,8 млн. лв., на Държавна агенция „Технически операции“ – 72,8 млн. лв. и на Националното бюро за контрол на специалните разузнавателни средства –  1,3 млн. лв. </w:t>
      </w:r>
    </w:p>
    <w:p w14:paraId="3FF2E3B2" w14:textId="05271087" w:rsidR="00CC09AC" w:rsidRPr="00D05B1A" w:rsidRDefault="00CC09AC" w:rsidP="009F7EA4">
      <w:pPr>
        <w:pStyle w:val="BodyText"/>
        <w:spacing w:after="0"/>
        <w:ind w:firstLine="709"/>
        <w:jc w:val="both"/>
      </w:pPr>
      <w:r w:rsidRPr="00D05B1A">
        <w:t>В рамките на предоставените през годината средства е реализирано изпълнението на националните приоритети в областта на сигурността и вътрешния ред на страната, а именно – повишаване ефективността в процеса на противодействие на престъпността, защита на националната сигурност, опазване на обществения ред и борба с корупцията, охрана и контрол на държавната граница, осигуряване на държавен противопожарен контрол, пожарогасителна и аварийно-спасителна дейност, намаляване щетите за икономиката на страната от дейността на организираните престъпни групи и недопускане извършването на терористични действия.</w:t>
      </w:r>
    </w:p>
    <w:p w14:paraId="64160392" w14:textId="77777777" w:rsidR="00CC09AC" w:rsidRPr="007B48E9" w:rsidRDefault="00CC09AC" w:rsidP="009F7EA4">
      <w:pPr>
        <w:tabs>
          <w:tab w:val="left" w:pos="-180"/>
          <w:tab w:val="left" w:pos="0"/>
          <w:tab w:val="left" w:pos="567"/>
        </w:tabs>
        <w:ind w:right="23" w:firstLine="709"/>
        <w:jc w:val="both"/>
        <w:rPr>
          <w:color w:val="0070C0"/>
        </w:rPr>
      </w:pPr>
      <w:r w:rsidRPr="009A1B13">
        <w:rPr>
          <w:bCs/>
        </w:rPr>
        <w:t xml:space="preserve">Отчетените </w:t>
      </w:r>
      <w:r w:rsidRPr="009A1B13">
        <w:t xml:space="preserve">разходи по </w:t>
      </w:r>
      <w:r w:rsidRPr="009A1B13">
        <w:rPr>
          <w:b/>
        </w:rPr>
        <w:t>общинските бюджети за</w:t>
      </w:r>
      <w:r w:rsidRPr="009A1B13">
        <w:t xml:space="preserve"> група „Полиция, вътрешен ред и сигурност” за 2022 г. са в размер на 36,3 млн. лв. Извършените текущи разходи за тази група са в размер на 30,2 млн. лв., което е 78,1 % от разчетите към закона</w:t>
      </w:r>
      <w:r>
        <w:t xml:space="preserve"> и </w:t>
      </w:r>
      <w:r w:rsidRPr="004D5FFC">
        <w:rPr>
          <w:lang w:val="ru-RU"/>
        </w:rPr>
        <w:t>121,3</w:t>
      </w:r>
      <w:r>
        <w:t xml:space="preserve"> % спрямо </w:t>
      </w:r>
      <w:r w:rsidRPr="00DC7150">
        <w:t>отчетените за 20</w:t>
      </w:r>
      <w:r w:rsidRPr="00DC7150">
        <w:rPr>
          <w:lang w:val="ru-RU"/>
        </w:rPr>
        <w:t>2</w:t>
      </w:r>
      <w:r w:rsidRPr="004D5FFC">
        <w:rPr>
          <w:lang w:val="ru-RU"/>
        </w:rPr>
        <w:t>1</w:t>
      </w:r>
      <w:r w:rsidRPr="00DC7150">
        <w:t xml:space="preserve"> година. В </w:t>
      </w:r>
      <w:r w:rsidRPr="00DC7150">
        <w:rPr>
          <w:i/>
        </w:rPr>
        <w:t>делегираните от държавата дейности</w:t>
      </w:r>
      <w:r w:rsidRPr="00DC7150">
        <w:t xml:space="preserve"> отчетените текущи разходи са 20,5 млн. лв. или 92,3 % спрямо плана и 132,0 % спрямо отчета за 2021 г. Тук се отчитат разходите за издръжка на местните комисии за борба срещу противообществените прояви на малолетните и непълнолетните, на центровете за социална превенция и консултативни кабинети, на детските педагогически стаи и районните полицейски инспектори, разходите за персонал на секретарите на местните комисии за борба с трафика на хора и на обществените възпитатели.</w:t>
      </w:r>
    </w:p>
    <w:p w14:paraId="3B93E50F" w14:textId="6489FE54" w:rsidR="00CC09AC" w:rsidRPr="00DC7150" w:rsidRDefault="00CC09AC" w:rsidP="00CC09AC">
      <w:pPr>
        <w:ind w:firstLine="709"/>
        <w:jc w:val="both"/>
      </w:pPr>
      <w:r w:rsidRPr="00DC7150">
        <w:t>По отчетни данни за 20221 г. общините са дофинансирали държавните дейности със собствени приходи в размер на 0,</w:t>
      </w:r>
      <w:r w:rsidRPr="00DC7150">
        <w:rPr>
          <w:lang w:val="ru-RU"/>
        </w:rPr>
        <w:t>5</w:t>
      </w:r>
      <w:r w:rsidRPr="00DC7150">
        <w:t xml:space="preserve"> млн. лева. </w:t>
      </w:r>
    </w:p>
    <w:p w14:paraId="33C7554E" w14:textId="77777777" w:rsidR="00CC09AC" w:rsidRPr="00DC7150" w:rsidRDefault="00CC09AC" w:rsidP="00CC09AC">
      <w:pPr>
        <w:ind w:firstLine="709"/>
        <w:jc w:val="both"/>
      </w:pPr>
      <w:r w:rsidRPr="00DC7150">
        <w:t xml:space="preserve">В </w:t>
      </w:r>
      <w:r w:rsidRPr="00DC7150">
        <w:rPr>
          <w:i/>
        </w:rPr>
        <w:t>местните дейности</w:t>
      </w:r>
      <w:r w:rsidRPr="00DC7150">
        <w:t xml:space="preserve"> отчетените текущи разходи са в размер на </w:t>
      </w:r>
      <w:r w:rsidRPr="00DC7150">
        <w:rPr>
          <w:lang w:val="ru-RU"/>
        </w:rPr>
        <w:t>9,2</w:t>
      </w:r>
      <w:r w:rsidRPr="00DC7150">
        <w:t xml:space="preserve"> млн. лв. или </w:t>
      </w:r>
      <w:r w:rsidRPr="00DC7150">
        <w:rPr>
          <w:lang w:val="ru-RU"/>
        </w:rPr>
        <w:t xml:space="preserve">54,5 </w:t>
      </w:r>
      <w:r w:rsidRPr="00DC7150">
        <w:t>% от плана. Изпълнението е 103,1</w:t>
      </w:r>
      <w:r>
        <w:t xml:space="preserve"> </w:t>
      </w:r>
      <w:r w:rsidRPr="00DC7150">
        <w:t xml:space="preserve">% спрямо отчета за 2021 г. Тук се отчитат разходите за звената „Общинска полиция”. </w:t>
      </w:r>
    </w:p>
    <w:p w14:paraId="0120578C" w14:textId="77777777" w:rsidR="00CC09AC" w:rsidRPr="00DC7150" w:rsidRDefault="00CC09AC" w:rsidP="00CC09AC">
      <w:pPr>
        <w:tabs>
          <w:tab w:val="left" w:pos="-180"/>
          <w:tab w:val="left" w:pos="0"/>
        </w:tabs>
        <w:spacing w:after="120"/>
        <w:ind w:right="23" w:firstLine="709"/>
        <w:jc w:val="both"/>
      </w:pPr>
      <w:r w:rsidRPr="00586E88">
        <w:t xml:space="preserve">Отчетените капиталови разходи в тази група са в размер на </w:t>
      </w:r>
      <w:r w:rsidRPr="00586E88">
        <w:rPr>
          <w:lang w:val="ru-RU"/>
        </w:rPr>
        <w:t>6,1</w:t>
      </w:r>
      <w:r w:rsidRPr="00586E88">
        <w:t xml:space="preserve"> млн. лв., от които 4,</w:t>
      </w:r>
      <w:r w:rsidRPr="00586E88">
        <w:rPr>
          <w:lang w:val="ru-RU"/>
        </w:rPr>
        <w:t>5</w:t>
      </w:r>
      <w:r w:rsidRPr="00586E88">
        <w:t xml:space="preserve"> млн. лв. за държавни дейности и </w:t>
      </w:r>
      <w:r w:rsidRPr="00586E88">
        <w:rPr>
          <w:lang w:val="ru-RU"/>
        </w:rPr>
        <w:t>1,6</w:t>
      </w:r>
      <w:r w:rsidRPr="00586E88">
        <w:t xml:space="preserve"> млн. лв. за  местни дейности.</w:t>
      </w:r>
      <w:r w:rsidRPr="00DC7150">
        <w:t xml:space="preserve"> </w:t>
      </w:r>
    </w:p>
    <w:p w14:paraId="50CB50E7" w14:textId="77777777" w:rsidR="00CC09AC" w:rsidRPr="007B48E9" w:rsidRDefault="00CC09AC" w:rsidP="00CC09AC">
      <w:pPr>
        <w:pStyle w:val="BodyText"/>
        <w:spacing w:before="120"/>
        <w:ind w:firstLine="709"/>
        <w:jc w:val="both"/>
        <w:rPr>
          <w:color w:val="0070C0"/>
        </w:rPr>
      </w:pPr>
      <w:r w:rsidRPr="00A77D5B">
        <w:rPr>
          <w:b/>
        </w:rPr>
        <w:t xml:space="preserve">Европейски средства </w:t>
      </w:r>
      <w:r w:rsidRPr="00A77D5B">
        <w:t xml:space="preserve">- изразходваните средства в група „Полиция, вътрешен ред и сигурност” са в размер на 105,9 млн. лв. </w:t>
      </w:r>
      <w:r w:rsidRPr="00A77D5B">
        <w:rPr>
          <w:lang w:val="ru-RU"/>
        </w:rPr>
        <w:t>(</w:t>
      </w:r>
      <w:r w:rsidRPr="00A77D5B">
        <w:t>в т.ч. 69,3 млн. лв. капиталови разходи</w:t>
      </w:r>
      <w:r w:rsidRPr="00A77D5B">
        <w:rPr>
          <w:lang w:val="ru-RU"/>
        </w:rPr>
        <w:t>)</w:t>
      </w:r>
      <w:r>
        <w:rPr>
          <w:lang w:val="ru-RU"/>
        </w:rPr>
        <w:t xml:space="preserve">. </w:t>
      </w:r>
      <w:r w:rsidRPr="00A77D5B">
        <w:rPr>
          <w:lang w:val="ru-RU"/>
        </w:rPr>
        <w:t xml:space="preserve">От тези средства </w:t>
      </w:r>
      <w:r w:rsidRPr="001505B7">
        <w:rPr>
          <w:b/>
          <w:i/>
          <w:lang w:val="ru-RU"/>
        </w:rPr>
        <w:t>32,5 млн. лв. са по Плана за възстановяване и устойчивост на РБ</w:t>
      </w:r>
      <w:r>
        <w:rPr>
          <w:lang w:val="ru-RU"/>
        </w:rPr>
        <w:t xml:space="preserve">, </w:t>
      </w:r>
      <w:r w:rsidRPr="001505B7">
        <w:rPr>
          <w:b/>
          <w:i/>
          <w:lang w:val="ru-RU"/>
        </w:rPr>
        <w:t>60,7 млн. лв. са по др. програми и проекти, финансирани от фондове и институции на ЕС</w:t>
      </w:r>
      <w:r>
        <w:rPr>
          <w:lang w:val="ru-RU"/>
        </w:rPr>
        <w:t xml:space="preserve"> и </w:t>
      </w:r>
      <w:r w:rsidRPr="001505B7">
        <w:rPr>
          <w:b/>
          <w:i/>
          <w:lang w:val="ru-RU"/>
        </w:rPr>
        <w:t>10,9 млн. лв. са по</w:t>
      </w:r>
      <w:r w:rsidRPr="00A77D5B">
        <w:rPr>
          <w:lang w:val="ru-RU"/>
        </w:rPr>
        <w:t xml:space="preserve"> </w:t>
      </w:r>
      <w:r w:rsidRPr="001505B7">
        <w:rPr>
          <w:b/>
          <w:i/>
          <w:lang w:val="ru-RU"/>
        </w:rPr>
        <w:t>Оперативна програма „Околна среда“</w:t>
      </w:r>
      <w:r>
        <w:rPr>
          <w:lang w:val="ru-RU"/>
        </w:rPr>
        <w:t xml:space="preserve">.  </w:t>
      </w:r>
    </w:p>
    <w:p w14:paraId="22EB8CDB" w14:textId="77777777" w:rsidR="00CC09AC" w:rsidRPr="00921DFA" w:rsidRDefault="00CC09AC" w:rsidP="00CC09AC">
      <w:pPr>
        <w:spacing w:before="240"/>
        <w:ind w:firstLine="709"/>
        <w:rPr>
          <w:b/>
        </w:rPr>
      </w:pPr>
      <w:r w:rsidRPr="00921DFA">
        <w:rPr>
          <w:b/>
        </w:rPr>
        <w:t xml:space="preserve">Група В: </w:t>
      </w:r>
      <w:r w:rsidRPr="00921DFA">
        <w:rPr>
          <w:b/>
          <w:i/>
        </w:rPr>
        <w:t>„Съдебна власт”</w:t>
      </w:r>
    </w:p>
    <w:p w14:paraId="418771D2" w14:textId="77777777" w:rsidR="00CC09AC" w:rsidRPr="007B48E9" w:rsidRDefault="00CC09AC" w:rsidP="00CC09AC">
      <w:pPr>
        <w:ind w:firstLine="709"/>
        <w:jc w:val="both"/>
        <w:rPr>
          <w:color w:val="0070C0"/>
          <w:sz w:val="12"/>
          <w:szCs w:val="12"/>
        </w:rPr>
      </w:pPr>
    </w:p>
    <w:p w14:paraId="04264AFA" w14:textId="77777777" w:rsidR="00CC09AC" w:rsidRPr="007B48E9" w:rsidRDefault="00CC09AC" w:rsidP="009F7EA4">
      <w:pPr>
        <w:ind w:firstLine="709"/>
        <w:jc w:val="both"/>
        <w:rPr>
          <w:color w:val="0070C0"/>
          <w:lang w:val="ru-RU"/>
        </w:rPr>
      </w:pPr>
      <w:r w:rsidRPr="00921DFA">
        <w:t>Средствата в тази група са предназначени за осигуряване на дейността на органите на съдебната власт, както и за издръжка на Главна дирекция „Охрана”, Агенцията по вписванията, Националното бюро за правна помощ (второстепенни разпоредители с бюджет към министъра на правосъдието) и разходите по програма „Инвестиции на органите на съдебната власт”. Със ЗДБРБ за 2022 г. в тази група са предвидени разходи в размер на 1 090,7 млн. лв. (с резерва за непредвидени и неотложни разходи), от които 938,7 млн. лв. по бюджета на съдебната власт</w:t>
      </w:r>
      <w:r>
        <w:t>,</w:t>
      </w:r>
      <w:r w:rsidRPr="00921DFA">
        <w:t xml:space="preserve"> </w:t>
      </w:r>
      <w:r w:rsidRPr="0076232F">
        <w:t>94,0 млн. лв. по бюджета на МП и 31,6 млн. лв. по бюджета на МС</w:t>
      </w:r>
      <w:r w:rsidRPr="00921DFA">
        <w:rPr>
          <w:lang w:val="ru-RU"/>
        </w:rPr>
        <w:t xml:space="preserve">. </w:t>
      </w:r>
    </w:p>
    <w:p w14:paraId="4C170973" w14:textId="77777777" w:rsidR="00CC09AC" w:rsidRPr="007B48E9" w:rsidRDefault="00CC09AC" w:rsidP="009F7EA4">
      <w:pPr>
        <w:ind w:firstLine="709"/>
        <w:jc w:val="both"/>
        <w:rPr>
          <w:color w:val="0070C0"/>
        </w:rPr>
      </w:pPr>
      <w:r w:rsidRPr="00BD32AB">
        <w:t xml:space="preserve">Средствата </w:t>
      </w:r>
      <w:r w:rsidRPr="00BD32AB">
        <w:rPr>
          <w:b/>
        </w:rPr>
        <w:t>по бюджета на съдебната власт</w:t>
      </w:r>
      <w:r w:rsidRPr="00BD32AB">
        <w:t xml:space="preserve"> са предвидени за финансово осигуряване на основните политики, заложени в Актуализираната стратегия за продължаване на реформата в съдебната система. Финансирането на дейностите при изпълнението на бюджета са насочени за обезпечаване дейността на съдебната система, която да гарантира прилагането на законите, постигането на равен достъп до правосъдие и на европейски стандарти в областта на правната помощ, подобряване на управлението и организация на работата на съдебната власт, усъвършенстване на информационните технологии, развитие на информационна стратегия на правораздавателните органи</w:t>
      </w:r>
      <w:r w:rsidRPr="007B48E9">
        <w:rPr>
          <w:color w:val="0070C0"/>
        </w:rPr>
        <w:t>.</w:t>
      </w:r>
    </w:p>
    <w:p w14:paraId="2AD25632" w14:textId="77777777" w:rsidR="00CC09AC" w:rsidRPr="00086092" w:rsidRDefault="00CC09AC" w:rsidP="009F7EA4">
      <w:pPr>
        <w:ind w:firstLine="709"/>
        <w:jc w:val="both"/>
      </w:pPr>
      <w:r w:rsidRPr="00086092">
        <w:t>Общият размер на отчетените разходи по група „Съдебна власт” за 2022 г. е 1 083,1 млн. лв., от тях 949,5 млн. лв. по бюджета на съдебната власт и 125,7 млн. лв. по бюджета на МП.</w:t>
      </w:r>
    </w:p>
    <w:p w14:paraId="624198B3" w14:textId="77777777" w:rsidR="00CC09AC" w:rsidRPr="00DC725F" w:rsidRDefault="00CC09AC" w:rsidP="00CC09AC">
      <w:pPr>
        <w:spacing w:before="120"/>
        <w:ind w:firstLine="709"/>
        <w:rPr>
          <w:b/>
        </w:rPr>
      </w:pPr>
      <w:r w:rsidRPr="00DC725F">
        <w:rPr>
          <w:b/>
        </w:rPr>
        <w:t xml:space="preserve">Група Г: </w:t>
      </w:r>
      <w:r w:rsidRPr="00DC725F">
        <w:rPr>
          <w:b/>
          <w:i/>
        </w:rPr>
        <w:t>„Администрация на затворите”</w:t>
      </w:r>
    </w:p>
    <w:p w14:paraId="098BF162" w14:textId="77777777" w:rsidR="00CC09AC" w:rsidRPr="007B48E9" w:rsidRDefault="00CC09AC" w:rsidP="00CC09AC">
      <w:pPr>
        <w:ind w:firstLine="709"/>
        <w:rPr>
          <w:b/>
          <w:color w:val="0070C0"/>
          <w:sz w:val="12"/>
          <w:szCs w:val="12"/>
        </w:rPr>
      </w:pPr>
    </w:p>
    <w:p w14:paraId="58B7F4B9" w14:textId="77777777" w:rsidR="00CC09AC" w:rsidRPr="007B48E9" w:rsidRDefault="00CC09AC" w:rsidP="00CC09AC">
      <w:pPr>
        <w:pStyle w:val="BodyTextIndent"/>
        <w:spacing w:after="0"/>
        <w:ind w:left="0" w:right="-159" w:firstLine="709"/>
        <w:jc w:val="both"/>
        <w:rPr>
          <w:color w:val="0070C0"/>
          <w:lang w:val="bg-BG"/>
        </w:rPr>
      </w:pPr>
      <w:r w:rsidRPr="00DC725F">
        <w:rPr>
          <w:lang w:val="bg-BG"/>
        </w:rPr>
        <w:t xml:space="preserve">В тази група са включени разходите за финансово осигуряване на основните дейности и задачи, възложени със Закона за изпълнение на наказанията и задържането под стража на Главна дирекция </w:t>
      </w:r>
      <w:r w:rsidRPr="00DC725F">
        <w:rPr>
          <w:lang w:val="ru-RU" w:eastAsia="bg-BG"/>
        </w:rPr>
        <w:t>„</w:t>
      </w:r>
      <w:r w:rsidRPr="00DC725F">
        <w:rPr>
          <w:lang w:val="bg-BG"/>
        </w:rPr>
        <w:t>Изпълнение на наказанията” към МП, както и средства за развитие на пробационната дейност в изпълнение на Наказателния кодекс. Със ЗДБРБ за 2022 г. в тази група са предвидени разходи в размер на 245,4 млн. лв.</w:t>
      </w:r>
    </w:p>
    <w:p w14:paraId="243438EC" w14:textId="77777777" w:rsidR="00CC09AC" w:rsidRPr="0086748F" w:rsidRDefault="00CC09AC" w:rsidP="00CC09AC">
      <w:pPr>
        <w:pStyle w:val="BodyTextIndent"/>
        <w:spacing w:after="0"/>
        <w:ind w:left="0" w:right="-159" w:firstLine="709"/>
        <w:jc w:val="both"/>
        <w:rPr>
          <w:lang w:val="bg-BG" w:eastAsia="bg-BG"/>
        </w:rPr>
      </w:pPr>
      <w:r w:rsidRPr="0086748F">
        <w:rPr>
          <w:lang w:val="bg-BG"/>
        </w:rPr>
        <w:t>Общият размер на отчетените разходи на консолидирано ниво за група „Администрация на затворите” през 2022 г. е 265,3 млн. лв., в т.ч. за текущи разходи – 252,7 млн. лв. и за капиталови разходи – 12,6 млн. лв. По бюджета на МП в групата</w:t>
      </w:r>
      <w:r w:rsidRPr="0086748F">
        <w:rPr>
          <w:lang w:val="bg-BG" w:eastAsia="bg-BG"/>
        </w:rPr>
        <w:t xml:space="preserve"> са отчетените разходи в размер на 251,4 млн. лева.</w:t>
      </w:r>
    </w:p>
    <w:p w14:paraId="027875CD" w14:textId="77777777" w:rsidR="00CC09AC" w:rsidRPr="007B48E9" w:rsidRDefault="00CC09AC" w:rsidP="00CC09AC">
      <w:pPr>
        <w:pStyle w:val="BodyTextIndent"/>
        <w:tabs>
          <w:tab w:val="left" w:pos="993"/>
        </w:tabs>
        <w:spacing w:after="0"/>
        <w:ind w:left="0" w:right="-159" w:firstLine="709"/>
        <w:jc w:val="both"/>
        <w:rPr>
          <w:color w:val="0070C0"/>
          <w:lang w:val="bg-BG"/>
        </w:rPr>
      </w:pPr>
    </w:p>
    <w:p w14:paraId="624BF88F" w14:textId="77777777" w:rsidR="00CC09AC" w:rsidRPr="00096CE7" w:rsidRDefault="00CC09AC" w:rsidP="00CC09AC">
      <w:pPr>
        <w:ind w:firstLine="709"/>
        <w:rPr>
          <w:b/>
        </w:rPr>
      </w:pPr>
      <w:r w:rsidRPr="00096CE7">
        <w:rPr>
          <w:b/>
        </w:rPr>
        <w:t>Група Д: „Защита на населението, управление и дейности при стихийни бедствия и аварии”</w:t>
      </w:r>
    </w:p>
    <w:p w14:paraId="178B83E9" w14:textId="77777777" w:rsidR="00CC09AC" w:rsidRPr="007B48E9" w:rsidRDefault="00CC09AC" w:rsidP="00CC09AC">
      <w:pPr>
        <w:ind w:firstLine="709"/>
        <w:rPr>
          <w:b/>
          <w:color w:val="0070C0"/>
          <w:sz w:val="12"/>
          <w:szCs w:val="12"/>
        </w:rPr>
      </w:pPr>
    </w:p>
    <w:p w14:paraId="5E5032B9" w14:textId="77777777" w:rsidR="00CC09AC" w:rsidRPr="00096CE7" w:rsidRDefault="00CC09AC" w:rsidP="00CC09AC">
      <w:pPr>
        <w:ind w:firstLine="709"/>
        <w:jc w:val="both"/>
      </w:pPr>
      <w:r w:rsidRPr="00096CE7">
        <w:t>Разходите за защита на населението, управление и дейности при стихийни бедствия и аварии са предназначени за осигуряване на дейностите по отбранително-мобилизационната подготовка, в изпълнение на Закона за отбраната и въоръжените сили на Република България, за изпълнение на разпоредбите на Закона за защита при бедствия, касаещи  дейностите на държавните органи и общинската администрация по управлението при кризи, стихийни бедствия и аварии, в т.ч. за изпълнението на мерки по предотвратяване на последствията от тях.</w:t>
      </w:r>
    </w:p>
    <w:p w14:paraId="45B6BC12" w14:textId="77777777" w:rsidR="00CC09AC" w:rsidRPr="007B48E9" w:rsidRDefault="00CC09AC" w:rsidP="00CC09AC">
      <w:pPr>
        <w:tabs>
          <w:tab w:val="num" w:pos="426"/>
          <w:tab w:val="num" w:pos="962"/>
        </w:tabs>
        <w:ind w:firstLine="709"/>
        <w:jc w:val="both"/>
        <w:rPr>
          <w:color w:val="0070C0"/>
        </w:rPr>
      </w:pPr>
      <w:r w:rsidRPr="00096CE7">
        <w:t xml:space="preserve">В група „Защита на населението, управление и дейности при стихийни бедствия и </w:t>
      </w:r>
      <w:r w:rsidRPr="00B5033B">
        <w:t xml:space="preserve">аварии” и през 2022 г. най-голям дял заемат средствата за предотвратяване, овладяване и преодоляване на последици от бедствия. В групата през 2022 г. разчетените средства със ЗДБРБ за 2022 г. са в размер </w:t>
      </w:r>
      <w:r w:rsidRPr="007D0C03">
        <w:t>на 185,5 млн</w:t>
      </w:r>
      <w:r w:rsidRPr="00B5033B">
        <w:t xml:space="preserve">. лв. (в т. ч. средствата  от резерва за предотвратяване, овладяване и преодоляване на последиците от бедствия). </w:t>
      </w:r>
    </w:p>
    <w:p w14:paraId="0E59E8B7" w14:textId="77777777" w:rsidR="00CC09AC" w:rsidRPr="00E63BDD" w:rsidRDefault="00CC09AC" w:rsidP="00CC09AC">
      <w:pPr>
        <w:tabs>
          <w:tab w:val="num" w:pos="426"/>
          <w:tab w:val="num" w:pos="962"/>
        </w:tabs>
        <w:ind w:firstLine="709"/>
        <w:jc w:val="both"/>
        <w:rPr>
          <w:rFonts w:eastAsia="Calibri"/>
        </w:rPr>
      </w:pPr>
      <w:r w:rsidRPr="00E63BDD">
        <w:rPr>
          <w:rFonts w:eastAsia="Calibri"/>
        </w:rPr>
        <w:t xml:space="preserve">В хода на изпълнението на държавния бюджет, на основание чл. 109, ал. 3 и ал. 6  от Закона за публичните финанси и акт на Министерския съвет, по бюджетите на министерствата и ведомствата са осигурени допълнителни средства, като общо разходите по уточнен план за министерства и ведомства и самостоятелните бюджети са в размер на 21,6 млн. лв. </w:t>
      </w:r>
    </w:p>
    <w:p w14:paraId="2A4176B8" w14:textId="6823B2A3" w:rsidR="00CC09AC" w:rsidRPr="00E63BDD" w:rsidRDefault="00CC09AC" w:rsidP="00CC09AC">
      <w:pPr>
        <w:tabs>
          <w:tab w:val="num" w:pos="426"/>
          <w:tab w:val="num" w:pos="962"/>
        </w:tabs>
        <w:ind w:firstLine="709"/>
        <w:jc w:val="both"/>
      </w:pPr>
      <w:r w:rsidRPr="00E63BDD">
        <w:rPr>
          <w:rFonts w:eastAsia="Calibri"/>
        </w:rPr>
        <w:t>В рамките на предоставените през годината средства са реализирани и дейностите по осигуряването на готовността на централната администрация за работа във военно време. Предоставените средства по дейността са разходвани основно за поддържане в готовност за използване на системата за управление; поддържане на денонощно дежурство за оповестяване и преминаване от мирно във военно положение; поддържане на индивидуалните и колективни средства за защита; подготовка на ръководния състав за работа във военно време.</w:t>
      </w:r>
    </w:p>
    <w:p w14:paraId="2C743A33" w14:textId="0CD2BB39" w:rsidR="00CC09AC" w:rsidRDefault="00CC09AC" w:rsidP="00CC09AC">
      <w:pPr>
        <w:tabs>
          <w:tab w:val="num" w:pos="426"/>
          <w:tab w:val="num" w:pos="962"/>
        </w:tabs>
        <w:ind w:firstLine="709"/>
        <w:jc w:val="both"/>
        <w:rPr>
          <w:lang w:val="ru-RU"/>
        </w:rPr>
      </w:pPr>
      <w:r w:rsidRPr="00EB71EA">
        <w:rPr>
          <w:rFonts w:eastAsia="Calibri"/>
        </w:rPr>
        <w:t>Със Закона за държавния бюджет на Република България за 2022 г.</w:t>
      </w:r>
      <w:r w:rsidR="00EE5959">
        <w:rPr>
          <w:rFonts w:eastAsia="Calibri"/>
        </w:rPr>
        <w:t xml:space="preserve"> </w:t>
      </w:r>
      <w:r w:rsidRPr="00EB71EA">
        <w:rPr>
          <w:rFonts w:eastAsia="Calibri"/>
        </w:rPr>
        <w:t>( Oбн., ДВ, бр. 18 от 4.03.2022 г., в сила от 1.01.2022 г., изм. и доп., бр. 52 от 5.07.2022 г., в сила от 1.07.2022</w:t>
      </w:r>
      <w:r>
        <w:rPr>
          <w:rFonts w:eastAsia="Calibri"/>
        </w:rPr>
        <w:t> </w:t>
      </w:r>
      <w:r w:rsidRPr="00EB71EA">
        <w:rPr>
          <w:rFonts w:eastAsia="Calibri"/>
        </w:rPr>
        <w:t>г.) средствата по чл. 1, ал. 2, раздел II, т. 5.1. за предотвратяване, овладяване и преодоляване на последиците от бедствия са в размер на 80 млн. лева</w:t>
      </w:r>
      <w:r w:rsidRPr="00EB71EA">
        <w:rPr>
          <w:lang w:val="ru-RU"/>
        </w:rPr>
        <w:t xml:space="preserve">. </w:t>
      </w:r>
    </w:p>
    <w:p w14:paraId="01E989B4" w14:textId="77777777" w:rsidR="00CC09AC" w:rsidRPr="008711E4" w:rsidRDefault="00CC09AC" w:rsidP="00CC09AC">
      <w:pPr>
        <w:ind w:firstLine="720"/>
        <w:jc w:val="both"/>
        <w:rPr>
          <w:color w:val="000000"/>
        </w:rPr>
      </w:pPr>
      <w:r w:rsidRPr="008711E4">
        <w:rPr>
          <w:color w:val="000000"/>
        </w:rPr>
        <w:t>Възстановените към 3</w:t>
      </w:r>
      <w:r>
        <w:rPr>
          <w:color w:val="000000"/>
        </w:rPr>
        <w:t>1</w:t>
      </w:r>
      <w:r w:rsidRPr="008711E4">
        <w:rPr>
          <w:color w:val="000000"/>
        </w:rPr>
        <w:t>.</w:t>
      </w:r>
      <w:r>
        <w:rPr>
          <w:color w:val="000000"/>
        </w:rPr>
        <w:t>12</w:t>
      </w:r>
      <w:r w:rsidRPr="008711E4">
        <w:rPr>
          <w:color w:val="000000"/>
        </w:rPr>
        <w:t xml:space="preserve">.2022 г. средства от общините в изпълнени на чл. 29, ал.4 и ал.5 от ПМС №31 от 2022 г. за изпълнението на държавния бюджет на РБ за 2022 г. са в размер на </w:t>
      </w:r>
      <w:r>
        <w:rPr>
          <w:color w:val="000000"/>
        </w:rPr>
        <w:t>2,5</w:t>
      </w:r>
      <w:r w:rsidRPr="008711E4">
        <w:rPr>
          <w:color w:val="000000"/>
        </w:rPr>
        <w:t xml:space="preserve"> млн.</w:t>
      </w:r>
      <w:r w:rsidRPr="008711E4">
        <w:t xml:space="preserve"> лв.</w:t>
      </w:r>
      <w:r>
        <w:t xml:space="preserve">, а от министерствата в резерва са възстановени </w:t>
      </w:r>
      <w:r w:rsidRPr="004D5FFC">
        <w:rPr>
          <w:lang w:val="ru-RU"/>
        </w:rPr>
        <w:t>3</w:t>
      </w:r>
      <w:r>
        <w:t>,</w:t>
      </w:r>
      <w:r w:rsidRPr="004D5FFC">
        <w:rPr>
          <w:lang w:val="ru-RU"/>
        </w:rPr>
        <w:t>4</w:t>
      </w:r>
      <w:r>
        <w:t xml:space="preserve"> млн. лв.</w:t>
      </w:r>
    </w:p>
    <w:p w14:paraId="77546354" w14:textId="77777777" w:rsidR="00CC09AC" w:rsidRPr="00567A21" w:rsidRDefault="00CC09AC" w:rsidP="00CC09AC">
      <w:pPr>
        <w:jc w:val="both"/>
        <w:rPr>
          <w:bCs/>
        </w:rPr>
      </w:pPr>
      <w:r w:rsidRPr="00567A21">
        <w:tab/>
        <w:t>За сметка на резерва за предотвратяване, овладяване и преодоляване на последиците от бедствия с Постановления на Министерския съвет № 57 от 2022г.; ПМС № 154 от 05.07.2022 г.; ПМС № 188 от 22.07.2022 г. ; ПМС № 300 от 28.09.2022 г.; ПМС № 387 от 1.12.2022 г.; ПМС № 395 от 1.12.2022 г. и ПМС № 472 от 21.12.2022 г. за сметка на резерва за предотвратяване, овладяване и преодоляване на последиците са одобр</w:t>
      </w:r>
      <w:r>
        <w:t>ен</w:t>
      </w:r>
      <w:r w:rsidRPr="00567A21">
        <w:t>и допълнителни целеви разходи/трансфери в размер на 81,9 млн. лв., от тях 1,9 млн. лв. за сметка на възстановени средства по реда на чл.</w:t>
      </w:r>
      <w:r>
        <w:t xml:space="preserve"> </w:t>
      </w:r>
      <w:r w:rsidRPr="00567A21">
        <w:t>29 от ПМС №</w:t>
      </w:r>
      <w:r>
        <w:t xml:space="preserve"> </w:t>
      </w:r>
      <w:r w:rsidRPr="00567A21">
        <w:t>31 от 2022 г. за изпълнението на държавния бюджет на РБ за 2022 г. По бюджетите на министерствата са предоставени допълнително 17,6 млн. лв., а по бюджетите на общините - 64,3 млн. лв</w:t>
      </w:r>
      <w:r w:rsidRPr="00567A21">
        <w:rPr>
          <w:bCs/>
        </w:rPr>
        <w:t>.</w:t>
      </w:r>
    </w:p>
    <w:p w14:paraId="7B737C69" w14:textId="77777777" w:rsidR="00CC09AC" w:rsidRPr="002A70E4" w:rsidRDefault="00CC09AC" w:rsidP="00CC09AC">
      <w:pPr>
        <w:ind w:left="-15" w:firstLine="724"/>
        <w:jc w:val="both"/>
      </w:pPr>
      <w:r w:rsidRPr="002A70E4">
        <w:t>Финансирането на превантивни дейности е извършвано в рамките на определения лимит в чл. 29, ал.</w:t>
      </w:r>
      <w:r>
        <w:t xml:space="preserve"> </w:t>
      </w:r>
      <w:r w:rsidRPr="002A70E4">
        <w:t xml:space="preserve">1 на Постановление № 31 от 17 март 2022 г. за изпълнението на държавния бюджет на Република България за 2022 г. (30 на сто от бюджета) </w:t>
      </w:r>
    </w:p>
    <w:p w14:paraId="1878B278" w14:textId="23F873F4" w:rsidR="00CC09AC" w:rsidRPr="002A70E4" w:rsidRDefault="00CC09AC" w:rsidP="00CC09AC">
      <w:pPr>
        <w:ind w:left="-15" w:firstLine="724"/>
        <w:jc w:val="both"/>
      </w:pPr>
      <w:r w:rsidRPr="002A70E4">
        <w:t>По-значителните събития</w:t>
      </w:r>
      <w:r w:rsidR="00403F90">
        <w:t>,</w:t>
      </w:r>
      <w:r w:rsidRPr="002A70E4">
        <w:t xml:space="preserve"> във връзка с които е одобрено целево финансиране</w:t>
      </w:r>
      <w:r w:rsidR="00403F90">
        <w:t>,</w:t>
      </w:r>
      <w:r w:rsidRPr="002A70E4">
        <w:t xml:space="preserve"> са наводненията и проливните валежи през януари 2021 г. на територията на общ. Бургас; през м. декември 2021 г. на територията на областите Благоевград, Смолян и  Кърджали; през м. юни 2022 г. на територията на общ. Трявна, Девин, Вършец; през м. септември 2022 г. на територията на общини Карлово, Калояново, Марица и др. </w:t>
      </w:r>
      <w:r w:rsidR="0001353A">
        <w:t>о</w:t>
      </w:r>
      <w:r w:rsidRPr="002A70E4">
        <w:t>т обл. Пловдив</w:t>
      </w:r>
    </w:p>
    <w:p w14:paraId="696375D7" w14:textId="77777777" w:rsidR="00CC09AC" w:rsidRPr="002A70E4" w:rsidRDefault="00CC09AC" w:rsidP="00CC09AC">
      <w:pPr>
        <w:ind w:left="-15" w:firstLine="724"/>
        <w:jc w:val="both"/>
      </w:pPr>
      <w:r w:rsidRPr="002A70E4">
        <w:t>Одобрените суми са за разходи със следното предназначение:</w:t>
      </w:r>
    </w:p>
    <w:p w14:paraId="27ACA78D" w14:textId="77777777" w:rsidR="00CC09AC" w:rsidRPr="002A70E4" w:rsidRDefault="00CC09AC" w:rsidP="00CC09AC">
      <w:pPr>
        <w:ind w:left="-15" w:firstLine="724"/>
        <w:jc w:val="both"/>
      </w:pPr>
      <w:r w:rsidRPr="002A70E4">
        <w:t>За превантивни дейности – 22,1 млн. лв.</w:t>
      </w:r>
    </w:p>
    <w:p w14:paraId="25A49C06" w14:textId="77777777" w:rsidR="00CC09AC" w:rsidRPr="002A70E4" w:rsidRDefault="00CC09AC" w:rsidP="00CC09AC">
      <w:pPr>
        <w:ind w:left="-15" w:firstLine="724"/>
        <w:jc w:val="both"/>
      </w:pPr>
      <w:r w:rsidRPr="002A70E4">
        <w:t>За възстановяване на разходи, извършени за овладяване на бедствени положения, кризисни ситуации и др. – 11,7 млн. лв.</w:t>
      </w:r>
    </w:p>
    <w:p w14:paraId="370256D1" w14:textId="77777777" w:rsidR="00CC09AC" w:rsidRPr="002A70E4" w:rsidRDefault="00CC09AC" w:rsidP="00CC09AC">
      <w:pPr>
        <w:ind w:left="-15" w:firstLine="724"/>
        <w:jc w:val="both"/>
      </w:pPr>
      <w:r w:rsidRPr="002A70E4">
        <w:t>За неотложни възстановителни работи, вследствие на разрушения от вредно въздействие на водите, активизиране на свлачища, ерозия, срутване на земни маси, силни ветрове и пожари – 47, 7 млн. лв.</w:t>
      </w:r>
    </w:p>
    <w:p w14:paraId="6FC95216" w14:textId="77777777" w:rsidR="00CC09AC" w:rsidRPr="002A70E4" w:rsidRDefault="00CC09AC" w:rsidP="00CC09AC">
      <w:pPr>
        <w:ind w:left="-15" w:firstLine="724"/>
        <w:jc w:val="both"/>
      </w:pPr>
      <w:r w:rsidRPr="002A70E4">
        <w:t>За възстановителна помощ на граждани, пострадали от пожари в общините Панагюрище, Хисаря, Благоевград и Столична община – 0,5 млн. лв.</w:t>
      </w:r>
    </w:p>
    <w:p w14:paraId="195EFEBF" w14:textId="77777777" w:rsidR="00CC09AC" w:rsidRPr="002A70E4" w:rsidRDefault="00CC09AC" w:rsidP="00CC09AC">
      <w:pPr>
        <w:ind w:left="-15" w:firstLine="724"/>
        <w:jc w:val="both"/>
      </w:pPr>
      <w:r w:rsidRPr="002A70E4">
        <w:t>За преодоляване, овладяване и предотвратяване на последиците от наводнения са предоставени 70,5 млн. лв., което е 73</w:t>
      </w:r>
      <w:r>
        <w:t xml:space="preserve"> </w:t>
      </w:r>
      <w:r w:rsidRPr="002A70E4">
        <w:t>% от всички одобрени средства. За свлачища са отпуснати 8,1 млн. лв. (8</w:t>
      </w:r>
      <w:r>
        <w:t xml:space="preserve"> </w:t>
      </w:r>
      <w:r w:rsidRPr="002A70E4">
        <w:t>%), а за възстановяване на обекти в аварийно състояние 7,4 млн. лв. (8</w:t>
      </w:r>
      <w:r>
        <w:t xml:space="preserve"> </w:t>
      </w:r>
      <w:r w:rsidRPr="002A70E4">
        <w:t>%). За бури, градушки, щорм са одобрени 4,7 млн. лв. или 5</w:t>
      </w:r>
      <w:r>
        <w:t xml:space="preserve"> </w:t>
      </w:r>
      <w:r w:rsidRPr="002A70E4">
        <w:t>% от средства</w:t>
      </w:r>
      <w:r>
        <w:t>та</w:t>
      </w:r>
      <w:r w:rsidRPr="002A70E4">
        <w:t xml:space="preserve">. </w:t>
      </w:r>
    </w:p>
    <w:p w14:paraId="6C5F9676" w14:textId="59A945D8" w:rsidR="00CC09AC" w:rsidRPr="002A70E4" w:rsidRDefault="00CC09AC" w:rsidP="00CC09AC">
      <w:pPr>
        <w:ind w:left="-15" w:firstLine="724"/>
        <w:jc w:val="both"/>
      </w:pPr>
      <w:r w:rsidRPr="002A70E4">
        <w:t>Според вида на обектите най-голям дял заемат одобрените разходи за възстановяване на хидротехнически, хидромелиоративни съоръжения, системи за водоснабдяване и канализация и за осигуряване на безопасна проводимост на речни легла – 44,4 млн. лв. (46%).  За обекти от транспортната инфраструктура са одобрени 25,5 млн. лв. или 26</w:t>
      </w:r>
      <w:r w:rsidR="00B050A7">
        <w:t xml:space="preserve"> </w:t>
      </w:r>
      <w:r w:rsidRPr="002A70E4">
        <w:t xml:space="preserve">%, а за  геозащита – 11,6 млн. лв. или 12%. </w:t>
      </w:r>
    </w:p>
    <w:p w14:paraId="2A1C2C19" w14:textId="54E61887" w:rsidR="00CC09AC" w:rsidRPr="00C73F47" w:rsidRDefault="00CC09AC" w:rsidP="00CC09AC">
      <w:pPr>
        <w:tabs>
          <w:tab w:val="num" w:pos="426"/>
          <w:tab w:val="num" w:pos="962"/>
        </w:tabs>
        <w:spacing w:before="120"/>
        <w:ind w:firstLine="709"/>
        <w:jc w:val="both"/>
      </w:pPr>
      <w:r w:rsidRPr="00E063D9">
        <w:t xml:space="preserve">През 2022 г. в група „Защита на населението, управление и дейности при стихийни бедствия и аварии” на консолидирано ниво са отчетени разходи в размер на </w:t>
      </w:r>
      <w:r w:rsidRPr="001F6A9C">
        <w:t>155,8</w:t>
      </w:r>
      <w:r w:rsidRPr="00E063D9">
        <w:t xml:space="preserve"> млн. лв.</w:t>
      </w:r>
      <w:r w:rsidR="00454233">
        <w:t xml:space="preserve"> </w:t>
      </w:r>
      <w:r w:rsidR="00454233" w:rsidRPr="006A59B7">
        <w:t>(в т. ч. прекласифицирани средства</w:t>
      </w:r>
      <w:r w:rsidR="00454233">
        <w:t xml:space="preserve"> </w:t>
      </w:r>
      <w:r w:rsidR="00454233" w:rsidRPr="006A59B7">
        <w:t>от резерва за предотвратяване и ликвидиране на последиците от бедствия и аварии</w:t>
      </w:r>
      <w:r w:rsidR="00454233">
        <w:t xml:space="preserve">, в размер на 1,9 млн. лв., от функция </w:t>
      </w:r>
      <w:r w:rsidR="00454233">
        <w:rPr>
          <w:lang w:val="en-US"/>
        </w:rPr>
        <w:t>IV</w:t>
      </w:r>
      <w:r w:rsidR="00454233">
        <w:t> </w:t>
      </w:r>
      <w:r w:rsidR="00454233" w:rsidRPr="006A59B7">
        <w:t>„</w:t>
      </w:r>
      <w:r w:rsidR="00454233">
        <w:t>Здравеопазване</w:t>
      </w:r>
      <w:r w:rsidR="00454233" w:rsidRPr="006A59B7">
        <w:t>“)</w:t>
      </w:r>
      <w:r w:rsidRPr="00E063D9">
        <w:t>, от които разходите за предотвратяване</w:t>
      </w:r>
      <w:r w:rsidRPr="00B205E7">
        <w:t xml:space="preserve"> и ликвидиране на последиците от бедствия и аварии са </w:t>
      </w:r>
      <w:r w:rsidRPr="0060149A">
        <w:rPr>
          <w:lang w:val="ru-RU"/>
        </w:rPr>
        <w:t>35,3</w:t>
      </w:r>
      <w:r w:rsidRPr="001F6A9C">
        <w:t xml:space="preserve"> </w:t>
      </w:r>
      <w:r w:rsidRPr="00B205E7">
        <w:t xml:space="preserve">млн. лв. </w:t>
      </w:r>
      <w:r w:rsidRPr="00C73F47">
        <w:t xml:space="preserve">От предоставените средства за предотвратяване и ликвидиране на последиците от бедствия и аварии, </w:t>
      </w:r>
      <w:r w:rsidRPr="0060149A">
        <w:rPr>
          <w:lang w:val="ru-RU"/>
        </w:rPr>
        <w:t>13,9</w:t>
      </w:r>
      <w:r w:rsidRPr="00F633CF">
        <w:t xml:space="preserve"> </w:t>
      </w:r>
      <w:r w:rsidRPr="00C73F47">
        <w:t xml:space="preserve">млн. лв. са отчетени по бюджетите на министерствата и ведомствата. </w:t>
      </w:r>
    </w:p>
    <w:p w14:paraId="15D47F0B" w14:textId="77777777" w:rsidR="00CC09AC" w:rsidRPr="00766ACB" w:rsidRDefault="00CC09AC" w:rsidP="00CC09AC">
      <w:pPr>
        <w:pStyle w:val="BodyText"/>
        <w:widowControl w:val="0"/>
        <w:spacing w:before="120" w:after="0"/>
        <w:ind w:firstLine="709"/>
        <w:jc w:val="both"/>
      </w:pPr>
      <w:r w:rsidRPr="00766ACB">
        <w:t xml:space="preserve">Отчетените разходи по </w:t>
      </w:r>
      <w:r w:rsidRPr="00766ACB">
        <w:rPr>
          <w:b/>
        </w:rPr>
        <w:t>общинските бюджети</w:t>
      </w:r>
      <w:r w:rsidRPr="00766ACB">
        <w:t xml:space="preserve"> за група „Защита на населението, управление и дейности при стихийни бедствия и аварии”  са в размер на </w:t>
      </w:r>
      <w:r w:rsidRPr="00E5609B">
        <w:rPr>
          <w:lang w:val="ru-RU"/>
        </w:rPr>
        <w:t>118,3</w:t>
      </w:r>
      <w:r w:rsidRPr="00270C5A">
        <w:t xml:space="preserve"> </w:t>
      </w:r>
      <w:r w:rsidRPr="00766ACB">
        <w:t xml:space="preserve">млн. лв. </w:t>
      </w:r>
    </w:p>
    <w:p w14:paraId="141A992C" w14:textId="77777777" w:rsidR="00CC09AC" w:rsidRPr="00766ACB" w:rsidRDefault="00CC09AC" w:rsidP="00CC09AC">
      <w:pPr>
        <w:pStyle w:val="BodyText"/>
        <w:widowControl w:val="0"/>
        <w:spacing w:after="0"/>
        <w:ind w:firstLine="709"/>
        <w:jc w:val="both"/>
      </w:pPr>
      <w:r w:rsidRPr="00766ACB">
        <w:t xml:space="preserve">В група „Защита на населението, управление и дейности при стихийни бедствия и аварии” в </w:t>
      </w:r>
      <w:r w:rsidRPr="00766ACB">
        <w:rPr>
          <w:i/>
        </w:rPr>
        <w:t>делегираните от държавата дейности</w:t>
      </w:r>
      <w:r w:rsidRPr="00766ACB">
        <w:t xml:space="preserve"> отчетените текущи разходи </w:t>
      </w:r>
      <w:r w:rsidRPr="003829E5">
        <w:t>(вкл. средствата от резерва за предотвратяване, овладяване и преодоляване на последиците от бедствия)</w:t>
      </w:r>
      <w:r w:rsidRPr="00766ACB">
        <w:t xml:space="preserve"> за 202</w:t>
      </w:r>
      <w:r w:rsidRPr="004D5FFC">
        <w:rPr>
          <w:lang w:val="ru-RU"/>
        </w:rPr>
        <w:t>2</w:t>
      </w:r>
      <w:r w:rsidRPr="00766ACB">
        <w:t xml:space="preserve"> г. са в размер на </w:t>
      </w:r>
      <w:r w:rsidRPr="004D5FFC">
        <w:rPr>
          <w:lang w:val="ru-RU"/>
        </w:rPr>
        <w:t>49</w:t>
      </w:r>
      <w:r w:rsidRPr="00766ACB">
        <w:t>,0 млн. лв. или 137,5 % спрямо плана и 129,5 % спрямо отчета за 202</w:t>
      </w:r>
      <w:r>
        <w:t>1</w:t>
      </w:r>
      <w:r w:rsidRPr="00766ACB">
        <w:t xml:space="preserve"> г. Тук се отчитат разходите за отбранително-мобилизационни дейности, за доброволни формирования, както и тези за превантивна дейност и за ликвидиране на последиците от стихийни бедствия и аварии. </w:t>
      </w:r>
    </w:p>
    <w:p w14:paraId="5B72EE19" w14:textId="77777777" w:rsidR="00CC09AC" w:rsidRPr="00A81155" w:rsidRDefault="00CC09AC" w:rsidP="00CC09AC">
      <w:pPr>
        <w:widowControl w:val="0"/>
        <w:ind w:firstLine="539"/>
        <w:jc w:val="both"/>
      </w:pPr>
      <w:r w:rsidRPr="00A81155">
        <w:t>По отчетни данни за 2022 г. общините са до финансирали държавните дейности със собствени приходи в размер на 2,9 млн. лева.</w:t>
      </w:r>
    </w:p>
    <w:p w14:paraId="63250900" w14:textId="7861021F" w:rsidR="00CC09AC" w:rsidRPr="00A81155" w:rsidRDefault="00CC09AC" w:rsidP="00CC09AC">
      <w:pPr>
        <w:widowControl w:val="0"/>
        <w:ind w:firstLine="539"/>
        <w:jc w:val="both"/>
      </w:pPr>
      <w:r w:rsidRPr="00A81155">
        <w:t>В частта за местните дейности за текущи разходи са отчетени средства в размер на 12,6</w:t>
      </w:r>
      <w:r>
        <w:t> </w:t>
      </w:r>
      <w:r w:rsidRPr="00A81155">
        <w:t>млн. лв. при 8,2 млн. лв.</w:t>
      </w:r>
      <w:r w:rsidR="00AF6BBB">
        <w:t>,</w:t>
      </w:r>
      <w:r w:rsidRPr="00A81155">
        <w:t xml:space="preserve"> разчетени по закон. Тук се отчитат разходите за осигуряване дейностите по плана за защита при бедствия и за неотложни и непредвидени разходи, свързани със защитата на населението при ликвидиране на последици от стихийни бедствия и производствени аварии.</w:t>
      </w:r>
    </w:p>
    <w:p w14:paraId="1ED72FA0" w14:textId="77777777" w:rsidR="00CC09AC" w:rsidRPr="00766ACB" w:rsidRDefault="00CC09AC" w:rsidP="00CC09AC">
      <w:pPr>
        <w:pStyle w:val="BodyText"/>
        <w:widowControl w:val="0"/>
        <w:ind w:firstLine="709"/>
        <w:jc w:val="both"/>
      </w:pPr>
      <w:r w:rsidRPr="00766ACB">
        <w:t xml:space="preserve">Отчетените капиталови разходи по общинските бюджети за тази група са в размер на </w:t>
      </w:r>
      <w:r w:rsidRPr="007C715C">
        <w:t>53,4 млн</w:t>
      </w:r>
      <w:r w:rsidRPr="00766ACB">
        <w:t xml:space="preserve">. лв. </w:t>
      </w:r>
      <w:r w:rsidRPr="004D5FFC">
        <w:rPr>
          <w:lang w:val="ru-RU"/>
        </w:rPr>
        <w:t>(</w:t>
      </w:r>
      <w:r>
        <w:t xml:space="preserve">в т. ч. 14,7 млн. лв. са </w:t>
      </w:r>
      <w:r w:rsidRPr="00766ACB">
        <w:t>изразходвани за предотвратяване и за ликвидиране на последиците от бедствия и аварии</w:t>
      </w:r>
      <w:r w:rsidRPr="004D5FFC">
        <w:rPr>
          <w:lang w:val="ru-RU"/>
        </w:rPr>
        <w:t>)</w:t>
      </w:r>
      <w:r w:rsidRPr="00766ACB">
        <w:t>.</w:t>
      </w:r>
    </w:p>
    <w:p w14:paraId="404AD2CF" w14:textId="28C26D28" w:rsidR="00CC09AC" w:rsidRPr="001C3F53" w:rsidRDefault="00CC09AC" w:rsidP="00CC09AC">
      <w:pPr>
        <w:pStyle w:val="BodyText"/>
        <w:spacing w:after="240"/>
        <w:ind w:firstLine="709"/>
        <w:jc w:val="both"/>
        <w:rPr>
          <w:b/>
          <w:i/>
        </w:rPr>
      </w:pPr>
      <w:r w:rsidRPr="001C3F53">
        <w:rPr>
          <w:b/>
        </w:rPr>
        <w:t xml:space="preserve">Европейски средства </w:t>
      </w:r>
      <w:r w:rsidRPr="001C3F53">
        <w:t xml:space="preserve">- разходите в група „Защита на населението, управление и дейности при стихийни бедствия и аварии” са в </w:t>
      </w:r>
      <w:r w:rsidRPr="00C63F5A">
        <w:t>размер на 8,3 млн</w:t>
      </w:r>
      <w:r w:rsidRPr="001C3F53">
        <w:t xml:space="preserve">. лв., от които 4,2 млн лв. са по Програма </w:t>
      </w:r>
      <w:r>
        <w:t>„</w:t>
      </w:r>
      <w:r w:rsidR="00AF6BBB">
        <w:t>О</w:t>
      </w:r>
      <w:r w:rsidRPr="001C3F53">
        <w:t>колна среда</w:t>
      </w:r>
      <w:r>
        <w:t>“</w:t>
      </w:r>
      <w:r w:rsidRPr="001C3F53">
        <w:t xml:space="preserve"> 2021- 2027</w:t>
      </w:r>
      <w:r>
        <w:t xml:space="preserve"> г.</w:t>
      </w:r>
      <w:r w:rsidRPr="001C3F53">
        <w:t xml:space="preserve"> и 2,7 млн.  лв. са разходи на общините по </w:t>
      </w:r>
      <w:r w:rsidRPr="001C3F53">
        <w:rPr>
          <w:b/>
          <w:i/>
        </w:rPr>
        <w:t>др. програми и проекти, финансирани от фондове и институции на ЕС.</w:t>
      </w:r>
    </w:p>
    <w:p w14:paraId="11862632" w14:textId="77777777" w:rsidR="00CC09AC" w:rsidRPr="002C3DFF" w:rsidRDefault="00CC09AC" w:rsidP="00CC09AC">
      <w:pPr>
        <w:pStyle w:val="Heading3"/>
        <w:numPr>
          <w:ilvl w:val="2"/>
          <w:numId w:val="8"/>
        </w:numPr>
        <w:rPr>
          <w:rFonts w:ascii="Times New Roman" w:hAnsi="Times New Roman"/>
          <w:sz w:val="24"/>
          <w:lang w:val="bg-BG"/>
        </w:rPr>
      </w:pPr>
      <w:bookmarkStart w:id="314" w:name="_Toc326315916"/>
      <w:bookmarkStart w:id="315" w:name="_Toc324863424"/>
      <w:bookmarkStart w:id="316" w:name="_Toc261276588"/>
      <w:bookmarkStart w:id="317" w:name="_Toc483234288"/>
      <w:bookmarkStart w:id="318" w:name="_Toc494102642"/>
      <w:bookmarkStart w:id="319" w:name="_Toc525125600"/>
      <w:bookmarkStart w:id="320" w:name="_Toc18316956"/>
      <w:bookmarkStart w:id="321" w:name="_Toc136361871"/>
      <w:bookmarkStart w:id="322" w:name="_Toc146037911"/>
      <w:r w:rsidRPr="002C3DFF">
        <w:rPr>
          <w:rFonts w:ascii="Times New Roman" w:hAnsi="Times New Roman"/>
          <w:sz w:val="24"/>
          <w:lang w:val="bg-BG"/>
        </w:rPr>
        <w:t>Образование</w:t>
      </w:r>
      <w:bookmarkEnd w:id="314"/>
      <w:bookmarkEnd w:id="315"/>
      <w:bookmarkEnd w:id="316"/>
      <w:bookmarkEnd w:id="317"/>
      <w:bookmarkEnd w:id="318"/>
      <w:bookmarkEnd w:id="319"/>
      <w:bookmarkEnd w:id="320"/>
      <w:bookmarkEnd w:id="321"/>
      <w:bookmarkEnd w:id="322"/>
    </w:p>
    <w:p w14:paraId="6273FB38" w14:textId="77777777" w:rsidR="00CC09AC" w:rsidRPr="0059162A" w:rsidRDefault="00CC09AC" w:rsidP="00CC09AC">
      <w:pPr>
        <w:pStyle w:val="BodyText2"/>
        <w:spacing w:before="120" w:line="240" w:lineRule="auto"/>
        <w:ind w:right="74" w:firstLine="709"/>
        <w:jc w:val="both"/>
      </w:pPr>
      <w:r w:rsidRPr="0059162A">
        <w:t xml:space="preserve">Първостепенните разпоредители с бюджет, на които е възложено изпълнението на политики в областта на образованието, са Министерството на образованието и науката, Министерството на културата, Министерството на младежта и спорта, Министерството на отбраната, Министерството на вътрешните работи, Министерство на труда и социалната политика, Министерство на финансите, Министерския съвет и </w:t>
      </w:r>
      <w:r w:rsidRPr="0059162A">
        <w:rPr>
          <w:rFonts w:cs="TimesNewRomanPSMT"/>
        </w:rPr>
        <w:t>общините</w:t>
      </w:r>
      <w:r w:rsidRPr="0059162A">
        <w:t>.</w:t>
      </w:r>
    </w:p>
    <w:p w14:paraId="16796FE2" w14:textId="77777777" w:rsidR="00CC09AC" w:rsidRPr="00361F46" w:rsidRDefault="00CC09AC" w:rsidP="00CC09AC">
      <w:pPr>
        <w:pStyle w:val="BodyText2"/>
        <w:spacing w:before="120" w:line="240" w:lineRule="auto"/>
        <w:ind w:right="74" w:firstLine="709"/>
        <w:jc w:val="both"/>
      </w:pPr>
      <w:r w:rsidRPr="00361F46">
        <w:t>Общата сума на изразходваните средства по функция „Образование” за 202</w:t>
      </w:r>
      <w:r w:rsidRPr="004D5FFC">
        <w:rPr>
          <w:lang w:val="ru-RU"/>
        </w:rPr>
        <w:t>2</w:t>
      </w:r>
      <w:r w:rsidRPr="00361F46">
        <w:t xml:space="preserve"> г. е </w:t>
      </w:r>
      <w:r w:rsidRPr="004D5FFC">
        <w:rPr>
          <w:lang w:val="ru-RU"/>
        </w:rPr>
        <w:t>6</w:t>
      </w:r>
      <w:r w:rsidRPr="00361F46">
        <w:rPr>
          <w:lang w:val="en-US"/>
        </w:rPr>
        <w:t> </w:t>
      </w:r>
      <w:r w:rsidRPr="004D5FFC">
        <w:rPr>
          <w:lang w:val="ru-RU"/>
        </w:rPr>
        <w:t>373</w:t>
      </w:r>
      <w:r w:rsidRPr="00361F46">
        <w:t xml:space="preserve">,4 млн. лв., което представлява 3,9 % от БВП. </w:t>
      </w:r>
    </w:p>
    <w:p w14:paraId="4BC5F117" w14:textId="77777777" w:rsidR="00CC09AC" w:rsidRPr="007B48E9" w:rsidRDefault="00CC09AC" w:rsidP="00CC09AC">
      <w:pPr>
        <w:pStyle w:val="BodyText2"/>
        <w:spacing w:before="120" w:line="240" w:lineRule="auto"/>
        <w:ind w:right="74" w:firstLine="709"/>
        <w:jc w:val="both"/>
        <w:rPr>
          <w:color w:val="0070C0"/>
          <w:sz w:val="4"/>
        </w:rPr>
      </w:pPr>
    </w:p>
    <w:p w14:paraId="03BEDDD8" w14:textId="77777777" w:rsidR="00CC09AC" w:rsidRPr="002C3DFF" w:rsidRDefault="00CC09AC" w:rsidP="00CC09AC">
      <w:pPr>
        <w:pStyle w:val="BodyText2"/>
        <w:spacing w:before="120" w:line="240" w:lineRule="auto"/>
        <w:ind w:right="74" w:firstLine="7740"/>
        <w:jc w:val="both"/>
        <w:rPr>
          <w:b/>
          <w:sz w:val="18"/>
          <w:szCs w:val="18"/>
        </w:rPr>
      </w:pPr>
      <w:r w:rsidRPr="002C3DFF">
        <w:rPr>
          <w:b/>
          <w:sz w:val="18"/>
          <w:szCs w:val="18"/>
        </w:rPr>
        <w:t>(млн. лв.)</w:t>
      </w:r>
    </w:p>
    <w:tbl>
      <w:tblPr>
        <w:tblW w:w="8693" w:type="dxa"/>
        <w:tblInd w:w="212" w:type="dxa"/>
        <w:tblLayout w:type="fixed"/>
        <w:tblCellMar>
          <w:left w:w="70" w:type="dxa"/>
          <w:right w:w="70" w:type="dxa"/>
        </w:tblCellMar>
        <w:tblLook w:val="04A0" w:firstRow="1" w:lastRow="0" w:firstColumn="1" w:lastColumn="0" w:noHBand="0" w:noVBand="1"/>
      </w:tblPr>
      <w:tblGrid>
        <w:gridCol w:w="3402"/>
        <w:gridCol w:w="851"/>
        <w:gridCol w:w="783"/>
        <w:gridCol w:w="825"/>
        <w:gridCol w:w="993"/>
        <w:gridCol w:w="850"/>
        <w:gridCol w:w="989"/>
      </w:tblGrid>
      <w:tr w:rsidR="00CC09AC" w:rsidRPr="007B48E9" w14:paraId="34B892FA" w14:textId="77777777" w:rsidTr="00CD302D">
        <w:trPr>
          <w:trHeight w:val="480"/>
        </w:trPr>
        <w:tc>
          <w:tcPr>
            <w:tcW w:w="3402"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4C515CD1" w14:textId="77777777" w:rsidR="00CC09AC" w:rsidRPr="002C3DFF" w:rsidRDefault="00CC09AC" w:rsidP="003B085A">
            <w:pPr>
              <w:jc w:val="center"/>
              <w:rPr>
                <w:b/>
                <w:bCs/>
                <w:color w:val="FFFFFF" w:themeColor="background1"/>
                <w:sz w:val="20"/>
                <w:szCs w:val="20"/>
              </w:rPr>
            </w:pPr>
            <w:r w:rsidRPr="002C3DFF">
              <w:rPr>
                <w:b/>
                <w:bCs/>
                <w:color w:val="FFFFFF" w:themeColor="background1"/>
                <w:sz w:val="18"/>
                <w:szCs w:val="18"/>
              </w:rPr>
              <w:t>ОТЧЕТ 202</w:t>
            </w:r>
            <w:r>
              <w:rPr>
                <w:b/>
                <w:bCs/>
                <w:color w:val="FFFFFF" w:themeColor="background1"/>
                <w:sz w:val="18"/>
                <w:szCs w:val="18"/>
                <w:lang w:val="en-US"/>
              </w:rPr>
              <w:t>2</w:t>
            </w:r>
            <w:r w:rsidRPr="002C3DFF">
              <w:rPr>
                <w:b/>
                <w:bCs/>
                <w:color w:val="FFFFFF" w:themeColor="background1"/>
                <w:sz w:val="18"/>
                <w:szCs w:val="18"/>
              </w:rPr>
              <w:t xml:space="preserve"> г.</w:t>
            </w:r>
          </w:p>
        </w:tc>
        <w:tc>
          <w:tcPr>
            <w:tcW w:w="851" w:type="dxa"/>
            <w:tcBorders>
              <w:top w:val="double" w:sz="6" w:space="0" w:color="800000"/>
              <w:left w:val="nil"/>
              <w:bottom w:val="double" w:sz="6" w:space="0" w:color="800000"/>
              <w:right w:val="single" w:sz="4" w:space="0" w:color="FFFFFF"/>
            </w:tcBorders>
            <w:shd w:val="clear" w:color="auto" w:fill="800000"/>
            <w:noWrap/>
            <w:vAlign w:val="center"/>
            <w:hideMark/>
          </w:tcPr>
          <w:p w14:paraId="6862A45A"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КФП</w:t>
            </w:r>
          </w:p>
        </w:tc>
        <w:tc>
          <w:tcPr>
            <w:tcW w:w="783" w:type="dxa"/>
            <w:tcBorders>
              <w:top w:val="double" w:sz="6" w:space="0" w:color="800000"/>
              <w:left w:val="nil"/>
              <w:bottom w:val="double" w:sz="6" w:space="0" w:color="800000"/>
              <w:right w:val="single" w:sz="4" w:space="0" w:color="FFFFFF"/>
            </w:tcBorders>
            <w:shd w:val="clear" w:color="auto" w:fill="800000"/>
            <w:noWrap/>
            <w:vAlign w:val="center"/>
            <w:hideMark/>
          </w:tcPr>
          <w:p w14:paraId="2B47F626"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ДБ</w:t>
            </w:r>
          </w:p>
        </w:tc>
        <w:tc>
          <w:tcPr>
            <w:tcW w:w="825"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02BAE766"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ДВУ</w:t>
            </w:r>
          </w:p>
        </w:tc>
        <w:tc>
          <w:tcPr>
            <w:tcW w:w="993" w:type="dxa"/>
            <w:tcBorders>
              <w:top w:val="double" w:sz="6" w:space="0" w:color="800000"/>
              <w:left w:val="nil"/>
              <w:bottom w:val="double" w:sz="6" w:space="0" w:color="800000"/>
              <w:right w:val="single" w:sz="4" w:space="0" w:color="FFFFFF"/>
            </w:tcBorders>
            <w:shd w:val="clear" w:color="auto" w:fill="800000"/>
            <w:noWrap/>
            <w:vAlign w:val="center"/>
            <w:hideMark/>
          </w:tcPr>
          <w:p w14:paraId="574BF47E"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Общини</w:t>
            </w:r>
          </w:p>
        </w:tc>
        <w:tc>
          <w:tcPr>
            <w:tcW w:w="850" w:type="dxa"/>
            <w:tcBorders>
              <w:top w:val="double" w:sz="6" w:space="0" w:color="800000"/>
              <w:left w:val="nil"/>
              <w:bottom w:val="double" w:sz="6" w:space="0" w:color="800000"/>
              <w:right w:val="inset" w:sz="6" w:space="0" w:color="FFFFFF"/>
            </w:tcBorders>
            <w:shd w:val="clear" w:color="auto" w:fill="800000"/>
            <w:noWrap/>
            <w:vAlign w:val="center"/>
            <w:hideMark/>
          </w:tcPr>
          <w:p w14:paraId="17EF67B6"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ДМП</w:t>
            </w:r>
          </w:p>
        </w:tc>
        <w:tc>
          <w:tcPr>
            <w:tcW w:w="989" w:type="dxa"/>
            <w:tcBorders>
              <w:top w:val="double" w:sz="6" w:space="0" w:color="800000"/>
              <w:left w:val="single" w:sz="4" w:space="0" w:color="FFFFFF"/>
              <w:bottom w:val="double" w:sz="6" w:space="0" w:color="800000"/>
              <w:right w:val="double" w:sz="6" w:space="0" w:color="800000"/>
            </w:tcBorders>
            <w:shd w:val="clear" w:color="auto" w:fill="800000"/>
          </w:tcPr>
          <w:p w14:paraId="566A64BE" w14:textId="77777777" w:rsidR="00CC09AC" w:rsidRPr="002C3DFF" w:rsidRDefault="00CC09AC" w:rsidP="003B085A">
            <w:pPr>
              <w:jc w:val="center"/>
              <w:rPr>
                <w:b/>
                <w:bCs/>
                <w:color w:val="FFFFFF" w:themeColor="background1"/>
                <w:sz w:val="20"/>
                <w:szCs w:val="20"/>
                <w:lang w:val="en-US"/>
              </w:rPr>
            </w:pPr>
          </w:p>
          <w:p w14:paraId="4AA7ACA2"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 xml:space="preserve">Европ. </w:t>
            </w:r>
          </w:p>
          <w:p w14:paraId="1D969400" w14:textId="77777777" w:rsidR="00CC09AC" w:rsidRPr="002C3DFF" w:rsidRDefault="00CC09AC" w:rsidP="003B085A">
            <w:pPr>
              <w:jc w:val="center"/>
              <w:rPr>
                <w:b/>
                <w:bCs/>
                <w:color w:val="FFFFFF" w:themeColor="background1"/>
                <w:sz w:val="20"/>
                <w:szCs w:val="20"/>
              </w:rPr>
            </w:pPr>
            <w:r w:rsidRPr="002C3DFF">
              <w:rPr>
                <w:b/>
                <w:bCs/>
                <w:color w:val="FFFFFF" w:themeColor="background1"/>
                <w:sz w:val="20"/>
                <w:szCs w:val="20"/>
              </w:rPr>
              <w:t>ср-ва</w:t>
            </w:r>
          </w:p>
        </w:tc>
      </w:tr>
      <w:tr w:rsidR="00245A43" w:rsidRPr="007B48E9" w14:paraId="65BAB1D8" w14:textId="77777777" w:rsidTr="00CD302D">
        <w:trPr>
          <w:trHeight w:val="330"/>
        </w:trPr>
        <w:tc>
          <w:tcPr>
            <w:tcW w:w="3402" w:type="dxa"/>
            <w:tcBorders>
              <w:top w:val="double" w:sz="6" w:space="0" w:color="800000"/>
              <w:left w:val="double" w:sz="6" w:space="0" w:color="800000"/>
              <w:bottom w:val="nil"/>
              <w:right w:val="single" w:sz="4" w:space="0" w:color="800000"/>
            </w:tcBorders>
            <w:shd w:val="clear" w:color="auto" w:fill="FFFFCC"/>
            <w:noWrap/>
            <w:vAlign w:val="bottom"/>
            <w:hideMark/>
          </w:tcPr>
          <w:p w14:paraId="27EB4588" w14:textId="77777777" w:rsidR="00245A43" w:rsidRPr="002C3DFF" w:rsidRDefault="00245A43" w:rsidP="00245A43">
            <w:pPr>
              <w:rPr>
                <w:b/>
                <w:bCs/>
                <w:sz w:val="20"/>
                <w:szCs w:val="20"/>
              </w:rPr>
            </w:pPr>
            <w:r w:rsidRPr="002C3DFF">
              <w:rPr>
                <w:b/>
                <w:bCs/>
                <w:sz w:val="20"/>
                <w:szCs w:val="20"/>
              </w:rPr>
              <w:t>III. ОБРАЗОВАНИЕ</w:t>
            </w:r>
          </w:p>
        </w:tc>
        <w:tc>
          <w:tcPr>
            <w:tcW w:w="851" w:type="dxa"/>
            <w:tcBorders>
              <w:top w:val="double" w:sz="6" w:space="0" w:color="800000"/>
              <w:left w:val="single" w:sz="4" w:space="0" w:color="800000"/>
              <w:bottom w:val="nil"/>
              <w:right w:val="single" w:sz="4" w:space="0" w:color="800000"/>
            </w:tcBorders>
            <w:shd w:val="clear" w:color="000000" w:fill="FFFFCC"/>
            <w:noWrap/>
            <w:vAlign w:val="bottom"/>
            <w:hideMark/>
          </w:tcPr>
          <w:p w14:paraId="07D73B8A" w14:textId="40529191" w:rsidR="00245A43" w:rsidRPr="007B48E9" w:rsidRDefault="00245A43" w:rsidP="00245A43">
            <w:pPr>
              <w:jc w:val="right"/>
              <w:rPr>
                <w:b/>
                <w:bCs/>
                <w:color w:val="0070C0"/>
                <w:sz w:val="20"/>
                <w:szCs w:val="20"/>
              </w:rPr>
            </w:pPr>
            <w:r>
              <w:rPr>
                <w:b/>
                <w:bCs/>
                <w:color w:val="000000"/>
                <w:sz w:val="20"/>
                <w:szCs w:val="20"/>
              </w:rPr>
              <w:t>6 373,4</w:t>
            </w:r>
          </w:p>
        </w:tc>
        <w:tc>
          <w:tcPr>
            <w:tcW w:w="783" w:type="dxa"/>
            <w:tcBorders>
              <w:top w:val="double" w:sz="6" w:space="0" w:color="800000"/>
              <w:left w:val="nil"/>
              <w:bottom w:val="nil"/>
              <w:right w:val="single" w:sz="4" w:space="0" w:color="800000"/>
            </w:tcBorders>
            <w:shd w:val="clear" w:color="000000" w:fill="FFFFCC"/>
            <w:noWrap/>
            <w:vAlign w:val="bottom"/>
            <w:hideMark/>
          </w:tcPr>
          <w:p w14:paraId="6713DB65" w14:textId="3FC25D05" w:rsidR="00245A43" w:rsidRPr="007B48E9" w:rsidRDefault="00245A43" w:rsidP="00245A43">
            <w:pPr>
              <w:jc w:val="right"/>
              <w:rPr>
                <w:b/>
                <w:bCs/>
                <w:color w:val="0070C0"/>
                <w:sz w:val="20"/>
                <w:szCs w:val="20"/>
              </w:rPr>
            </w:pPr>
            <w:r>
              <w:rPr>
                <w:b/>
                <w:bCs/>
                <w:color w:val="000000"/>
                <w:sz w:val="20"/>
                <w:szCs w:val="20"/>
              </w:rPr>
              <w:t>785,0</w:t>
            </w:r>
          </w:p>
        </w:tc>
        <w:tc>
          <w:tcPr>
            <w:tcW w:w="825" w:type="dxa"/>
            <w:tcBorders>
              <w:top w:val="double" w:sz="6" w:space="0" w:color="800000"/>
              <w:left w:val="nil"/>
              <w:bottom w:val="nil"/>
              <w:right w:val="single" w:sz="4" w:space="0" w:color="800000"/>
            </w:tcBorders>
            <w:shd w:val="clear" w:color="000000" w:fill="FFFFCC"/>
            <w:noWrap/>
            <w:vAlign w:val="bottom"/>
            <w:hideMark/>
          </w:tcPr>
          <w:p w14:paraId="7FD4AFB8" w14:textId="6372AB53" w:rsidR="00245A43" w:rsidRPr="007B48E9" w:rsidRDefault="00245A43" w:rsidP="00245A43">
            <w:pPr>
              <w:jc w:val="right"/>
              <w:rPr>
                <w:b/>
                <w:bCs/>
                <w:color w:val="0070C0"/>
                <w:sz w:val="20"/>
                <w:szCs w:val="20"/>
              </w:rPr>
            </w:pPr>
            <w:r>
              <w:rPr>
                <w:b/>
                <w:bCs/>
                <w:color w:val="000000"/>
                <w:sz w:val="20"/>
                <w:szCs w:val="20"/>
              </w:rPr>
              <w:t>1 122,9</w:t>
            </w:r>
          </w:p>
        </w:tc>
        <w:tc>
          <w:tcPr>
            <w:tcW w:w="993" w:type="dxa"/>
            <w:tcBorders>
              <w:top w:val="double" w:sz="6" w:space="0" w:color="800000"/>
              <w:left w:val="nil"/>
              <w:bottom w:val="nil"/>
              <w:right w:val="single" w:sz="4" w:space="0" w:color="800000"/>
            </w:tcBorders>
            <w:shd w:val="clear" w:color="000000" w:fill="FFFFCC"/>
            <w:noWrap/>
            <w:vAlign w:val="bottom"/>
            <w:hideMark/>
          </w:tcPr>
          <w:p w14:paraId="1D66139E" w14:textId="09204BB0" w:rsidR="00245A43" w:rsidRPr="007B48E9" w:rsidRDefault="00245A43" w:rsidP="00245A43">
            <w:pPr>
              <w:jc w:val="right"/>
              <w:rPr>
                <w:b/>
                <w:bCs/>
                <w:color w:val="0070C0"/>
                <w:sz w:val="20"/>
                <w:szCs w:val="20"/>
              </w:rPr>
            </w:pPr>
            <w:r>
              <w:rPr>
                <w:b/>
                <w:bCs/>
                <w:color w:val="000000"/>
                <w:sz w:val="20"/>
                <w:szCs w:val="20"/>
              </w:rPr>
              <w:t>4 151,9</w:t>
            </w:r>
          </w:p>
        </w:tc>
        <w:tc>
          <w:tcPr>
            <w:tcW w:w="850" w:type="dxa"/>
            <w:tcBorders>
              <w:top w:val="double" w:sz="6" w:space="0" w:color="800000"/>
              <w:left w:val="nil"/>
              <w:bottom w:val="nil"/>
              <w:right w:val="single" w:sz="4" w:space="0" w:color="800000"/>
            </w:tcBorders>
            <w:shd w:val="clear" w:color="000000" w:fill="FFFFCC"/>
            <w:noWrap/>
            <w:vAlign w:val="bottom"/>
            <w:hideMark/>
          </w:tcPr>
          <w:p w14:paraId="700B4BEB" w14:textId="3B000802" w:rsidR="00245A43" w:rsidRPr="007B48E9" w:rsidRDefault="00245A43" w:rsidP="00245A43">
            <w:pPr>
              <w:jc w:val="right"/>
              <w:rPr>
                <w:b/>
                <w:bCs/>
                <w:color w:val="0070C0"/>
                <w:sz w:val="20"/>
                <w:szCs w:val="20"/>
              </w:rPr>
            </w:pPr>
            <w:r>
              <w:rPr>
                <w:b/>
                <w:bCs/>
                <w:color w:val="000000"/>
                <w:sz w:val="20"/>
                <w:szCs w:val="20"/>
              </w:rPr>
              <w:t>7,8</w:t>
            </w:r>
          </w:p>
        </w:tc>
        <w:tc>
          <w:tcPr>
            <w:tcW w:w="989" w:type="dxa"/>
            <w:tcBorders>
              <w:top w:val="double" w:sz="6" w:space="0" w:color="800000"/>
              <w:left w:val="nil"/>
              <w:bottom w:val="nil"/>
              <w:right w:val="single" w:sz="4" w:space="0" w:color="800000"/>
            </w:tcBorders>
            <w:shd w:val="clear" w:color="000000" w:fill="FFFFCC"/>
            <w:vAlign w:val="bottom"/>
          </w:tcPr>
          <w:p w14:paraId="7C6C670F" w14:textId="345BD843" w:rsidR="00245A43" w:rsidRPr="007B48E9" w:rsidRDefault="00245A43" w:rsidP="00245A43">
            <w:pPr>
              <w:jc w:val="right"/>
              <w:rPr>
                <w:b/>
                <w:bCs/>
                <w:color w:val="0070C0"/>
                <w:sz w:val="20"/>
                <w:szCs w:val="20"/>
              </w:rPr>
            </w:pPr>
            <w:r>
              <w:rPr>
                <w:b/>
                <w:bCs/>
                <w:color w:val="000000"/>
                <w:sz w:val="20"/>
                <w:szCs w:val="20"/>
              </w:rPr>
              <w:t>305,8</w:t>
            </w:r>
          </w:p>
        </w:tc>
      </w:tr>
      <w:tr w:rsidR="00245A43" w:rsidRPr="007B48E9" w14:paraId="6A02B055" w14:textId="77777777" w:rsidTr="00CD302D">
        <w:trPr>
          <w:trHeight w:val="255"/>
        </w:trPr>
        <w:tc>
          <w:tcPr>
            <w:tcW w:w="3402" w:type="dxa"/>
            <w:tcBorders>
              <w:top w:val="nil"/>
              <w:left w:val="double" w:sz="6" w:space="0" w:color="800000"/>
              <w:bottom w:val="nil"/>
              <w:right w:val="single" w:sz="4" w:space="0" w:color="800000"/>
            </w:tcBorders>
            <w:shd w:val="clear" w:color="auto" w:fill="FFFFCC"/>
            <w:noWrap/>
            <w:vAlign w:val="bottom"/>
            <w:hideMark/>
          </w:tcPr>
          <w:p w14:paraId="46458E00" w14:textId="77777777" w:rsidR="00245A43" w:rsidRPr="002C3DFF" w:rsidRDefault="00245A43" w:rsidP="00245A43">
            <w:pPr>
              <w:rPr>
                <w:sz w:val="20"/>
                <w:szCs w:val="20"/>
              </w:rPr>
            </w:pPr>
            <w:r w:rsidRPr="002C3DFF">
              <w:rPr>
                <w:sz w:val="20"/>
                <w:szCs w:val="20"/>
              </w:rPr>
              <w:t xml:space="preserve">     Текущи нелихвени разходи</w:t>
            </w:r>
          </w:p>
        </w:tc>
        <w:tc>
          <w:tcPr>
            <w:tcW w:w="851" w:type="dxa"/>
            <w:tcBorders>
              <w:top w:val="nil"/>
              <w:left w:val="single" w:sz="4" w:space="0" w:color="800000"/>
              <w:bottom w:val="nil"/>
              <w:right w:val="single" w:sz="4" w:space="0" w:color="800000"/>
            </w:tcBorders>
            <w:shd w:val="clear" w:color="000000" w:fill="FFFFCC"/>
            <w:noWrap/>
            <w:vAlign w:val="bottom"/>
            <w:hideMark/>
          </w:tcPr>
          <w:p w14:paraId="75656A5E" w14:textId="68923C3F" w:rsidR="00245A43" w:rsidRPr="007B48E9" w:rsidRDefault="00245A43" w:rsidP="00245A43">
            <w:pPr>
              <w:jc w:val="right"/>
              <w:rPr>
                <w:color w:val="0070C0"/>
                <w:sz w:val="20"/>
                <w:szCs w:val="20"/>
              </w:rPr>
            </w:pPr>
            <w:r>
              <w:rPr>
                <w:color w:val="000000"/>
                <w:sz w:val="20"/>
                <w:szCs w:val="20"/>
              </w:rPr>
              <w:t>5 893,9</w:t>
            </w:r>
          </w:p>
        </w:tc>
        <w:tc>
          <w:tcPr>
            <w:tcW w:w="783" w:type="dxa"/>
            <w:tcBorders>
              <w:top w:val="nil"/>
              <w:left w:val="nil"/>
              <w:bottom w:val="nil"/>
              <w:right w:val="single" w:sz="4" w:space="0" w:color="800000"/>
            </w:tcBorders>
            <w:shd w:val="clear" w:color="000000" w:fill="FFFFCC"/>
            <w:noWrap/>
            <w:vAlign w:val="bottom"/>
            <w:hideMark/>
          </w:tcPr>
          <w:p w14:paraId="4EAE8638" w14:textId="19124FF3" w:rsidR="00245A43" w:rsidRPr="007B48E9" w:rsidRDefault="00245A43" w:rsidP="00245A43">
            <w:pPr>
              <w:jc w:val="right"/>
              <w:rPr>
                <w:color w:val="0070C0"/>
                <w:sz w:val="20"/>
                <w:szCs w:val="20"/>
              </w:rPr>
            </w:pPr>
            <w:r>
              <w:rPr>
                <w:color w:val="000000"/>
                <w:sz w:val="20"/>
                <w:szCs w:val="20"/>
              </w:rPr>
              <w:t>671,5</w:t>
            </w:r>
          </w:p>
        </w:tc>
        <w:tc>
          <w:tcPr>
            <w:tcW w:w="825" w:type="dxa"/>
            <w:tcBorders>
              <w:top w:val="nil"/>
              <w:left w:val="nil"/>
              <w:bottom w:val="nil"/>
              <w:right w:val="single" w:sz="4" w:space="0" w:color="800000"/>
            </w:tcBorders>
            <w:shd w:val="clear" w:color="000000" w:fill="FFFFCC"/>
            <w:noWrap/>
            <w:vAlign w:val="bottom"/>
            <w:hideMark/>
          </w:tcPr>
          <w:p w14:paraId="185FE5BE" w14:textId="6AF6CE4D" w:rsidR="00245A43" w:rsidRPr="007B48E9" w:rsidRDefault="00245A43" w:rsidP="00245A43">
            <w:pPr>
              <w:jc w:val="right"/>
              <w:rPr>
                <w:color w:val="0070C0"/>
                <w:sz w:val="20"/>
                <w:szCs w:val="20"/>
              </w:rPr>
            </w:pPr>
            <w:r>
              <w:rPr>
                <w:color w:val="000000"/>
                <w:sz w:val="20"/>
                <w:szCs w:val="20"/>
              </w:rPr>
              <w:t>1 034,4</w:t>
            </w:r>
          </w:p>
        </w:tc>
        <w:tc>
          <w:tcPr>
            <w:tcW w:w="993" w:type="dxa"/>
            <w:tcBorders>
              <w:top w:val="nil"/>
              <w:left w:val="nil"/>
              <w:bottom w:val="nil"/>
              <w:right w:val="single" w:sz="4" w:space="0" w:color="800000"/>
            </w:tcBorders>
            <w:shd w:val="clear" w:color="000000" w:fill="FFFFCC"/>
            <w:noWrap/>
            <w:vAlign w:val="bottom"/>
            <w:hideMark/>
          </w:tcPr>
          <w:p w14:paraId="31FD63DF" w14:textId="7804965F" w:rsidR="00245A43" w:rsidRPr="007B48E9" w:rsidRDefault="00245A43" w:rsidP="00245A43">
            <w:pPr>
              <w:jc w:val="right"/>
              <w:rPr>
                <w:color w:val="0070C0"/>
                <w:sz w:val="20"/>
                <w:szCs w:val="20"/>
              </w:rPr>
            </w:pPr>
            <w:r>
              <w:rPr>
                <w:color w:val="000000"/>
                <w:sz w:val="20"/>
                <w:szCs w:val="20"/>
              </w:rPr>
              <w:t>3 949,0</w:t>
            </w:r>
          </w:p>
        </w:tc>
        <w:tc>
          <w:tcPr>
            <w:tcW w:w="850" w:type="dxa"/>
            <w:tcBorders>
              <w:top w:val="nil"/>
              <w:left w:val="nil"/>
              <w:bottom w:val="nil"/>
              <w:right w:val="single" w:sz="4" w:space="0" w:color="800000"/>
            </w:tcBorders>
            <w:shd w:val="clear" w:color="000000" w:fill="FFFFCC"/>
            <w:noWrap/>
            <w:vAlign w:val="bottom"/>
            <w:hideMark/>
          </w:tcPr>
          <w:p w14:paraId="60ED1E2D" w14:textId="071BF281" w:rsidR="00245A43" w:rsidRPr="007B48E9" w:rsidRDefault="00245A43" w:rsidP="00245A43">
            <w:pPr>
              <w:jc w:val="right"/>
              <w:rPr>
                <w:color w:val="0070C0"/>
                <w:sz w:val="20"/>
                <w:szCs w:val="20"/>
              </w:rPr>
            </w:pPr>
            <w:r>
              <w:rPr>
                <w:color w:val="000000"/>
                <w:sz w:val="20"/>
                <w:szCs w:val="20"/>
              </w:rPr>
              <w:t>5,6</w:t>
            </w:r>
          </w:p>
        </w:tc>
        <w:tc>
          <w:tcPr>
            <w:tcW w:w="989" w:type="dxa"/>
            <w:tcBorders>
              <w:top w:val="nil"/>
              <w:left w:val="nil"/>
              <w:bottom w:val="nil"/>
              <w:right w:val="single" w:sz="4" w:space="0" w:color="800000"/>
            </w:tcBorders>
            <w:shd w:val="clear" w:color="000000" w:fill="FFFFCC"/>
            <w:vAlign w:val="bottom"/>
          </w:tcPr>
          <w:p w14:paraId="03AB9F16" w14:textId="7C8D5981" w:rsidR="00245A43" w:rsidRPr="007B48E9" w:rsidRDefault="00245A43" w:rsidP="00245A43">
            <w:pPr>
              <w:jc w:val="right"/>
              <w:rPr>
                <w:color w:val="0070C0"/>
                <w:sz w:val="20"/>
                <w:szCs w:val="20"/>
              </w:rPr>
            </w:pPr>
            <w:r>
              <w:rPr>
                <w:color w:val="000000"/>
                <w:sz w:val="20"/>
                <w:szCs w:val="20"/>
              </w:rPr>
              <w:t>233,4</w:t>
            </w:r>
          </w:p>
        </w:tc>
      </w:tr>
      <w:tr w:rsidR="00245A43" w:rsidRPr="007B48E9" w14:paraId="09C316D2" w14:textId="77777777" w:rsidTr="00CD302D">
        <w:trPr>
          <w:trHeight w:val="270"/>
        </w:trPr>
        <w:tc>
          <w:tcPr>
            <w:tcW w:w="3402" w:type="dxa"/>
            <w:tcBorders>
              <w:top w:val="nil"/>
              <w:left w:val="double" w:sz="6" w:space="0" w:color="800000"/>
              <w:right w:val="single" w:sz="4" w:space="0" w:color="800000"/>
            </w:tcBorders>
            <w:shd w:val="clear" w:color="auto" w:fill="FFFFCC"/>
            <w:noWrap/>
            <w:vAlign w:val="bottom"/>
            <w:hideMark/>
          </w:tcPr>
          <w:p w14:paraId="0433A691" w14:textId="77777777" w:rsidR="00245A43" w:rsidRPr="002C3DFF" w:rsidRDefault="00245A43" w:rsidP="00245A43">
            <w:pPr>
              <w:rPr>
                <w:sz w:val="20"/>
                <w:szCs w:val="20"/>
              </w:rPr>
            </w:pPr>
            <w:r w:rsidRPr="002C3DFF">
              <w:rPr>
                <w:sz w:val="20"/>
                <w:szCs w:val="20"/>
              </w:rPr>
              <w:t xml:space="preserve">     Капиталови разходи</w:t>
            </w:r>
          </w:p>
        </w:tc>
        <w:tc>
          <w:tcPr>
            <w:tcW w:w="851" w:type="dxa"/>
            <w:tcBorders>
              <w:top w:val="nil"/>
              <w:left w:val="single" w:sz="4" w:space="0" w:color="800000"/>
              <w:bottom w:val="nil"/>
              <w:right w:val="single" w:sz="4" w:space="0" w:color="800000"/>
            </w:tcBorders>
            <w:shd w:val="clear" w:color="000000" w:fill="FFFFCC"/>
            <w:noWrap/>
            <w:vAlign w:val="bottom"/>
            <w:hideMark/>
          </w:tcPr>
          <w:p w14:paraId="4C89BB8D" w14:textId="505571C0" w:rsidR="00245A43" w:rsidRPr="007B48E9" w:rsidRDefault="00245A43" w:rsidP="00245A43">
            <w:pPr>
              <w:jc w:val="right"/>
              <w:rPr>
                <w:color w:val="0070C0"/>
                <w:sz w:val="20"/>
                <w:szCs w:val="20"/>
              </w:rPr>
            </w:pPr>
            <w:r>
              <w:rPr>
                <w:color w:val="000000"/>
                <w:sz w:val="20"/>
                <w:szCs w:val="20"/>
              </w:rPr>
              <w:t>455,4</w:t>
            </w:r>
          </w:p>
        </w:tc>
        <w:tc>
          <w:tcPr>
            <w:tcW w:w="783" w:type="dxa"/>
            <w:tcBorders>
              <w:top w:val="nil"/>
              <w:left w:val="nil"/>
              <w:bottom w:val="nil"/>
              <w:right w:val="single" w:sz="4" w:space="0" w:color="800000"/>
            </w:tcBorders>
            <w:shd w:val="clear" w:color="000000" w:fill="FFFFCC"/>
            <w:noWrap/>
            <w:vAlign w:val="bottom"/>
            <w:hideMark/>
          </w:tcPr>
          <w:p w14:paraId="5AECF6E0" w14:textId="1EF9FC09" w:rsidR="00245A43" w:rsidRPr="007B48E9" w:rsidRDefault="00245A43" w:rsidP="00245A43">
            <w:pPr>
              <w:jc w:val="right"/>
              <w:rPr>
                <w:color w:val="0070C0"/>
                <w:sz w:val="20"/>
                <w:szCs w:val="20"/>
              </w:rPr>
            </w:pPr>
            <w:r>
              <w:rPr>
                <w:color w:val="000000"/>
                <w:sz w:val="20"/>
                <w:szCs w:val="20"/>
              </w:rPr>
              <w:t>98,0</w:t>
            </w:r>
          </w:p>
        </w:tc>
        <w:tc>
          <w:tcPr>
            <w:tcW w:w="825" w:type="dxa"/>
            <w:tcBorders>
              <w:top w:val="nil"/>
              <w:left w:val="nil"/>
              <w:bottom w:val="nil"/>
              <w:right w:val="single" w:sz="4" w:space="0" w:color="800000"/>
            </w:tcBorders>
            <w:shd w:val="clear" w:color="000000" w:fill="FFFFCC"/>
            <w:noWrap/>
            <w:vAlign w:val="bottom"/>
            <w:hideMark/>
          </w:tcPr>
          <w:p w14:paraId="4FC7C35E" w14:textId="6DFC3F6A" w:rsidR="00245A43" w:rsidRPr="007B48E9" w:rsidRDefault="00245A43" w:rsidP="00245A43">
            <w:pPr>
              <w:jc w:val="right"/>
              <w:rPr>
                <w:color w:val="0070C0"/>
                <w:sz w:val="20"/>
                <w:szCs w:val="20"/>
              </w:rPr>
            </w:pPr>
            <w:r>
              <w:rPr>
                <w:color w:val="000000"/>
                <w:sz w:val="20"/>
                <w:szCs w:val="20"/>
              </w:rPr>
              <w:t>88,5</w:t>
            </w:r>
          </w:p>
        </w:tc>
        <w:tc>
          <w:tcPr>
            <w:tcW w:w="993" w:type="dxa"/>
            <w:tcBorders>
              <w:top w:val="nil"/>
              <w:left w:val="nil"/>
              <w:bottom w:val="nil"/>
              <w:right w:val="single" w:sz="4" w:space="0" w:color="800000"/>
            </w:tcBorders>
            <w:shd w:val="clear" w:color="000000" w:fill="FFFFCC"/>
            <w:noWrap/>
            <w:vAlign w:val="bottom"/>
            <w:hideMark/>
          </w:tcPr>
          <w:p w14:paraId="3D9EDEBD" w14:textId="514D50B2" w:rsidR="00245A43" w:rsidRPr="007B48E9" w:rsidRDefault="00245A43" w:rsidP="00245A43">
            <w:pPr>
              <w:jc w:val="right"/>
              <w:rPr>
                <w:color w:val="0070C0"/>
                <w:sz w:val="20"/>
                <w:szCs w:val="20"/>
              </w:rPr>
            </w:pPr>
            <w:r>
              <w:rPr>
                <w:color w:val="000000"/>
                <w:sz w:val="20"/>
                <w:szCs w:val="20"/>
              </w:rPr>
              <w:t>202,8</w:t>
            </w:r>
          </w:p>
        </w:tc>
        <w:tc>
          <w:tcPr>
            <w:tcW w:w="850" w:type="dxa"/>
            <w:tcBorders>
              <w:top w:val="nil"/>
              <w:left w:val="nil"/>
              <w:bottom w:val="nil"/>
              <w:right w:val="single" w:sz="4" w:space="0" w:color="800000"/>
            </w:tcBorders>
            <w:shd w:val="clear" w:color="000000" w:fill="FFFFCC"/>
            <w:noWrap/>
            <w:vAlign w:val="bottom"/>
            <w:hideMark/>
          </w:tcPr>
          <w:p w14:paraId="12D3E097" w14:textId="719C3F0E" w:rsidR="00245A43" w:rsidRPr="007B48E9" w:rsidRDefault="00245A43" w:rsidP="00245A43">
            <w:pPr>
              <w:jc w:val="right"/>
              <w:rPr>
                <w:color w:val="0070C0"/>
                <w:sz w:val="20"/>
                <w:szCs w:val="20"/>
              </w:rPr>
            </w:pPr>
            <w:r>
              <w:rPr>
                <w:color w:val="000000"/>
                <w:sz w:val="20"/>
                <w:szCs w:val="20"/>
              </w:rPr>
              <w:t>2,0</w:t>
            </w:r>
          </w:p>
        </w:tc>
        <w:tc>
          <w:tcPr>
            <w:tcW w:w="989" w:type="dxa"/>
            <w:tcBorders>
              <w:top w:val="nil"/>
              <w:left w:val="nil"/>
              <w:bottom w:val="nil"/>
              <w:right w:val="single" w:sz="4" w:space="0" w:color="800000"/>
            </w:tcBorders>
            <w:shd w:val="clear" w:color="000000" w:fill="FFFFCC"/>
            <w:vAlign w:val="bottom"/>
          </w:tcPr>
          <w:p w14:paraId="655BB1DB" w14:textId="3ACB4807" w:rsidR="00245A43" w:rsidRPr="007B48E9" w:rsidRDefault="00245A43" w:rsidP="00245A43">
            <w:pPr>
              <w:jc w:val="right"/>
              <w:rPr>
                <w:color w:val="0070C0"/>
                <w:sz w:val="20"/>
                <w:szCs w:val="20"/>
              </w:rPr>
            </w:pPr>
            <w:r>
              <w:rPr>
                <w:color w:val="000000"/>
                <w:sz w:val="20"/>
                <w:szCs w:val="20"/>
              </w:rPr>
              <w:t>64,0</w:t>
            </w:r>
          </w:p>
        </w:tc>
      </w:tr>
      <w:tr w:rsidR="00245A43" w:rsidRPr="007B48E9" w14:paraId="6C097E7D" w14:textId="77777777" w:rsidTr="00CD302D">
        <w:trPr>
          <w:trHeight w:val="270"/>
        </w:trPr>
        <w:tc>
          <w:tcPr>
            <w:tcW w:w="3402" w:type="dxa"/>
            <w:tcBorders>
              <w:top w:val="nil"/>
              <w:left w:val="double" w:sz="6" w:space="0" w:color="800000"/>
              <w:bottom w:val="double" w:sz="6" w:space="0" w:color="800000"/>
              <w:right w:val="single" w:sz="4" w:space="0" w:color="800000"/>
            </w:tcBorders>
            <w:shd w:val="clear" w:color="auto" w:fill="FFFFCC"/>
            <w:noWrap/>
            <w:vAlign w:val="bottom"/>
          </w:tcPr>
          <w:p w14:paraId="1C4F3E39" w14:textId="77777777" w:rsidR="00245A43" w:rsidRPr="002C3DFF" w:rsidRDefault="00245A43" w:rsidP="00245A43">
            <w:pPr>
              <w:rPr>
                <w:sz w:val="20"/>
                <w:szCs w:val="20"/>
              </w:rPr>
            </w:pPr>
            <w:r w:rsidRPr="002C3DFF">
              <w:rPr>
                <w:sz w:val="20"/>
                <w:szCs w:val="20"/>
              </w:rPr>
              <w:t xml:space="preserve">     Пред. тек. и кап. тр/ри за чужбина</w:t>
            </w:r>
          </w:p>
        </w:tc>
        <w:tc>
          <w:tcPr>
            <w:tcW w:w="851" w:type="dxa"/>
            <w:tcBorders>
              <w:top w:val="nil"/>
              <w:left w:val="single" w:sz="4" w:space="0" w:color="800000"/>
              <w:bottom w:val="double" w:sz="6" w:space="0" w:color="800000"/>
              <w:right w:val="single" w:sz="4" w:space="0" w:color="800000"/>
            </w:tcBorders>
            <w:shd w:val="clear" w:color="000000" w:fill="FFFFCC"/>
            <w:noWrap/>
            <w:vAlign w:val="bottom"/>
          </w:tcPr>
          <w:p w14:paraId="2712D292" w14:textId="76B06485" w:rsidR="00245A43" w:rsidRPr="007B48E9" w:rsidRDefault="00245A43" w:rsidP="00245A43">
            <w:pPr>
              <w:jc w:val="right"/>
              <w:rPr>
                <w:color w:val="0070C0"/>
                <w:sz w:val="20"/>
                <w:szCs w:val="20"/>
              </w:rPr>
            </w:pPr>
            <w:r>
              <w:rPr>
                <w:color w:val="000000"/>
                <w:sz w:val="20"/>
                <w:szCs w:val="20"/>
              </w:rPr>
              <w:t>24,1</w:t>
            </w:r>
          </w:p>
        </w:tc>
        <w:tc>
          <w:tcPr>
            <w:tcW w:w="783" w:type="dxa"/>
            <w:tcBorders>
              <w:top w:val="nil"/>
              <w:left w:val="nil"/>
              <w:bottom w:val="double" w:sz="6" w:space="0" w:color="800000"/>
              <w:right w:val="single" w:sz="4" w:space="0" w:color="800000"/>
            </w:tcBorders>
            <w:shd w:val="clear" w:color="000000" w:fill="FFFFCC"/>
            <w:noWrap/>
            <w:vAlign w:val="bottom"/>
          </w:tcPr>
          <w:p w14:paraId="1824F7EB" w14:textId="5C5C8110" w:rsidR="00245A43" w:rsidRPr="007B48E9" w:rsidRDefault="00245A43" w:rsidP="00245A43">
            <w:pPr>
              <w:jc w:val="right"/>
              <w:rPr>
                <w:color w:val="0070C0"/>
                <w:sz w:val="20"/>
                <w:szCs w:val="20"/>
              </w:rPr>
            </w:pPr>
            <w:r>
              <w:rPr>
                <w:color w:val="000000"/>
                <w:sz w:val="20"/>
                <w:szCs w:val="20"/>
              </w:rPr>
              <w:t>15,5</w:t>
            </w:r>
          </w:p>
        </w:tc>
        <w:tc>
          <w:tcPr>
            <w:tcW w:w="825" w:type="dxa"/>
            <w:tcBorders>
              <w:top w:val="nil"/>
              <w:left w:val="nil"/>
              <w:bottom w:val="double" w:sz="6" w:space="0" w:color="800000"/>
              <w:right w:val="single" w:sz="4" w:space="0" w:color="800000"/>
            </w:tcBorders>
            <w:shd w:val="clear" w:color="000000" w:fill="FFFFCC"/>
            <w:noWrap/>
            <w:vAlign w:val="bottom"/>
          </w:tcPr>
          <w:p w14:paraId="5D47B3C8" w14:textId="45D8F6F2" w:rsidR="00245A43" w:rsidRPr="007B48E9" w:rsidRDefault="00245A43" w:rsidP="00245A43">
            <w:pPr>
              <w:jc w:val="right"/>
              <w:rPr>
                <w:color w:val="0070C0"/>
                <w:sz w:val="20"/>
                <w:szCs w:val="20"/>
              </w:rPr>
            </w:pPr>
            <w:r>
              <w:rPr>
                <w:color w:val="000000"/>
                <w:sz w:val="20"/>
                <w:szCs w:val="20"/>
              </w:rPr>
              <w:t> </w:t>
            </w:r>
          </w:p>
        </w:tc>
        <w:tc>
          <w:tcPr>
            <w:tcW w:w="993" w:type="dxa"/>
            <w:tcBorders>
              <w:top w:val="nil"/>
              <w:left w:val="nil"/>
              <w:bottom w:val="double" w:sz="6" w:space="0" w:color="800000"/>
              <w:right w:val="single" w:sz="4" w:space="0" w:color="800000"/>
            </w:tcBorders>
            <w:shd w:val="clear" w:color="000000" w:fill="FFFFCC"/>
            <w:noWrap/>
            <w:vAlign w:val="bottom"/>
          </w:tcPr>
          <w:p w14:paraId="22C8EF74" w14:textId="56E73A08" w:rsidR="00245A43" w:rsidRPr="007B48E9" w:rsidRDefault="00245A43" w:rsidP="00245A43">
            <w:pPr>
              <w:rPr>
                <w:color w:val="0070C0"/>
                <w:sz w:val="20"/>
                <w:szCs w:val="20"/>
              </w:rPr>
            </w:pPr>
            <w:r>
              <w:rPr>
                <w:color w:val="000000"/>
                <w:sz w:val="20"/>
                <w:szCs w:val="20"/>
              </w:rPr>
              <w:t> </w:t>
            </w:r>
          </w:p>
        </w:tc>
        <w:tc>
          <w:tcPr>
            <w:tcW w:w="850" w:type="dxa"/>
            <w:tcBorders>
              <w:top w:val="nil"/>
              <w:left w:val="nil"/>
              <w:bottom w:val="double" w:sz="6" w:space="0" w:color="800000"/>
              <w:right w:val="single" w:sz="4" w:space="0" w:color="800000"/>
            </w:tcBorders>
            <w:shd w:val="clear" w:color="000000" w:fill="FFFFCC"/>
            <w:noWrap/>
            <w:vAlign w:val="bottom"/>
          </w:tcPr>
          <w:p w14:paraId="1196E8EB" w14:textId="3EC8DBC5" w:rsidR="00245A43" w:rsidRPr="007B48E9" w:rsidRDefault="00245A43" w:rsidP="00245A43">
            <w:pPr>
              <w:jc w:val="right"/>
              <w:rPr>
                <w:color w:val="0070C0"/>
                <w:sz w:val="20"/>
                <w:szCs w:val="20"/>
              </w:rPr>
            </w:pPr>
            <w:r>
              <w:rPr>
                <w:color w:val="000000"/>
                <w:sz w:val="20"/>
                <w:szCs w:val="20"/>
              </w:rPr>
              <w:t>0,2</w:t>
            </w:r>
          </w:p>
        </w:tc>
        <w:tc>
          <w:tcPr>
            <w:tcW w:w="989" w:type="dxa"/>
            <w:tcBorders>
              <w:top w:val="nil"/>
              <w:left w:val="nil"/>
              <w:bottom w:val="double" w:sz="6" w:space="0" w:color="800000"/>
              <w:right w:val="single" w:sz="4" w:space="0" w:color="800000"/>
            </w:tcBorders>
            <w:shd w:val="clear" w:color="000000" w:fill="FFFFCC"/>
            <w:vAlign w:val="bottom"/>
          </w:tcPr>
          <w:p w14:paraId="6572468D" w14:textId="3FDB07FC" w:rsidR="00245A43" w:rsidRPr="007B48E9" w:rsidRDefault="00245A43" w:rsidP="00245A43">
            <w:pPr>
              <w:jc w:val="right"/>
              <w:rPr>
                <w:color w:val="0070C0"/>
                <w:sz w:val="20"/>
                <w:szCs w:val="20"/>
              </w:rPr>
            </w:pPr>
            <w:r>
              <w:rPr>
                <w:color w:val="000000"/>
                <w:sz w:val="20"/>
                <w:szCs w:val="20"/>
              </w:rPr>
              <w:t>8,4</w:t>
            </w:r>
          </w:p>
        </w:tc>
      </w:tr>
    </w:tbl>
    <w:p w14:paraId="4346777F" w14:textId="77777777" w:rsidR="00CC09AC" w:rsidRPr="007B48E9" w:rsidRDefault="00CC09AC" w:rsidP="00CC09AC">
      <w:pPr>
        <w:rPr>
          <w:b/>
          <w:color w:val="0070C0"/>
          <w:sz w:val="14"/>
          <w:szCs w:val="28"/>
          <w:u w:val="single"/>
        </w:rPr>
      </w:pPr>
    </w:p>
    <w:p w14:paraId="0163272C" w14:textId="7AF0F207" w:rsidR="00CC09AC" w:rsidRPr="007B48E9" w:rsidRDefault="00CC09AC" w:rsidP="003B5CF3">
      <w:pPr>
        <w:autoSpaceDE w:val="0"/>
        <w:autoSpaceDN w:val="0"/>
        <w:adjustRightInd w:val="0"/>
        <w:ind w:firstLine="709"/>
        <w:jc w:val="both"/>
        <w:rPr>
          <w:rFonts w:cs="TimesNewRomanPSMT"/>
          <w:color w:val="0070C0"/>
        </w:rPr>
      </w:pPr>
      <w:r w:rsidRPr="004C4EEC">
        <w:rPr>
          <w:rFonts w:cs="TimesNewRomanPSMT"/>
        </w:rPr>
        <w:t xml:space="preserve">Със ЗДБРБ за 2022 г. са предвидени средства за функцията в размер на 6 606,4 млн. лв. Изпълнението на разходите за функцията на консолидирано ниво е в размер на 6 373,4 млн. лв. (96,5 % спрямо </w:t>
      </w:r>
      <w:r w:rsidRPr="00182219">
        <w:rPr>
          <w:rFonts w:cs="TimesNewRomanPSMT"/>
        </w:rPr>
        <w:t xml:space="preserve">разчетите за 2022 г.). За </w:t>
      </w:r>
      <w:r w:rsidRPr="00182219">
        <w:t xml:space="preserve">функция „Образование” през 2022 г. са </w:t>
      </w:r>
      <w:r w:rsidRPr="00182219">
        <w:rPr>
          <w:rFonts w:cs="TimesNewRomanPSMT"/>
        </w:rPr>
        <w:t>отчетени 5 89</w:t>
      </w:r>
      <w:r w:rsidR="001F27C6">
        <w:rPr>
          <w:rFonts w:cs="TimesNewRomanPSMT"/>
        </w:rPr>
        <w:t>3</w:t>
      </w:r>
      <w:r w:rsidRPr="00182219">
        <w:rPr>
          <w:rFonts w:cs="TimesNewRomanPSMT"/>
        </w:rPr>
        <w:t>,</w:t>
      </w:r>
      <w:r w:rsidR="001F27C6">
        <w:rPr>
          <w:rFonts w:cs="TimesNewRomanPSMT"/>
        </w:rPr>
        <w:t>9</w:t>
      </w:r>
      <w:r w:rsidRPr="00182219">
        <w:rPr>
          <w:rFonts w:cs="TimesNewRomanPSMT"/>
        </w:rPr>
        <w:t xml:space="preserve"> млн. лв. текущи разходи и 45</w:t>
      </w:r>
      <w:r w:rsidR="001F27C6">
        <w:rPr>
          <w:rFonts w:cs="TimesNewRomanPSMT"/>
        </w:rPr>
        <w:t>5</w:t>
      </w:r>
      <w:r w:rsidRPr="00182219">
        <w:rPr>
          <w:rFonts w:cs="TimesNewRomanPSMT"/>
        </w:rPr>
        <w:t>,</w:t>
      </w:r>
      <w:r w:rsidR="001F27C6">
        <w:rPr>
          <w:rFonts w:cs="TimesNewRomanPSMT"/>
        </w:rPr>
        <w:t>4</w:t>
      </w:r>
      <w:r w:rsidRPr="00182219">
        <w:rPr>
          <w:rFonts w:cs="TimesNewRomanPSMT"/>
        </w:rPr>
        <w:t xml:space="preserve"> млн. лв. капиталови разходи. Предоставените текущи трансфери за чужбина са в размер на 24,1 млн. лева.</w:t>
      </w:r>
    </w:p>
    <w:p w14:paraId="53E262E7" w14:textId="77777777" w:rsidR="00CC09AC" w:rsidRPr="00C20855" w:rsidRDefault="00CC09AC" w:rsidP="003B5CF3">
      <w:pPr>
        <w:autoSpaceDE w:val="0"/>
        <w:autoSpaceDN w:val="0"/>
        <w:adjustRightInd w:val="0"/>
        <w:ind w:firstLine="709"/>
        <w:jc w:val="both"/>
        <w:rPr>
          <w:rFonts w:cs="TimesNewRomanPSMT"/>
        </w:rPr>
      </w:pPr>
      <w:r w:rsidRPr="00C20855">
        <w:rPr>
          <w:rFonts w:cs="TimesNewRomanPSMT"/>
        </w:rPr>
        <w:t>През 2022 г. е запазен децентрализираният подход за финансиране на сектор „Образование“ при следване на единни принципи при разходването на средства, независимо от финансиращия орган. Със средствата, предвидени по централния бюджет и бюджета на Министерството на образованието и науката, е осигурено финансирането на основните приоритети и политики в тази област, независимо, че изплащането на средствата е извършено децентрализирано.</w:t>
      </w:r>
    </w:p>
    <w:p w14:paraId="2EF9204C" w14:textId="77777777" w:rsidR="00CC09AC" w:rsidRPr="002813CE" w:rsidRDefault="00CC09AC" w:rsidP="003B5CF3">
      <w:pPr>
        <w:autoSpaceDE w:val="0"/>
        <w:autoSpaceDN w:val="0"/>
        <w:adjustRightInd w:val="0"/>
        <w:ind w:firstLine="709"/>
        <w:jc w:val="both"/>
        <w:rPr>
          <w:rFonts w:cs="TimesNewRomanPSMT"/>
        </w:rPr>
      </w:pPr>
      <w:r w:rsidRPr="00EF24A3">
        <w:rPr>
          <w:rFonts w:cs="TimesNewRomanPSMT"/>
        </w:rPr>
        <w:t xml:space="preserve">По </w:t>
      </w:r>
      <w:r w:rsidRPr="00EF24A3">
        <w:rPr>
          <w:rFonts w:cs="TimesNewRomanPSMT"/>
          <w:b/>
        </w:rPr>
        <w:t>държавния бюджет</w:t>
      </w:r>
      <w:r w:rsidRPr="00EF24A3">
        <w:rPr>
          <w:rFonts w:cs="TimesNewRomanPSMT"/>
        </w:rPr>
        <w:t xml:space="preserve"> отчетените разходи във функция „Образование“ са в размер </w:t>
      </w:r>
      <w:r w:rsidRPr="003F3312">
        <w:rPr>
          <w:rFonts w:cs="TimesNewRomanPSMT"/>
        </w:rPr>
        <w:t xml:space="preserve">на 785,0 млн. лв. или 51,3 % спрямо утвърдените със ЗДБРБ за 2022 г. Останалата част от планираните разходи за образование е отчетена и през 2022 г. като предоставени трансфери по други бюджети, които не са част от държавния бюджет, но са включени в КФП. </w:t>
      </w:r>
      <w:r w:rsidRPr="005B2142">
        <w:rPr>
          <w:rFonts w:cs="TimesNewRomanPSMT"/>
        </w:rPr>
        <w:t>Отчетените текущи разходи са в размер на 671,5 млн. лв., като от тях с най-голям относителен дял (77,7 %) са разходите за персонал</w:t>
      </w:r>
      <w:r w:rsidRPr="005B2142">
        <w:rPr>
          <w:rFonts w:cs="TimesNewRomanPSMT"/>
          <w:color w:val="0070C0"/>
        </w:rPr>
        <w:t>.</w:t>
      </w:r>
      <w:r w:rsidRPr="007B48E9">
        <w:rPr>
          <w:rFonts w:cs="TimesNewRomanPSMT"/>
          <w:color w:val="0070C0"/>
        </w:rPr>
        <w:t xml:space="preserve"> </w:t>
      </w:r>
      <w:r w:rsidRPr="002813CE">
        <w:rPr>
          <w:rFonts w:cs="TimesNewRomanPSMT"/>
        </w:rPr>
        <w:t xml:space="preserve">Отчетените капиталови разходи са в размер на 98,0 млн. лв. Предоставените текущи трансфери за чужбина са в размер на </w:t>
      </w:r>
      <w:r>
        <w:rPr>
          <w:rFonts w:cs="TimesNewRomanPSMT"/>
        </w:rPr>
        <w:t>15,5</w:t>
      </w:r>
      <w:r w:rsidRPr="002813CE">
        <w:rPr>
          <w:rFonts w:cs="TimesNewRomanPSMT"/>
        </w:rPr>
        <w:t> млн. лева.</w:t>
      </w:r>
    </w:p>
    <w:p w14:paraId="2658C386" w14:textId="71DC8F1E" w:rsidR="00CC09AC" w:rsidRPr="00524987" w:rsidRDefault="00CC09AC" w:rsidP="003B5CF3">
      <w:pPr>
        <w:widowControl w:val="0"/>
        <w:tabs>
          <w:tab w:val="left" w:pos="851"/>
        </w:tabs>
        <w:ind w:firstLine="709"/>
        <w:jc w:val="both"/>
        <w:rPr>
          <w:rFonts w:cs="TimesNewRomanPSMT"/>
        </w:rPr>
      </w:pPr>
      <w:r w:rsidRPr="00524987">
        <w:rPr>
          <w:rFonts w:cs="TimesNewRomanPSMT"/>
        </w:rPr>
        <w:t xml:space="preserve">През 2022 г. са разчетени допълнително е </w:t>
      </w:r>
      <w:r w:rsidR="00FC5E6E">
        <w:rPr>
          <w:rFonts w:cs="TimesNewRomanPSMT"/>
        </w:rPr>
        <w:t>239,5</w:t>
      </w:r>
      <w:r w:rsidRPr="00524987">
        <w:rPr>
          <w:rFonts w:cs="TimesNewRomanPSMT"/>
        </w:rPr>
        <w:t xml:space="preserve"> млн. лв. за увеличение от 1 април 2022 г. на доходите на педагогическите специалисти в системата на предучилищното и училищното образование до ниво от 125</w:t>
      </w:r>
      <w:r>
        <w:rPr>
          <w:rFonts w:cs="TimesNewRomanPSMT"/>
        </w:rPr>
        <w:t xml:space="preserve"> </w:t>
      </w:r>
      <w:r w:rsidRPr="00524987">
        <w:rPr>
          <w:rFonts w:cs="TimesNewRomanPSMT"/>
        </w:rPr>
        <w:t xml:space="preserve">% спрямо средната работна заплата за страната, в т.ч. общини, както и 150,0 млн. лв. за увеличаване възнагражденията и за компенсиране на повишените разходи за издръжка и храна на образователните институции в системата на предучилищното и училищното образование и за национални програми за развитие на предучилищното и училищното образование.  </w:t>
      </w:r>
    </w:p>
    <w:p w14:paraId="3651C332" w14:textId="77777777" w:rsidR="00CC09AC" w:rsidRPr="00524987" w:rsidRDefault="00CC09AC" w:rsidP="003B5CF3">
      <w:pPr>
        <w:widowControl w:val="0"/>
        <w:tabs>
          <w:tab w:val="left" w:pos="851"/>
        </w:tabs>
        <w:ind w:firstLine="709"/>
        <w:jc w:val="both"/>
        <w:rPr>
          <w:rFonts w:cs="TimesNewRomanPSMT"/>
        </w:rPr>
      </w:pPr>
      <w:r w:rsidRPr="00524987">
        <w:rPr>
          <w:rFonts w:cs="TimesNewRomanPSMT"/>
        </w:rPr>
        <w:t>Отчетените разходи от ДВУ, в т. ч. Държавните висшите военни училища, за образование с</w:t>
      </w:r>
      <w:r>
        <w:rPr>
          <w:rFonts w:cs="TimesNewRomanPSMT"/>
        </w:rPr>
        <w:t>а в размер на 1 122,9 млн. лв.</w:t>
      </w:r>
    </w:p>
    <w:p w14:paraId="79BA34FF" w14:textId="77777777" w:rsidR="00CC09AC" w:rsidRPr="00524987" w:rsidRDefault="00CC09AC" w:rsidP="003B5CF3">
      <w:pPr>
        <w:widowControl w:val="0"/>
        <w:tabs>
          <w:tab w:val="left" w:pos="851"/>
        </w:tabs>
        <w:ind w:firstLine="709"/>
        <w:jc w:val="both"/>
      </w:pPr>
      <w:r w:rsidRPr="00524987">
        <w:rPr>
          <w:rFonts w:cs="TimesNewRomanPSMT"/>
        </w:rPr>
        <w:t>Отчетените разходи през 2022 г. от МВР по тази функция са размер на 25,9 млн. лв., от които 18,5 млн. лв. разходи за персонал</w:t>
      </w:r>
      <w:r w:rsidRPr="00524987">
        <w:t>.</w:t>
      </w:r>
    </w:p>
    <w:p w14:paraId="779000B0" w14:textId="0C46B6CC" w:rsidR="00CC09AC" w:rsidRPr="00021DA7" w:rsidRDefault="00CC09AC" w:rsidP="00CC09AC">
      <w:pPr>
        <w:pStyle w:val="BodyTextIndent"/>
        <w:widowControl w:val="0"/>
        <w:spacing w:before="120"/>
        <w:ind w:left="0" w:firstLine="709"/>
        <w:jc w:val="both"/>
        <w:rPr>
          <w:lang w:val="bg-BG"/>
        </w:rPr>
      </w:pPr>
      <w:r w:rsidRPr="00021DA7">
        <w:rPr>
          <w:lang w:val="bg-BG"/>
        </w:rPr>
        <w:t xml:space="preserve">Разходите по </w:t>
      </w:r>
      <w:r w:rsidRPr="00021DA7">
        <w:rPr>
          <w:b/>
          <w:lang w:val="bg-BG"/>
        </w:rPr>
        <w:t>общинските бюджети</w:t>
      </w:r>
      <w:r w:rsidRPr="00021DA7">
        <w:rPr>
          <w:lang w:val="bg-BG"/>
        </w:rPr>
        <w:t xml:space="preserve"> за функцията са 4 151,9 млн. лв. или 113,2 % спрямо разчетите към ЗДБРБ за 2022 г. Текущите разходи са в размер </w:t>
      </w:r>
      <w:r w:rsidRPr="001F27C6">
        <w:rPr>
          <w:lang w:val="bg-BG"/>
        </w:rPr>
        <w:t>на 3 949,</w:t>
      </w:r>
      <w:r w:rsidR="001F27C6" w:rsidRPr="001F27C6">
        <w:rPr>
          <w:lang w:val="bg-BG"/>
        </w:rPr>
        <w:t>6</w:t>
      </w:r>
      <w:r w:rsidRPr="001F27C6">
        <w:rPr>
          <w:lang w:val="bg-BG"/>
        </w:rPr>
        <w:t xml:space="preserve"> млн. лв., а</w:t>
      </w:r>
      <w:r w:rsidRPr="00021DA7">
        <w:rPr>
          <w:lang w:val="bg-BG"/>
        </w:rPr>
        <w:t xml:space="preserve"> капиталовите – 202,</w:t>
      </w:r>
      <w:r w:rsidR="001F27C6">
        <w:rPr>
          <w:lang w:val="bg-BG"/>
        </w:rPr>
        <w:t>3</w:t>
      </w:r>
      <w:r w:rsidRPr="00021DA7">
        <w:rPr>
          <w:lang w:val="bg-BG"/>
        </w:rPr>
        <w:t xml:space="preserve"> млн. лева.</w:t>
      </w:r>
    </w:p>
    <w:p w14:paraId="6A77490F" w14:textId="69581F07" w:rsidR="00CC09AC" w:rsidRPr="004D5FFC" w:rsidRDefault="00CC09AC" w:rsidP="003B5CF3">
      <w:pPr>
        <w:pStyle w:val="BodyTextIndent"/>
        <w:spacing w:after="0"/>
        <w:ind w:left="0" w:firstLine="709"/>
        <w:jc w:val="both"/>
        <w:rPr>
          <w:lang w:val="ru-RU"/>
        </w:rPr>
      </w:pPr>
      <w:r w:rsidRPr="00D81557">
        <w:rPr>
          <w:lang w:val="ru-RU"/>
        </w:rPr>
        <w:t xml:space="preserve">За </w:t>
      </w:r>
      <w:r w:rsidRPr="00D81557">
        <w:rPr>
          <w:i/>
          <w:lang w:val="ru-RU"/>
        </w:rPr>
        <w:t>делегираните от държавата дейности</w:t>
      </w:r>
      <w:r w:rsidRPr="00D81557">
        <w:rPr>
          <w:lang w:val="ru-RU"/>
        </w:rPr>
        <w:t xml:space="preserve"> извършените текущи разходи са в размер на </w:t>
      </w:r>
      <w:r w:rsidR="00E14E5D" w:rsidRPr="00D81557">
        <w:rPr>
          <w:lang w:val="ru-RU"/>
        </w:rPr>
        <w:t>3 827,0 млн. лв. или със 376,4 млн. лв.</w:t>
      </w:r>
      <w:r w:rsidRPr="00D81557">
        <w:rPr>
          <w:lang w:val="ru-RU"/>
        </w:rPr>
        <w:t xml:space="preserve"> повече от планираните. Превишението спрямо закона се дължи на финансирането по национални програми „Оптимизиране</w:t>
      </w:r>
      <w:r w:rsidRPr="004D5FFC">
        <w:rPr>
          <w:lang w:val="ru-RU"/>
        </w:rPr>
        <w:t xml:space="preserve"> на вътрешната структура на персонала“, „Осигуряване на съвременна, сигурна и достъпна образователна среда”, „Без свободен час”, „Информационни и комуникационни технологии (ИКТ) в системата на предучилищното и училищното образование”, „Отново заедно“, „Заедно в изкуствата и в спорта“ и други национални програми за развитие на образованието. Училищата и детските градини получават допълнителни средства за компенсиране транспортните разходи на педагогическия персонал, за работа с деца от уязвими групи, за стипендии на деца с изявени дарби, за диференцирано заплащане на труда на директорите, за безплатен транспорт на ученици до 16 г. възраст, за закупуване на познавателни книжки, учебници, достъп до електронно четими учебници, учебни комплекти и учебни помагала, за изплащане на стипендии за постигнати образователни резултати, както и средства за издръжка на паралелки за придобиване на квалификация по защитени специалности от професии и по специалности от професии, за които е налице очакван недостиг от специалисти на пазара на труда. През 2022 г. по бюджетите на общините са предоставени допълнително средства за увеличаване на възнагражденията и за компенсиране на повишените разходи за издръжка и храна на образователните институции в системата на предучилищното и училищното образование във връзка с приетите промени със ЗИД на ЗДБРБ за 2022 г.</w:t>
      </w:r>
    </w:p>
    <w:p w14:paraId="7D3ABEA7" w14:textId="1541D21E" w:rsidR="00CC09AC" w:rsidRPr="004D5FFC" w:rsidRDefault="00556B5A" w:rsidP="003B5CF3">
      <w:pPr>
        <w:pStyle w:val="BodyTextIndent"/>
        <w:spacing w:after="0"/>
        <w:ind w:left="0" w:firstLine="709"/>
        <w:jc w:val="both"/>
        <w:rPr>
          <w:lang w:val="ru-RU"/>
        </w:rPr>
      </w:pPr>
      <w:r w:rsidRPr="00556B5A">
        <w:rPr>
          <w:lang w:val="ru-RU"/>
        </w:rPr>
        <w:t>В делегираните от държавата дейности се отчитат разходите за персонала в училищата, детските градини, центровете за подкрепа за личностно развитие и центрове за специална образователна подкрепа, издръжката на децата в детските градини и на учениците в общинските училища, центрове за специална образователна подкрепа и на общежитията, разходи за ресурсно подпомагане и създаване на условия за приобщаващо образование, средства за дейности за развитие на интересите, способностите, компетентностите и изявата в областта на науките, технологиите, изкуствата и спорта на децата и учениците, както и други дейности по образованието</w:t>
      </w:r>
      <w:r w:rsidR="00CC09AC" w:rsidRPr="004D5FFC">
        <w:rPr>
          <w:lang w:val="ru-RU"/>
        </w:rPr>
        <w:t>.</w:t>
      </w:r>
    </w:p>
    <w:p w14:paraId="51B116AF" w14:textId="3239C19D" w:rsidR="00CC09AC" w:rsidRPr="004D5FFC" w:rsidRDefault="00CC09AC" w:rsidP="003B5CF3">
      <w:pPr>
        <w:pStyle w:val="BodyTextIndent"/>
        <w:spacing w:after="0"/>
        <w:ind w:left="0" w:firstLine="709"/>
        <w:jc w:val="both"/>
        <w:rPr>
          <w:lang w:val="ru-RU"/>
        </w:rPr>
      </w:pPr>
      <w:r w:rsidRPr="004D5FFC">
        <w:rPr>
          <w:lang w:val="ru-RU"/>
        </w:rPr>
        <w:t xml:space="preserve">По данни от отчета за 2022 г. общините са дофинансирали държавните дейности със собствени приходи общо в размер на </w:t>
      </w:r>
      <w:r w:rsidRPr="001C0D10">
        <w:rPr>
          <w:lang w:val="ru-RU"/>
        </w:rPr>
        <w:t>92,8</w:t>
      </w:r>
      <w:r w:rsidRPr="004D5FFC">
        <w:rPr>
          <w:lang w:val="ru-RU"/>
        </w:rPr>
        <w:t xml:space="preserve"> млн. лв</w:t>
      </w:r>
      <w:r w:rsidR="009E33C7">
        <w:rPr>
          <w:lang w:val="bg-BG"/>
        </w:rPr>
        <w:t>.</w:t>
      </w:r>
      <w:r w:rsidR="009E33C7">
        <w:rPr>
          <w:lang w:val="ru-RU"/>
        </w:rPr>
        <w:t>, в т.ч. 26,0 млн. лв. за текущи разходи и 66,8 млн. лв. за капиталови разходи</w:t>
      </w:r>
      <w:r w:rsidR="009E33C7" w:rsidRPr="004D5FFC">
        <w:rPr>
          <w:lang w:val="ru-RU"/>
        </w:rPr>
        <w:t xml:space="preserve">. </w:t>
      </w:r>
      <w:r w:rsidRPr="004D5FFC">
        <w:rPr>
          <w:lang w:val="ru-RU"/>
        </w:rPr>
        <w:t xml:space="preserve"> </w:t>
      </w:r>
    </w:p>
    <w:p w14:paraId="11C027E5" w14:textId="77777777" w:rsidR="00CC09AC" w:rsidRPr="004D5FFC" w:rsidRDefault="00CC09AC" w:rsidP="003B5CF3">
      <w:pPr>
        <w:pStyle w:val="BodyTextIndent"/>
        <w:spacing w:after="0"/>
        <w:ind w:left="0" w:firstLine="709"/>
        <w:jc w:val="both"/>
        <w:rPr>
          <w:lang w:val="ru-RU"/>
        </w:rPr>
      </w:pPr>
      <w:r w:rsidRPr="00D81557">
        <w:rPr>
          <w:lang w:val="ru-RU"/>
        </w:rPr>
        <w:t>За капиталови разходи в делегираните от държавата дейности са отчетени 88,2 млн. лв. или с 19,7 млн. лв. повече спрямо предвидените по закон. През 2022</w:t>
      </w:r>
      <w:r w:rsidRPr="004D5FFC">
        <w:rPr>
          <w:lang w:val="ru-RU"/>
        </w:rPr>
        <w:t xml:space="preserve"> г. по бюджетите на общините са предоставени допълнителни трансфери в размер на 33,1 млн. лв. за финансово осигуряване на дейности по Програмата за изграждане, пристрояване, надстрояване и реконструкция на детски ясли, детски градини и училища 2020-2022 г.</w:t>
      </w:r>
    </w:p>
    <w:p w14:paraId="13C73A63" w14:textId="7149E7CA" w:rsidR="00CC09AC" w:rsidRPr="004D5FFC" w:rsidRDefault="002B7BD7" w:rsidP="003B5CF3">
      <w:pPr>
        <w:pStyle w:val="BodyTextIndent"/>
        <w:spacing w:after="0"/>
        <w:ind w:left="0" w:firstLine="709"/>
        <w:jc w:val="both"/>
        <w:rPr>
          <w:lang w:val="ru-RU"/>
        </w:rPr>
      </w:pPr>
      <w:r w:rsidRPr="00D81557">
        <w:rPr>
          <w:lang w:val="ru-RU"/>
        </w:rPr>
        <w:t xml:space="preserve">В </w:t>
      </w:r>
      <w:r w:rsidRPr="00D81557">
        <w:rPr>
          <w:i/>
          <w:lang w:val="ru-RU"/>
        </w:rPr>
        <w:t>местните дейности</w:t>
      </w:r>
      <w:r w:rsidRPr="00D81557">
        <w:rPr>
          <w:lang w:val="ru-RU"/>
        </w:rPr>
        <w:t xml:space="preserve"> по функция „Образование” отчетените </w:t>
      </w:r>
      <w:r w:rsidRPr="00D81557">
        <w:rPr>
          <w:i/>
          <w:lang w:val="ru-RU"/>
        </w:rPr>
        <w:t>текущи разходи</w:t>
      </w:r>
      <w:r w:rsidRPr="00D81557">
        <w:rPr>
          <w:lang w:val="ru-RU"/>
        </w:rPr>
        <w:t xml:space="preserve"> са в размер на 96,6 млн. лв., което е с 15,4 млн. лв. повече от разчетените по закон и с 66,2 млн. лв. по-малко спрямо отчетените за 2021 г. </w:t>
      </w:r>
      <w:r w:rsidR="00CC09AC" w:rsidRPr="00D81557">
        <w:rPr>
          <w:lang w:val="ru-RU"/>
        </w:rPr>
        <w:t>Тук се включват разходите на столовете в училищата, разходите за персонал и текуща</w:t>
      </w:r>
      <w:r w:rsidR="00CC09AC" w:rsidRPr="004D5FFC">
        <w:rPr>
          <w:lang w:val="ru-RU"/>
        </w:rPr>
        <w:t xml:space="preserve"> издръжка на центрове за подкрепа за личностно развитие и други дейности по образованието, финансирани от собствените приходи на общините. Основен фактор за намалението на разходите спрямо отчетените за предходната година е въвеждането на безплатни детски градини и поемането на издръжката им като държавна отговорност, считано от 1 април 2022 г.</w:t>
      </w:r>
    </w:p>
    <w:p w14:paraId="5D17924C" w14:textId="77777777" w:rsidR="00CC09AC" w:rsidRPr="00D3563D" w:rsidRDefault="00CC09AC" w:rsidP="003B5CF3">
      <w:pPr>
        <w:pStyle w:val="BodyTextIndent"/>
        <w:widowControl w:val="0"/>
        <w:spacing w:after="0"/>
        <w:ind w:left="0" w:firstLine="709"/>
        <w:jc w:val="both"/>
        <w:rPr>
          <w:lang w:val="ru-RU"/>
        </w:rPr>
      </w:pPr>
      <w:r w:rsidRPr="00D81557">
        <w:rPr>
          <w:lang w:val="bg-BG"/>
        </w:rPr>
        <w:t xml:space="preserve">Отчетените </w:t>
      </w:r>
      <w:r w:rsidRPr="00D81557">
        <w:rPr>
          <w:i/>
          <w:lang w:val="bg-BG"/>
        </w:rPr>
        <w:t xml:space="preserve">капиталови разходи </w:t>
      </w:r>
      <w:r w:rsidRPr="00D81557">
        <w:rPr>
          <w:lang w:val="bg-BG"/>
        </w:rPr>
        <w:t>за местни дейности са 47,3 млн. лв. или с 20,2 млн. лв. по-малко от предвидените по закон.</w:t>
      </w:r>
    </w:p>
    <w:p w14:paraId="6C545F7F" w14:textId="77777777" w:rsidR="00CC09AC" w:rsidRPr="00AC33B0" w:rsidRDefault="00CC09AC" w:rsidP="00CC09AC">
      <w:pPr>
        <w:pStyle w:val="BodyTextIndent2"/>
        <w:spacing w:before="120" w:line="240" w:lineRule="auto"/>
        <w:ind w:left="0" w:firstLine="709"/>
        <w:jc w:val="both"/>
      </w:pPr>
      <w:r w:rsidRPr="00AC33B0">
        <w:rPr>
          <w:b/>
        </w:rPr>
        <w:t>Европейски средства</w:t>
      </w:r>
      <w:r w:rsidRPr="00AC33B0">
        <w:t xml:space="preserve"> – изразходваните средства във функция „Образование“ за 202</w:t>
      </w:r>
      <w:r>
        <w:t>2</w:t>
      </w:r>
      <w:r w:rsidRPr="00AC33B0">
        <w:t xml:space="preserve"> г. са в размер на </w:t>
      </w:r>
      <w:r>
        <w:t>305,8</w:t>
      </w:r>
      <w:r w:rsidRPr="00AC33B0">
        <w:t xml:space="preserve"> млн. лв., основно по следните оперативни и др. програми:</w:t>
      </w:r>
    </w:p>
    <w:p w14:paraId="7BE08EEF" w14:textId="42BE3DCC" w:rsidR="00CC09AC" w:rsidRDefault="00CC09AC" w:rsidP="003B5CF3">
      <w:pPr>
        <w:autoSpaceDE w:val="0"/>
        <w:autoSpaceDN w:val="0"/>
        <w:adjustRightInd w:val="0"/>
        <w:ind w:firstLine="709"/>
        <w:jc w:val="both"/>
      </w:pPr>
      <w:r w:rsidRPr="00656E5B">
        <w:rPr>
          <w:b/>
          <w:i/>
        </w:rPr>
        <w:t xml:space="preserve">Оперативна програма „Наука и образование за интелигентен растеж” – </w:t>
      </w:r>
      <w:r w:rsidRPr="00656E5B">
        <w:t xml:space="preserve">изразходваните средства </w:t>
      </w:r>
      <w:r w:rsidRPr="00656E5B">
        <w:rPr>
          <w:lang w:eastAsia="en-US"/>
        </w:rPr>
        <w:t>по програмата за функция „Образование” за годината са в размер на 133,</w:t>
      </w:r>
      <w:r>
        <w:rPr>
          <w:lang w:eastAsia="en-US"/>
        </w:rPr>
        <w:t>9</w:t>
      </w:r>
      <w:r w:rsidRPr="00656E5B">
        <w:rPr>
          <w:lang w:eastAsia="en-US"/>
        </w:rPr>
        <w:t xml:space="preserve"> млн. лв. </w:t>
      </w:r>
      <w:r w:rsidRPr="004D5FFC">
        <w:rPr>
          <w:lang w:val="ru-RU" w:eastAsia="en-US"/>
        </w:rPr>
        <w:t>(</w:t>
      </w:r>
      <w:r>
        <w:rPr>
          <w:lang w:eastAsia="en-US"/>
        </w:rPr>
        <w:t>от тези средства</w:t>
      </w:r>
      <w:r w:rsidRPr="004D5FFC">
        <w:rPr>
          <w:lang w:val="ru-RU" w:eastAsia="en-US"/>
        </w:rPr>
        <w:t xml:space="preserve"> 0,3 млн. лв. </w:t>
      </w:r>
      <w:r>
        <w:rPr>
          <w:lang w:eastAsia="en-US"/>
        </w:rPr>
        <w:t xml:space="preserve">са отчетени </w:t>
      </w:r>
      <w:r w:rsidRPr="004D5FFC">
        <w:rPr>
          <w:lang w:val="ru-RU" w:eastAsia="en-US"/>
        </w:rPr>
        <w:t>по програма „Образование“ - период 2021-2027 г.)</w:t>
      </w:r>
      <w:r>
        <w:rPr>
          <w:lang w:eastAsia="en-US"/>
        </w:rPr>
        <w:t>.</w:t>
      </w:r>
      <w:r w:rsidRPr="004D5FFC">
        <w:rPr>
          <w:lang w:val="ru-RU" w:eastAsia="en-US"/>
        </w:rPr>
        <w:t xml:space="preserve"> </w:t>
      </w:r>
      <w:r w:rsidRPr="00656E5B">
        <w:rPr>
          <w:lang w:eastAsia="en-US"/>
        </w:rPr>
        <w:t>Основните цели на програмата са свързани с осигуряване на достъп до качествено образование и изграждане на научен, изследователски и иновационен потенциал в Република България.</w:t>
      </w:r>
      <w:r w:rsidRPr="00656E5B">
        <w:t xml:space="preserve"> Дейностите по програмата са свързани и с </w:t>
      </w:r>
      <w:r w:rsidRPr="00656E5B">
        <w:rPr>
          <w:lang w:eastAsia="en-US"/>
        </w:rPr>
        <w:t xml:space="preserve">продължаване на реформата във висшето образование, по-специално като се подобри съответствието между резултатите от него и нуждите на пазара на труда и като се засили сътрудничеството между институциите, ангажирани в сферата на образованието, научно-изследователските институти и предприятията. Усилията по </w:t>
      </w:r>
      <w:r w:rsidRPr="00656E5B">
        <w:t xml:space="preserve">Оперативна програма „Наука и образование за интелигентен растеж” </w:t>
      </w:r>
      <w:r w:rsidRPr="00656E5B">
        <w:rPr>
          <w:lang w:eastAsia="en-US"/>
        </w:rPr>
        <w:t xml:space="preserve">са насочени към системна подкрепа на пазарно-ориентирани научноизследователски и развойни дейности, за да се подобри конкурентоспособността на българската научноизследователска система и на икономиката като цяло. В </w:t>
      </w:r>
      <w:r w:rsidRPr="00656E5B">
        <w:rPr>
          <w:rFonts w:eastAsia="TimesNewRomanPSMT"/>
        </w:rPr>
        <w:t xml:space="preserve">системата на </w:t>
      </w:r>
      <w:r w:rsidRPr="00656E5B">
        <w:rPr>
          <w:lang w:eastAsia="en-US"/>
        </w:rPr>
        <w:t xml:space="preserve">висшето образование дейностите по програмата са свързани с: нуждите от преструктуриране на системата; </w:t>
      </w:r>
      <w:r w:rsidRPr="00656E5B">
        <w:rPr>
          <w:rFonts w:eastAsia="TimesNewRomanPSMT"/>
          <w:bCs/>
        </w:rPr>
        <w:t>потребностите, свързани със съдържанието на образователния продукт;</w:t>
      </w:r>
      <w:r w:rsidRPr="00656E5B">
        <w:rPr>
          <w:lang w:eastAsia="en-US"/>
        </w:rPr>
        <w:t xml:space="preserve"> </w:t>
      </w:r>
      <w:r w:rsidRPr="00656E5B">
        <w:rPr>
          <w:rFonts w:eastAsia="TimesNewRomanPSMT"/>
          <w:bCs/>
        </w:rPr>
        <w:t xml:space="preserve">потребностите, свързани с доставчиците на образователната услуга; потребността от разширяване на обхвата на образователната услуга. Тези дейности ще допринесат за развитието на човешките ресурси в областта на изследванията и иновациите, и по този начин ще подпомогнат икономиката на знанието, най-вече чрез дейностите, свързани с развитието на изследователите, качеството на висшето образование и ученето през целия живот. </w:t>
      </w:r>
      <w:r w:rsidRPr="00656E5B">
        <w:rPr>
          <w:lang w:eastAsia="en-US"/>
        </w:rPr>
        <w:t xml:space="preserve">Основните операции с най-голям бюджет по тази програма са следните: </w:t>
      </w:r>
      <w:r w:rsidRPr="00656E5B">
        <w:t>"Изграждане и развитие на центрове за върхови постижения", "Изграждане и развитие на центрове за компетентност" и "Допълваща подкрепа за научни организации с одобрени проекти по Рамкова Програма ХОРИЗОНТ 2020, конкурс WIDESPREAD-TEAMING, Фаза 2" на обща стойност 430,3 млн. лв. Това са дългосрочни проекти, чиято цел е да доведат до промяна в материалната база (научната инфраструктура) за научни изследвания, особено във важни за икономиката области.</w:t>
      </w:r>
      <w:r w:rsidRPr="00656E5B" w:rsidDel="004C6BA3">
        <w:rPr>
          <w:lang w:eastAsia="en-US"/>
        </w:rPr>
        <w:t xml:space="preserve"> </w:t>
      </w:r>
      <w:r w:rsidRPr="003D24D9">
        <w:rPr>
          <w:lang w:eastAsia="en-US"/>
        </w:rPr>
        <w:t xml:space="preserve">В тази връзка трябва да се отбележи и процедурата </w:t>
      </w:r>
      <w:r w:rsidRPr="003D24D9">
        <w:t>по Специфична цел 1 "Подкрепа за училищното образование за преодоляването на последиците, предизвикани от пандемията от COVID-19" на ПО5 с период на изпълнение 35 месеца (12.02.2021 – 31.12.2023 г.), с общ размер на БФП: 109,6 млн. лв. със 100 % финансиране от ЕСФ. Проектът цели да не се допусне прекъсване на образователния процес и приобщаващото образование в условията на кризи, и да се противодейства на риска от отпадане в ситуация на обучение от разстояние. Дейностите са пряко свързани с преодоляване на последиците, предизвикани от пандемията от COVID-19.</w:t>
      </w:r>
    </w:p>
    <w:p w14:paraId="1755A450" w14:textId="185D8E9E" w:rsidR="00BF5C54" w:rsidRPr="00656E5B" w:rsidRDefault="00BF5C54" w:rsidP="003B5CF3">
      <w:pPr>
        <w:autoSpaceDE w:val="0"/>
        <w:autoSpaceDN w:val="0"/>
        <w:adjustRightInd w:val="0"/>
        <w:ind w:firstLine="709"/>
        <w:jc w:val="both"/>
      </w:pPr>
      <w:r w:rsidRPr="00BF5C54">
        <w:t>През 2022 г. УО е одобрил и изплатил на бенефициентите средства в размер на 167</w:t>
      </w:r>
      <w:r>
        <w:t>,</w:t>
      </w:r>
      <w:r w:rsidRPr="00BF5C54">
        <w:t>1</w:t>
      </w:r>
      <w:r w:rsidR="00270617">
        <w:rPr>
          <w:lang w:val="en-US"/>
        </w:rPr>
        <w:t> </w:t>
      </w:r>
      <w:r w:rsidRPr="00BF5C54">
        <w:t>млн. лв. Общата стойност на платените средства от началото на програмния период е 1</w:t>
      </w:r>
      <w:r>
        <w:t> </w:t>
      </w:r>
      <w:r w:rsidRPr="00BF5C54">
        <w:t>108</w:t>
      </w:r>
      <w:r>
        <w:t>,</w:t>
      </w:r>
      <w:r w:rsidRPr="00BF5C54">
        <w:t>1 млн. лв. (82 % от целия бюджет на ОП). Договорените средства са 1</w:t>
      </w:r>
      <w:r>
        <w:t> </w:t>
      </w:r>
      <w:r w:rsidRPr="00BF5C54">
        <w:t>206</w:t>
      </w:r>
      <w:r>
        <w:t>,</w:t>
      </w:r>
      <w:r w:rsidRPr="00BF5C54">
        <w:t>1 млн. лева (103</w:t>
      </w:r>
      <w:r>
        <w:t>,</w:t>
      </w:r>
      <w:r w:rsidRPr="00BF5C54">
        <w:t>7</w:t>
      </w:r>
      <w:r>
        <w:t> </w:t>
      </w:r>
      <w:r w:rsidRPr="00BF5C54">
        <w:t>% от бюджета на ОП), а сертифицираните следства са в размер на 914</w:t>
      </w:r>
      <w:r>
        <w:t>,</w:t>
      </w:r>
      <w:r w:rsidRPr="00BF5C54">
        <w:t>8 млн. лева или 69</w:t>
      </w:r>
      <w:r>
        <w:t xml:space="preserve"> </w:t>
      </w:r>
      <w:r w:rsidRPr="00BF5C54">
        <w:t>% от бюджета на ОП.</w:t>
      </w:r>
    </w:p>
    <w:p w14:paraId="3620E9E1" w14:textId="3B4E16A9" w:rsidR="00CC09AC" w:rsidRPr="00586E88" w:rsidRDefault="00CC09AC" w:rsidP="003B5CF3">
      <w:pPr>
        <w:autoSpaceDE w:val="0"/>
        <w:autoSpaceDN w:val="0"/>
        <w:adjustRightInd w:val="0"/>
        <w:ind w:firstLine="709"/>
        <w:jc w:val="both"/>
      </w:pPr>
      <w:r w:rsidRPr="002E44C0">
        <w:rPr>
          <w:b/>
          <w:i/>
        </w:rPr>
        <w:t xml:space="preserve">Оперативна програма „Региони в растеж” – </w:t>
      </w:r>
      <w:r w:rsidRPr="002E44C0">
        <w:t>изразходваните</w:t>
      </w:r>
      <w:r w:rsidRPr="002E44C0">
        <w:rPr>
          <w:b/>
          <w:i/>
        </w:rPr>
        <w:t xml:space="preserve"> </w:t>
      </w:r>
      <w:r w:rsidRPr="002E44C0">
        <w:t>средства по програмата,</w:t>
      </w:r>
      <w:r w:rsidRPr="002E44C0">
        <w:rPr>
          <w:i/>
        </w:rPr>
        <w:t xml:space="preserve"> </w:t>
      </w:r>
      <w:r w:rsidRPr="002E44C0">
        <w:t xml:space="preserve">за функция „Образование” за 2022 г., са в размер на 12,5 млн. лв. </w:t>
      </w:r>
      <w:r w:rsidRPr="004D5FFC">
        <w:rPr>
          <w:lang w:val="ru-RU"/>
        </w:rPr>
        <w:t>(</w:t>
      </w:r>
      <w:r>
        <w:t>в т. ч. 1,1 млн. лв. са средствата от програмен период 2007-2013 г.</w:t>
      </w:r>
      <w:r w:rsidRPr="004D5FFC">
        <w:rPr>
          <w:lang w:val="ru-RU"/>
        </w:rPr>
        <w:t>)</w:t>
      </w:r>
      <w:r>
        <w:t xml:space="preserve">. </w:t>
      </w:r>
      <w:r w:rsidRPr="002E44C0">
        <w:t xml:space="preserve">Един от основните приоритети на програмата в това функционално направление е свързан с </w:t>
      </w:r>
      <w:r w:rsidRPr="002E44C0">
        <w:rPr>
          <w:rFonts w:eastAsiaTheme="minorHAnsi"/>
          <w:bCs/>
          <w:lang w:eastAsia="en-US"/>
        </w:rPr>
        <w:t>регионалната образователна инфраструктура</w:t>
      </w:r>
      <w:r w:rsidRPr="002E44C0">
        <w:t>. Този приоритет е насочен към образователната инфраструктура от по-голямо териториално значение, която обслужва хора от различни общини предвид специфичния профил, свързан със специфични национални или регионални, социални или икономически потребности. В тази образователна инфраструктура влизат професионалните, специализираните, помощните, спортните училища, школите за култура и изкуства, както и висшите училища. Основните дейности по Оперативна програма „Региони в растеж” са свързани с п</w:t>
      </w:r>
      <w:r w:rsidRPr="002E44C0">
        <w:rPr>
          <w:szCs w:val="18"/>
        </w:rPr>
        <w:t xml:space="preserve">одобряване на условията за модерни образователни услуги. </w:t>
      </w:r>
      <w:r w:rsidRPr="002E44C0">
        <w:t xml:space="preserve">Тези дейности включват изграждане, реконструкция и обновяване на общински учебни заведения, като детски ясли и градини, общообразователни и специализирани училища (класни стаи, </w:t>
      </w:r>
      <w:r w:rsidRPr="00FF16D1">
        <w:t xml:space="preserve">библиотеки, учебни лаборатории, спортни съоръжения, училищни общежития, връзка с интернет), както и подобряване на достъпа на лицата с увреждания до упоменатите по-горе сгради. </w:t>
      </w:r>
      <w:r w:rsidRPr="001B1DDD">
        <w:rPr>
          <w:szCs w:val="18"/>
        </w:rPr>
        <w:t xml:space="preserve">Оперативната програма е насочена към </w:t>
      </w:r>
      <w:r w:rsidRPr="001B1DDD">
        <w:t xml:space="preserve">модернизирането на образователната инфраструктура от местно значение, което ще позволи предоставянето на съвременни условия и модерни </w:t>
      </w:r>
      <w:r w:rsidRPr="00FF16D1">
        <w:t xml:space="preserve">методи за обучение, ще подобри качеството на образованието и ще намали процента на преждевременно напусналите и отпадащите от училище. С планираните инвестиции се цели подобряване на достъпа до качествено и </w:t>
      </w:r>
      <w:r w:rsidRPr="00586E88">
        <w:t xml:space="preserve">приобщаващо предучилищно и </w:t>
      </w:r>
      <w:r w:rsidRPr="00DE6F89">
        <w:t>училищно образование за децата в неравностойно положение, в частност ромите. По приоритетна ос 3 „Регионална образователна инфраструктура” на Оперативна програма „Региони в растеж” са сключени 6</w:t>
      </w:r>
      <w:r w:rsidR="00FF16D1" w:rsidRPr="00DE6F89">
        <w:t>7</w:t>
      </w:r>
      <w:r w:rsidRPr="00DE6F89">
        <w:t xml:space="preserve"> договора за БФП </w:t>
      </w:r>
      <w:r w:rsidR="00330586" w:rsidRPr="00DE6F89">
        <w:t xml:space="preserve">на </w:t>
      </w:r>
      <w:r w:rsidRPr="00DE6F89">
        <w:t>обща стойност 21</w:t>
      </w:r>
      <w:r w:rsidR="00FF16D1" w:rsidRPr="00DE6F89">
        <w:t>5,0</w:t>
      </w:r>
      <w:r w:rsidRPr="00DE6F89">
        <w:t xml:space="preserve"> млн. лв. безвъзмездна финансова помощ, което представлява 9</w:t>
      </w:r>
      <w:r w:rsidR="00FF16D1" w:rsidRPr="00DE6F89">
        <w:t>3,7 </w:t>
      </w:r>
      <w:r w:rsidRPr="00DE6F89">
        <w:t>% от бюджета на тази приоритетна ос.</w:t>
      </w:r>
    </w:p>
    <w:p w14:paraId="27B93FDF" w14:textId="77777777" w:rsidR="00CC09AC" w:rsidRPr="00586E88" w:rsidRDefault="00CC09AC" w:rsidP="003B5CF3">
      <w:pPr>
        <w:pStyle w:val="BodyTextIndent2"/>
        <w:spacing w:after="0" w:line="240" w:lineRule="auto"/>
        <w:ind w:left="0" w:firstLine="709"/>
        <w:jc w:val="both"/>
      </w:pPr>
      <w:r w:rsidRPr="00586E88">
        <w:rPr>
          <w:b/>
          <w:i/>
        </w:rPr>
        <w:t>Разходи по др. програми и проекти, финансирани от фондове и институции на ЕС</w:t>
      </w:r>
      <w:r w:rsidRPr="00586E88">
        <w:t xml:space="preserve">  - 128,0 млн. лв. </w:t>
      </w:r>
    </w:p>
    <w:p w14:paraId="08D40D68" w14:textId="77777777" w:rsidR="00CC09AC" w:rsidRPr="009F34F0" w:rsidRDefault="00CC09AC" w:rsidP="003B5CF3">
      <w:pPr>
        <w:pStyle w:val="BodyTextIndent2"/>
        <w:spacing w:after="0" w:line="240" w:lineRule="auto"/>
        <w:ind w:left="0" w:firstLine="709"/>
        <w:jc w:val="both"/>
      </w:pPr>
      <w:r w:rsidRPr="00586E88">
        <w:rPr>
          <w:b/>
          <w:i/>
        </w:rPr>
        <w:t>Европейски средства, отпуснати от ДФЗ-РА</w:t>
      </w:r>
      <w:r w:rsidRPr="00586E88">
        <w:t xml:space="preserve"> – 22,4 млн. лв., като това са средства основно за общините (в качеството им на бенефициенти).</w:t>
      </w:r>
    </w:p>
    <w:p w14:paraId="4A12F585" w14:textId="77777777" w:rsidR="00CC09AC" w:rsidRPr="0099764D" w:rsidRDefault="00CC09AC" w:rsidP="00CC09AC">
      <w:pPr>
        <w:pStyle w:val="Heading3"/>
        <w:numPr>
          <w:ilvl w:val="2"/>
          <w:numId w:val="8"/>
        </w:numPr>
        <w:jc w:val="both"/>
        <w:rPr>
          <w:rFonts w:ascii="Times New Roman" w:hAnsi="Times New Roman"/>
          <w:sz w:val="24"/>
          <w:lang w:val="bg-BG"/>
        </w:rPr>
      </w:pPr>
      <w:bookmarkStart w:id="323" w:name="_Toc326315917"/>
      <w:bookmarkStart w:id="324" w:name="_Toc324863425"/>
      <w:bookmarkStart w:id="325" w:name="_Toc261276589"/>
      <w:bookmarkStart w:id="326" w:name="_Toc483234289"/>
      <w:bookmarkStart w:id="327" w:name="_Toc494102643"/>
      <w:bookmarkStart w:id="328" w:name="_Toc525125601"/>
      <w:bookmarkStart w:id="329" w:name="_Toc18316957"/>
      <w:bookmarkStart w:id="330" w:name="_Toc136361872"/>
      <w:bookmarkStart w:id="331" w:name="_Toc146037912"/>
      <w:r w:rsidRPr="0099764D">
        <w:rPr>
          <w:rFonts w:ascii="Times New Roman" w:hAnsi="Times New Roman"/>
          <w:sz w:val="24"/>
          <w:lang w:val="bg-BG"/>
        </w:rPr>
        <w:t>Здравеопазване</w:t>
      </w:r>
      <w:bookmarkEnd w:id="323"/>
      <w:bookmarkEnd w:id="324"/>
      <w:bookmarkEnd w:id="325"/>
      <w:bookmarkEnd w:id="326"/>
      <w:bookmarkEnd w:id="327"/>
      <w:bookmarkEnd w:id="328"/>
      <w:bookmarkEnd w:id="329"/>
      <w:bookmarkEnd w:id="330"/>
      <w:bookmarkEnd w:id="331"/>
    </w:p>
    <w:p w14:paraId="5461C5A2" w14:textId="0F71A710" w:rsidR="00CC09AC" w:rsidRPr="007B48E9" w:rsidRDefault="00CC09AC" w:rsidP="00CC09AC">
      <w:pPr>
        <w:ind w:firstLine="709"/>
        <w:jc w:val="both"/>
        <w:rPr>
          <w:color w:val="0070C0"/>
        </w:rPr>
      </w:pPr>
      <w:r w:rsidRPr="0099764D">
        <w:t xml:space="preserve">С консолидираната фискална програма за 2022 г. разчетените разходи за функция „Здравеопазване” (вкл. резерва за непредвидени и неотложни разходи) са 8 418,2 млн. лв., а </w:t>
      </w:r>
      <w:r w:rsidRPr="006A59B7">
        <w:t>изразходваните средства по функцията за годината са в размер на 7</w:t>
      </w:r>
      <w:r w:rsidRPr="006A59B7">
        <w:rPr>
          <w:lang w:val="en-US"/>
        </w:rPr>
        <w:t> </w:t>
      </w:r>
      <w:r w:rsidRPr="006A59B7">
        <w:t>97</w:t>
      </w:r>
      <w:r w:rsidR="00DD4FC7" w:rsidRPr="00D3563D">
        <w:rPr>
          <w:lang w:val="ru-RU"/>
        </w:rPr>
        <w:t>1</w:t>
      </w:r>
      <w:r w:rsidRPr="006A59B7">
        <w:t>,</w:t>
      </w:r>
      <w:r w:rsidR="00DD4FC7" w:rsidRPr="00D3563D">
        <w:rPr>
          <w:lang w:val="ru-RU"/>
        </w:rPr>
        <w:t>5</w:t>
      </w:r>
      <w:r w:rsidRPr="006A59B7">
        <w:t xml:space="preserve"> млн. лв. (в т. ч. прекласифицирани средства</w:t>
      </w:r>
      <w:r w:rsidR="00EE5BCC">
        <w:t xml:space="preserve"> </w:t>
      </w:r>
      <w:r w:rsidRPr="006A59B7">
        <w:t>от резерва за предотвратяване и ликвидиране на последиците от бедствия и аварии</w:t>
      </w:r>
      <w:r w:rsidR="00EE5BCC">
        <w:t xml:space="preserve">, в размер на 1,9 млн. лв., </w:t>
      </w:r>
      <w:r w:rsidRPr="006A59B7">
        <w:t>във функция II „Отбрана и сигурност“, гр. Д „Защита на населението,  управление и дейности при стихийни бедствия и аварии“) или 94,7 % спрямо годишния</w:t>
      </w:r>
      <w:r w:rsidRPr="0099764D">
        <w:t xml:space="preserve"> разчет. Отчетените средства за функция „Здравеопазване</w:t>
      </w:r>
      <w:r w:rsidRPr="00154807">
        <w:t>” представляват 4,8 % от БВП.</w:t>
      </w:r>
    </w:p>
    <w:p w14:paraId="45E7BB48" w14:textId="77777777" w:rsidR="00CC09AC" w:rsidRPr="007B48E9" w:rsidRDefault="00CC09AC" w:rsidP="00CC09AC">
      <w:pPr>
        <w:ind w:firstLine="709"/>
        <w:jc w:val="both"/>
        <w:rPr>
          <w:color w:val="0070C0"/>
        </w:rPr>
      </w:pPr>
    </w:p>
    <w:p w14:paraId="6608946B" w14:textId="77777777" w:rsidR="00CC09AC" w:rsidRPr="00DB37A7" w:rsidRDefault="00CC09AC" w:rsidP="00CC09AC">
      <w:pPr>
        <w:ind w:firstLine="7560"/>
        <w:rPr>
          <w:b/>
          <w:sz w:val="18"/>
          <w:szCs w:val="18"/>
        </w:rPr>
      </w:pPr>
      <w:r w:rsidRPr="00DB37A7">
        <w:rPr>
          <w:b/>
          <w:sz w:val="18"/>
          <w:szCs w:val="18"/>
        </w:rPr>
        <w:t xml:space="preserve">              (млн. лв.)</w:t>
      </w:r>
    </w:p>
    <w:tbl>
      <w:tblPr>
        <w:tblW w:w="9206" w:type="dxa"/>
        <w:jc w:val="center"/>
        <w:tblCellMar>
          <w:left w:w="70" w:type="dxa"/>
          <w:right w:w="70" w:type="dxa"/>
        </w:tblCellMar>
        <w:tblLook w:val="04A0" w:firstRow="1" w:lastRow="0" w:firstColumn="1" w:lastColumn="0" w:noHBand="0" w:noVBand="1"/>
      </w:tblPr>
      <w:tblGrid>
        <w:gridCol w:w="3536"/>
        <w:gridCol w:w="851"/>
        <w:gridCol w:w="850"/>
        <w:gridCol w:w="851"/>
        <w:gridCol w:w="992"/>
        <w:gridCol w:w="1134"/>
        <w:gridCol w:w="992"/>
      </w:tblGrid>
      <w:tr w:rsidR="00CC09AC" w:rsidRPr="007B48E9" w14:paraId="20026CF5" w14:textId="77777777" w:rsidTr="003B085A">
        <w:trPr>
          <w:trHeight w:val="645"/>
          <w:jc w:val="center"/>
        </w:trPr>
        <w:tc>
          <w:tcPr>
            <w:tcW w:w="3536" w:type="dxa"/>
            <w:tcBorders>
              <w:top w:val="double" w:sz="2" w:space="0" w:color="800000"/>
              <w:left w:val="double" w:sz="2" w:space="0" w:color="800000"/>
              <w:bottom w:val="nil"/>
              <w:right w:val="single" w:sz="4" w:space="0" w:color="FFFFFF"/>
            </w:tcBorders>
            <w:shd w:val="clear" w:color="auto" w:fill="800000"/>
            <w:noWrap/>
            <w:vAlign w:val="center"/>
            <w:hideMark/>
          </w:tcPr>
          <w:p w14:paraId="7232AFD9" w14:textId="77777777" w:rsidR="00CC09AC" w:rsidRPr="00DB37A7" w:rsidRDefault="00CC09AC" w:rsidP="003B085A">
            <w:pPr>
              <w:jc w:val="center"/>
              <w:rPr>
                <w:b/>
                <w:bCs/>
                <w:color w:val="FFFFFF" w:themeColor="background1"/>
                <w:sz w:val="20"/>
                <w:szCs w:val="20"/>
              </w:rPr>
            </w:pPr>
            <w:r w:rsidRPr="00DB37A7">
              <w:rPr>
                <w:b/>
                <w:bCs/>
                <w:color w:val="FFFFFF" w:themeColor="background1"/>
                <w:sz w:val="18"/>
                <w:szCs w:val="18"/>
              </w:rPr>
              <w:t>ОТЧЕТ 202</w:t>
            </w:r>
            <w:r>
              <w:rPr>
                <w:b/>
                <w:bCs/>
                <w:color w:val="FFFFFF" w:themeColor="background1"/>
                <w:sz w:val="18"/>
                <w:szCs w:val="18"/>
              </w:rPr>
              <w:t>2</w:t>
            </w:r>
            <w:r w:rsidRPr="00DB37A7">
              <w:rPr>
                <w:b/>
                <w:bCs/>
                <w:color w:val="FFFFFF" w:themeColor="background1"/>
                <w:sz w:val="18"/>
                <w:szCs w:val="18"/>
              </w:rPr>
              <w:t xml:space="preserve"> г.</w:t>
            </w:r>
          </w:p>
        </w:tc>
        <w:tc>
          <w:tcPr>
            <w:tcW w:w="851" w:type="dxa"/>
            <w:tcBorders>
              <w:top w:val="double" w:sz="2" w:space="0" w:color="800000"/>
              <w:left w:val="single" w:sz="4" w:space="0" w:color="FFFFFF"/>
              <w:bottom w:val="double" w:sz="6" w:space="0" w:color="800000"/>
              <w:right w:val="single" w:sz="4" w:space="0" w:color="FFFFFF"/>
            </w:tcBorders>
            <w:shd w:val="clear" w:color="auto" w:fill="800000"/>
            <w:noWrap/>
            <w:vAlign w:val="center"/>
            <w:hideMark/>
          </w:tcPr>
          <w:p w14:paraId="1D911604" w14:textId="77777777" w:rsidR="00CC09AC" w:rsidRPr="00DB37A7" w:rsidRDefault="00CC09AC" w:rsidP="003B085A">
            <w:pPr>
              <w:jc w:val="center"/>
              <w:rPr>
                <w:b/>
                <w:bCs/>
                <w:color w:val="FFFFFF" w:themeColor="background1"/>
                <w:sz w:val="20"/>
                <w:szCs w:val="20"/>
              </w:rPr>
            </w:pPr>
            <w:r w:rsidRPr="00DB37A7">
              <w:rPr>
                <w:b/>
                <w:bCs/>
                <w:color w:val="FFFFFF" w:themeColor="background1"/>
                <w:sz w:val="20"/>
                <w:szCs w:val="20"/>
              </w:rPr>
              <w:t>КФП</w:t>
            </w:r>
          </w:p>
        </w:tc>
        <w:tc>
          <w:tcPr>
            <w:tcW w:w="850" w:type="dxa"/>
            <w:tcBorders>
              <w:top w:val="double" w:sz="2" w:space="0" w:color="800000"/>
              <w:left w:val="single" w:sz="4" w:space="0" w:color="FFFFFF"/>
              <w:bottom w:val="double" w:sz="6" w:space="0" w:color="800000"/>
              <w:right w:val="single" w:sz="4" w:space="0" w:color="FFFFFF"/>
            </w:tcBorders>
            <w:shd w:val="clear" w:color="auto" w:fill="800000"/>
            <w:noWrap/>
            <w:vAlign w:val="center"/>
            <w:hideMark/>
          </w:tcPr>
          <w:p w14:paraId="6206466E" w14:textId="77777777" w:rsidR="00CC09AC" w:rsidRPr="00DB37A7" w:rsidRDefault="00CC09AC" w:rsidP="003B085A">
            <w:pPr>
              <w:jc w:val="center"/>
              <w:rPr>
                <w:b/>
                <w:bCs/>
                <w:color w:val="FFFFFF" w:themeColor="background1"/>
                <w:sz w:val="20"/>
                <w:szCs w:val="20"/>
              </w:rPr>
            </w:pPr>
            <w:r w:rsidRPr="00DB37A7">
              <w:rPr>
                <w:b/>
                <w:bCs/>
                <w:color w:val="FFFFFF" w:themeColor="background1"/>
                <w:sz w:val="20"/>
                <w:szCs w:val="20"/>
              </w:rPr>
              <w:t>ДБ</w:t>
            </w:r>
          </w:p>
        </w:tc>
        <w:tc>
          <w:tcPr>
            <w:tcW w:w="851" w:type="dxa"/>
            <w:tcBorders>
              <w:top w:val="double" w:sz="2" w:space="0" w:color="800000"/>
              <w:left w:val="single" w:sz="4" w:space="0" w:color="FFFFFF"/>
              <w:bottom w:val="double" w:sz="6" w:space="0" w:color="800000"/>
              <w:right w:val="single" w:sz="4" w:space="0" w:color="FFFFFF"/>
            </w:tcBorders>
            <w:shd w:val="clear" w:color="auto" w:fill="800000"/>
            <w:vAlign w:val="center"/>
            <w:hideMark/>
          </w:tcPr>
          <w:p w14:paraId="25C8E5E5" w14:textId="77777777" w:rsidR="00CC09AC" w:rsidRPr="00DB37A7" w:rsidRDefault="00CC09AC" w:rsidP="003B085A">
            <w:pPr>
              <w:jc w:val="center"/>
              <w:rPr>
                <w:b/>
                <w:bCs/>
                <w:color w:val="FFFFFF" w:themeColor="background1"/>
                <w:sz w:val="20"/>
                <w:szCs w:val="20"/>
              </w:rPr>
            </w:pPr>
            <w:r w:rsidRPr="00DB37A7">
              <w:rPr>
                <w:b/>
                <w:bCs/>
                <w:color w:val="FFFFFF" w:themeColor="background1"/>
                <w:sz w:val="20"/>
                <w:szCs w:val="20"/>
              </w:rPr>
              <w:t>НЗОК</w:t>
            </w:r>
          </w:p>
        </w:tc>
        <w:tc>
          <w:tcPr>
            <w:tcW w:w="992" w:type="dxa"/>
            <w:tcBorders>
              <w:top w:val="double" w:sz="2" w:space="0" w:color="800000"/>
              <w:left w:val="single" w:sz="4" w:space="0" w:color="FFFFFF"/>
              <w:bottom w:val="double" w:sz="6" w:space="0" w:color="800000"/>
              <w:right w:val="single" w:sz="4" w:space="0" w:color="FFFFFF"/>
            </w:tcBorders>
            <w:shd w:val="clear" w:color="auto" w:fill="800000"/>
            <w:noWrap/>
            <w:vAlign w:val="center"/>
            <w:hideMark/>
          </w:tcPr>
          <w:p w14:paraId="2728464E" w14:textId="77777777" w:rsidR="00CC09AC" w:rsidRPr="00DB37A7" w:rsidRDefault="00CC09AC" w:rsidP="003B085A">
            <w:pPr>
              <w:jc w:val="center"/>
              <w:rPr>
                <w:b/>
                <w:bCs/>
                <w:color w:val="FFFFFF" w:themeColor="background1"/>
                <w:sz w:val="20"/>
                <w:szCs w:val="20"/>
              </w:rPr>
            </w:pPr>
            <w:r w:rsidRPr="00DB37A7">
              <w:rPr>
                <w:b/>
                <w:bCs/>
                <w:color w:val="FFFFFF" w:themeColor="background1"/>
                <w:sz w:val="20"/>
                <w:szCs w:val="20"/>
              </w:rPr>
              <w:t>Общини</w:t>
            </w:r>
          </w:p>
        </w:tc>
        <w:tc>
          <w:tcPr>
            <w:tcW w:w="1134" w:type="dxa"/>
            <w:tcBorders>
              <w:top w:val="double" w:sz="2" w:space="0" w:color="800000"/>
              <w:left w:val="single" w:sz="4" w:space="0" w:color="FFFFFF"/>
              <w:bottom w:val="double" w:sz="6" w:space="0" w:color="800000"/>
              <w:right w:val="single" w:sz="4" w:space="0" w:color="FFFFFF"/>
            </w:tcBorders>
            <w:shd w:val="clear" w:color="auto" w:fill="800000"/>
            <w:vAlign w:val="center"/>
          </w:tcPr>
          <w:p w14:paraId="4F1DD615" w14:textId="77777777" w:rsidR="00CC09AC" w:rsidRPr="00DB37A7" w:rsidRDefault="00CC09AC" w:rsidP="003B085A">
            <w:pPr>
              <w:jc w:val="center"/>
              <w:rPr>
                <w:b/>
                <w:bCs/>
                <w:color w:val="FFFFFF" w:themeColor="background1"/>
                <w:sz w:val="20"/>
                <w:szCs w:val="20"/>
              </w:rPr>
            </w:pPr>
            <w:r w:rsidRPr="00DB37A7">
              <w:rPr>
                <w:b/>
                <w:bCs/>
                <w:color w:val="FFFFFF" w:themeColor="background1"/>
                <w:sz w:val="20"/>
                <w:szCs w:val="20"/>
              </w:rPr>
              <w:t>Европ. ср-ва</w:t>
            </w:r>
          </w:p>
        </w:tc>
        <w:tc>
          <w:tcPr>
            <w:tcW w:w="992" w:type="dxa"/>
            <w:tcBorders>
              <w:top w:val="double" w:sz="2" w:space="0" w:color="800000"/>
              <w:left w:val="single" w:sz="4" w:space="0" w:color="FFFFFF"/>
              <w:bottom w:val="double" w:sz="6" w:space="0" w:color="800000"/>
              <w:right w:val="double" w:sz="2" w:space="0" w:color="800000"/>
            </w:tcBorders>
            <w:shd w:val="clear" w:color="auto" w:fill="800000"/>
            <w:vAlign w:val="center"/>
            <w:hideMark/>
          </w:tcPr>
          <w:p w14:paraId="46AAC2DD" w14:textId="77777777" w:rsidR="00CC09AC" w:rsidRPr="00DB37A7" w:rsidRDefault="00CC09AC" w:rsidP="003B085A">
            <w:pPr>
              <w:jc w:val="center"/>
              <w:rPr>
                <w:b/>
                <w:bCs/>
                <w:color w:val="FFFFFF" w:themeColor="background1"/>
                <w:sz w:val="20"/>
                <w:szCs w:val="20"/>
              </w:rPr>
            </w:pPr>
            <w:r w:rsidRPr="00DB37A7">
              <w:rPr>
                <w:b/>
                <w:bCs/>
                <w:color w:val="FFFFFF" w:themeColor="background1"/>
                <w:sz w:val="20"/>
                <w:szCs w:val="20"/>
              </w:rPr>
              <w:t>ДМП</w:t>
            </w:r>
          </w:p>
        </w:tc>
      </w:tr>
      <w:tr w:rsidR="00CC09AC" w:rsidRPr="007B48E9" w14:paraId="1BF59A80" w14:textId="77777777" w:rsidTr="003B085A">
        <w:trPr>
          <w:trHeight w:val="330"/>
          <w:jc w:val="center"/>
        </w:trPr>
        <w:tc>
          <w:tcPr>
            <w:tcW w:w="3536" w:type="dxa"/>
            <w:tcBorders>
              <w:top w:val="nil"/>
              <w:left w:val="double" w:sz="6" w:space="0" w:color="800000"/>
              <w:bottom w:val="nil"/>
              <w:right w:val="single" w:sz="4" w:space="0" w:color="800000"/>
            </w:tcBorders>
            <w:shd w:val="clear" w:color="auto" w:fill="FFFFCC"/>
            <w:noWrap/>
            <w:vAlign w:val="bottom"/>
            <w:hideMark/>
          </w:tcPr>
          <w:p w14:paraId="181AB039" w14:textId="77777777" w:rsidR="00CC09AC" w:rsidRPr="00DB37A7" w:rsidRDefault="00CC09AC" w:rsidP="003B085A">
            <w:pPr>
              <w:rPr>
                <w:b/>
                <w:bCs/>
                <w:sz w:val="20"/>
                <w:szCs w:val="20"/>
              </w:rPr>
            </w:pPr>
            <w:r w:rsidRPr="00DB37A7">
              <w:rPr>
                <w:b/>
                <w:bCs/>
                <w:sz w:val="20"/>
                <w:szCs w:val="20"/>
              </w:rPr>
              <w:t>IV. ЗДРАВЕОПАЗВАНЕ</w:t>
            </w:r>
          </w:p>
        </w:tc>
        <w:tc>
          <w:tcPr>
            <w:tcW w:w="851" w:type="dxa"/>
            <w:tcBorders>
              <w:top w:val="double" w:sz="6" w:space="0" w:color="800000"/>
              <w:left w:val="single" w:sz="4" w:space="0" w:color="800000"/>
              <w:bottom w:val="nil"/>
              <w:right w:val="single" w:sz="4" w:space="0" w:color="800000"/>
            </w:tcBorders>
            <w:shd w:val="clear" w:color="000000" w:fill="FFFFCC"/>
            <w:noWrap/>
            <w:vAlign w:val="bottom"/>
            <w:hideMark/>
          </w:tcPr>
          <w:p w14:paraId="52E73D8B" w14:textId="66C61983" w:rsidR="00CC09AC" w:rsidRPr="007B48E9" w:rsidRDefault="00CC09AC" w:rsidP="001B5D18">
            <w:pPr>
              <w:jc w:val="right"/>
              <w:rPr>
                <w:b/>
                <w:bCs/>
                <w:color w:val="0070C0"/>
                <w:sz w:val="20"/>
                <w:szCs w:val="20"/>
              </w:rPr>
            </w:pPr>
            <w:r>
              <w:rPr>
                <w:b/>
                <w:bCs/>
                <w:color w:val="000000"/>
                <w:sz w:val="20"/>
                <w:szCs w:val="20"/>
              </w:rPr>
              <w:t>7 97</w:t>
            </w:r>
            <w:r w:rsidR="001B5D18">
              <w:rPr>
                <w:b/>
                <w:bCs/>
                <w:color w:val="000000"/>
                <w:sz w:val="20"/>
                <w:szCs w:val="20"/>
                <w:lang w:val="en-US"/>
              </w:rPr>
              <w:t>1</w:t>
            </w:r>
            <w:r>
              <w:rPr>
                <w:b/>
                <w:bCs/>
                <w:color w:val="000000"/>
                <w:sz w:val="20"/>
                <w:szCs w:val="20"/>
              </w:rPr>
              <w:t>,</w:t>
            </w:r>
            <w:r w:rsidR="001B5D18">
              <w:rPr>
                <w:b/>
                <w:bCs/>
                <w:color w:val="000000"/>
                <w:sz w:val="20"/>
                <w:szCs w:val="20"/>
                <w:lang w:val="en-US"/>
              </w:rPr>
              <w:t>5</w:t>
            </w:r>
          </w:p>
        </w:tc>
        <w:tc>
          <w:tcPr>
            <w:tcW w:w="850" w:type="dxa"/>
            <w:tcBorders>
              <w:top w:val="double" w:sz="6" w:space="0" w:color="800000"/>
              <w:left w:val="nil"/>
              <w:bottom w:val="nil"/>
              <w:right w:val="single" w:sz="4" w:space="0" w:color="800000"/>
            </w:tcBorders>
            <w:shd w:val="clear" w:color="000000" w:fill="FFFFCC"/>
            <w:noWrap/>
            <w:vAlign w:val="bottom"/>
            <w:hideMark/>
          </w:tcPr>
          <w:p w14:paraId="0C30D83D" w14:textId="77777777" w:rsidR="00CC09AC" w:rsidRPr="007B48E9" w:rsidRDefault="00CC09AC" w:rsidP="003B085A">
            <w:pPr>
              <w:jc w:val="right"/>
              <w:rPr>
                <w:b/>
                <w:bCs/>
                <w:color w:val="0070C0"/>
                <w:sz w:val="20"/>
                <w:szCs w:val="20"/>
              </w:rPr>
            </w:pPr>
            <w:r>
              <w:rPr>
                <w:b/>
                <w:bCs/>
                <w:color w:val="000000"/>
                <w:sz w:val="20"/>
                <w:szCs w:val="20"/>
              </w:rPr>
              <w:t>1 511,2</w:t>
            </w:r>
          </w:p>
        </w:tc>
        <w:tc>
          <w:tcPr>
            <w:tcW w:w="851" w:type="dxa"/>
            <w:tcBorders>
              <w:top w:val="double" w:sz="6" w:space="0" w:color="800000"/>
              <w:left w:val="nil"/>
              <w:bottom w:val="nil"/>
              <w:right w:val="single" w:sz="4" w:space="0" w:color="800000"/>
            </w:tcBorders>
            <w:shd w:val="clear" w:color="000000" w:fill="FFFFCC"/>
            <w:noWrap/>
            <w:vAlign w:val="bottom"/>
            <w:hideMark/>
          </w:tcPr>
          <w:p w14:paraId="48E44E5D" w14:textId="77777777" w:rsidR="00CC09AC" w:rsidRPr="007B48E9" w:rsidRDefault="00CC09AC" w:rsidP="003B085A">
            <w:pPr>
              <w:jc w:val="right"/>
              <w:rPr>
                <w:b/>
                <w:bCs/>
                <w:color w:val="0070C0"/>
                <w:sz w:val="20"/>
                <w:szCs w:val="20"/>
              </w:rPr>
            </w:pPr>
            <w:r>
              <w:rPr>
                <w:b/>
                <w:bCs/>
                <w:color w:val="000000"/>
                <w:sz w:val="20"/>
                <w:szCs w:val="20"/>
              </w:rPr>
              <w:t>6 089,4</w:t>
            </w:r>
          </w:p>
        </w:tc>
        <w:tc>
          <w:tcPr>
            <w:tcW w:w="992" w:type="dxa"/>
            <w:tcBorders>
              <w:top w:val="double" w:sz="6" w:space="0" w:color="800000"/>
              <w:left w:val="nil"/>
              <w:bottom w:val="nil"/>
              <w:right w:val="single" w:sz="4" w:space="0" w:color="800000"/>
            </w:tcBorders>
            <w:shd w:val="clear" w:color="000000" w:fill="FFFFCC"/>
            <w:noWrap/>
            <w:vAlign w:val="bottom"/>
            <w:hideMark/>
          </w:tcPr>
          <w:p w14:paraId="799F1415" w14:textId="77777777" w:rsidR="00CC09AC" w:rsidRPr="007B48E9" w:rsidRDefault="00CC09AC" w:rsidP="003B085A">
            <w:pPr>
              <w:jc w:val="right"/>
              <w:rPr>
                <w:b/>
                <w:bCs/>
                <w:color w:val="0070C0"/>
                <w:sz w:val="20"/>
                <w:szCs w:val="20"/>
              </w:rPr>
            </w:pPr>
            <w:r>
              <w:rPr>
                <w:b/>
                <w:bCs/>
                <w:color w:val="000000"/>
                <w:sz w:val="20"/>
                <w:szCs w:val="20"/>
              </w:rPr>
              <w:t>352,4</w:t>
            </w:r>
          </w:p>
        </w:tc>
        <w:tc>
          <w:tcPr>
            <w:tcW w:w="1134" w:type="dxa"/>
            <w:tcBorders>
              <w:top w:val="double" w:sz="6" w:space="0" w:color="800000"/>
              <w:left w:val="nil"/>
              <w:bottom w:val="nil"/>
              <w:right w:val="single" w:sz="4" w:space="0" w:color="800000"/>
            </w:tcBorders>
            <w:shd w:val="clear" w:color="000000" w:fill="FFFFCC"/>
            <w:vAlign w:val="bottom"/>
          </w:tcPr>
          <w:p w14:paraId="66D262B6" w14:textId="77777777" w:rsidR="00CC09AC" w:rsidRPr="007B48E9" w:rsidRDefault="00CC09AC" w:rsidP="003B085A">
            <w:pPr>
              <w:jc w:val="right"/>
              <w:rPr>
                <w:b/>
                <w:bCs/>
                <w:color w:val="0070C0"/>
                <w:sz w:val="20"/>
                <w:szCs w:val="20"/>
              </w:rPr>
            </w:pPr>
            <w:r>
              <w:rPr>
                <w:b/>
                <w:bCs/>
                <w:color w:val="000000"/>
                <w:sz w:val="20"/>
                <w:szCs w:val="20"/>
              </w:rPr>
              <w:t>19,8</w:t>
            </w:r>
          </w:p>
        </w:tc>
        <w:tc>
          <w:tcPr>
            <w:tcW w:w="992" w:type="dxa"/>
            <w:tcBorders>
              <w:top w:val="double" w:sz="6" w:space="0" w:color="800000"/>
              <w:left w:val="nil"/>
              <w:bottom w:val="nil"/>
              <w:right w:val="double" w:sz="6" w:space="0" w:color="800000"/>
            </w:tcBorders>
            <w:shd w:val="clear" w:color="000000" w:fill="FFFFCC"/>
            <w:noWrap/>
            <w:vAlign w:val="bottom"/>
            <w:hideMark/>
          </w:tcPr>
          <w:p w14:paraId="3021CE57" w14:textId="77777777" w:rsidR="00CC09AC" w:rsidRPr="007B48E9" w:rsidRDefault="00CC09AC" w:rsidP="003B085A">
            <w:pPr>
              <w:jc w:val="right"/>
              <w:rPr>
                <w:b/>
                <w:bCs/>
                <w:color w:val="0070C0"/>
                <w:sz w:val="20"/>
                <w:szCs w:val="20"/>
              </w:rPr>
            </w:pPr>
            <w:r>
              <w:rPr>
                <w:b/>
                <w:bCs/>
                <w:color w:val="000000"/>
                <w:sz w:val="20"/>
                <w:szCs w:val="20"/>
              </w:rPr>
              <w:t>0,5</w:t>
            </w:r>
          </w:p>
        </w:tc>
      </w:tr>
      <w:tr w:rsidR="00CC09AC" w:rsidRPr="007B48E9" w14:paraId="50CFDA9E" w14:textId="77777777" w:rsidTr="003B085A">
        <w:trPr>
          <w:trHeight w:val="255"/>
          <w:jc w:val="center"/>
        </w:trPr>
        <w:tc>
          <w:tcPr>
            <w:tcW w:w="3536" w:type="dxa"/>
            <w:tcBorders>
              <w:top w:val="nil"/>
              <w:left w:val="double" w:sz="6" w:space="0" w:color="800000"/>
              <w:bottom w:val="nil"/>
              <w:right w:val="single" w:sz="4" w:space="0" w:color="800000"/>
            </w:tcBorders>
            <w:shd w:val="clear" w:color="auto" w:fill="FFFFCC"/>
            <w:noWrap/>
            <w:vAlign w:val="bottom"/>
            <w:hideMark/>
          </w:tcPr>
          <w:p w14:paraId="3834F180" w14:textId="77777777" w:rsidR="00CC09AC" w:rsidRPr="00DB37A7" w:rsidRDefault="00CC09AC" w:rsidP="003B085A">
            <w:pPr>
              <w:rPr>
                <w:sz w:val="20"/>
                <w:szCs w:val="20"/>
              </w:rPr>
            </w:pPr>
            <w:r w:rsidRPr="00DB37A7">
              <w:rPr>
                <w:sz w:val="20"/>
                <w:szCs w:val="20"/>
              </w:rPr>
              <w:t xml:space="preserve">     Текущи нелихвени разходи</w:t>
            </w:r>
          </w:p>
        </w:tc>
        <w:tc>
          <w:tcPr>
            <w:tcW w:w="851" w:type="dxa"/>
            <w:tcBorders>
              <w:top w:val="nil"/>
              <w:left w:val="single" w:sz="4" w:space="0" w:color="800000"/>
              <w:bottom w:val="nil"/>
              <w:right w:val="single" w:sz="4" w:space="0" w:color="800000"/>
            </w:tcBorders>
            <w:shd w:val="clear" w:color="000000" w:fill="FFFFCC"/>
            <w:noWrap/>
            <w:vAlign w:val="bottom"/>
            <w:hideMark/>
          </w:tcPr>
          <w:p w14:paraId="62217C89" w14:textId="3D7B3E03" w:rsidR="00CC09AC" w:rsidRPr="007B48E9" w:rsidRDefault="00CC09AC" w:rsidP="001B5D18">
            <w:pPr>
              <w:jc w:val="right"/>
              <w:rPr>
                <w:color w:val="0070C0"/>
                <w:sz w:val="20"/>
                <w:szCs w:val="20"/>
              </w:rPr>
            </w:pPr>
            <w:r>
              <w:rPr>
                <w:color w:val="000000"/>
                <w:sz w:val="20"/>
                <w:szCs w:val="20"/>
              </w:rPr>
              <w:t>7 76</w:t>
            </w:r>
            <w:r w:rsidR="001B5D18">
              <w:rPr>
                <w:color w:val="000000"/>
                <w:sz w:val="20"/>
                <w:szCs w:val="20"/>
                <w:lang w:val="en-US"/>
              </w:rPr>
              <w:t>0</w:t>
            </w:r>
            <w:r>
              <w:rPr>
                <w:color w:val="000000"/>
                <w:sz w:val="20"/>
                <w:szCs w:val="20"/>
              </w:rPr>
              <w:t>,</w:t>
            </w:r>
            <w:r w:rsidR="001B5D18">
              <w:rPr>
                <w:color w:val="000000"/>
                <w:sz w:val="20"/>
                <w:szCs w:val="20"/>
                <w:lang w:val="en-US"/>
              </w:rPr>
              <w:t>6</w:t>
            </w:r>
          </w:p>
        </w:tc>
        <w:tc>
          <w:tcPr>
            <w:tcW w:w="850" w:type="dxa"/>
            <w:tcBorders>
              <w:top w:val="nil"/>
              <w:left w:val="nil"/>
              <w:bottom w:val="nil"/>
              <w:right w:val="single" w:sz="4" w:space="0" w:color="800000"/>
            </w:tcBorders>
            <w:shd w:val="clear" w:color="000000" w:fill="FFFFCC"/>
            <w:noWrap/>
            <w:vAlign w:val="bottom"/>
            <w:hideMark/>
          </w:tcPr>
          <w:p w14:paraId="39B38716" w14:textId="77777777" w:rsidR="00CC09AC" w:rsidRPr="007B48E9" w:rsidRDefault="00CC09AC" w:rsidP="003B085A">
            <w:pPr>
              <w:jc w:val="right"/>
              <w:rPr>
                <w:color w:val="0070C0"/>
                <w:sz w:val="20"/>
                <w:szCs w:val="20"/>
              </w:rPr>
            </w:pPr>
            <w:r>
              <w:rPr>
                <w:color w:val="000000"/>
                <w:sz w:val="20"/>
                <w:szCs w:val="20"/>
              </w:rPr>
              <w:t>1 353,8</w:t>
            </w:r>
          </w:p>
        </w:tc>
        <w:tc>
          <w:tcPr>
            <w:tcW w:w="851" w:type="dxa"/>
            <w:tcBorders>
              <w:top w:val="nil"/>
              <w:left w:val="nil"/>
              <w:bottom w:val="nil"/>
              <w:right w:val="single" w:sz="4" w:space="0" w:color="800000"/>
            </w:tcBorders>
            <w:shd w:val="clear" w:color="000000" w:fill="FFFFCC"/>
            <w:noWrap/>
            <w:vAlign w:val="bottom"/>
            <w:hideMark/>
          </w:tcPr>
          <w:p w14:paraId="37521F60" w14:textId="77777777" w:rsidR="00CC09AC" w:rsidRPr="007B48E9" w:rsidRDefault="00CC09AC" w:rsidP="003B085A">
            <w:pPr>
              <w:jc w:val="right"/>
              <w:rPr>
                <w:color w:val="0070C0"/>
                <w:sz w:val="20"/>
                <w:szCs w:val="20"/>
              </w:rPr>
            </w:pPr>
            <w:r>
              <w:rPr>
                <w:color w:val="000000"/>
                <w:sz w:val="20"/>
                <w:szCs w:val="20"/>
              </w:rPr>
              <w:t>6 085,0</w:t>
            </w:r>
          </w:p>
        </w:tc>
        <w:tc>
          <w:tcPr>
            <w:tcW w:w="992" w:type="dxa"/>
            <w:tcBorders>
              <w:top w:val="nil"/>
              <w:left w:val="nil"/>
              <w:bottom w:val="nil"/>
              <w:right w:val="single" w:sz="4" w:space="0" w:color="800000"/>
            </w:tcBorders>
            <w:shd w:val="clear" w:color="000000" w:fill="FFFFCC"/>
            <w:noWrap/>
            <w:vAlign w:val="bottom"/>
            <w:hideMark/>
          </w:tcPr>
          <w:p w14:paraId="648A6B2F" w14:textId="77777777" w:rsidR="00CC09AC" w:rsidRPr="007B48E9" w:rsidRDefault="00CC09AC" w:rsidP="003B085A">
            <w:pPr>
              <w:jc w:val="right"/>
              <w:rPr>
                <w:color w:val="0070C0"/>
                <w:sz w:val="20"/>
                <w:szCs w:val="20"/>
              </w:rPr>
            </w:pPr>
            <w:r>
              <w:rPr>
                <w:color w:val="000000"/>
                <w:sz w:val="20"/>
                <w:szCs w:val="20"/>
              </w:rPr>
              <w:t>317,1</w:t>
            </w:r>
          </w:p>
        </w:tc>
        <w:tc>
          <w:tcPr>
            <w:tcW w:w="1134" w:type="dxa"/>
            <w:tcBorders>
              <w:top w:val="nil"/>
              <w:left w:val="nil"/>
              <w:bottom w:val="nil"/>
              <w:right w:val="single" w:sz="4" w:space="0" w:color="800000"/>
            </w:tcBorders>
            <w:shd w:val="clear" w:color="000000" w:fill="FFFFCC"/>
            <w:vAlign w:val="bottom"/>
          </w:tcPr>
          <w:p w14:paraId="2D3EC497" w14:textId="77777777" w:rsidR="00CC09AC" w:rsidRPr="007B48E9" w:rsidRDefault="00CC09AC" w:rsidP="003B085A">
            <w:pPr>
              <w:jc w:val="right"/>
              <w:rPr>
                <w:color w:val="0070C0"/>
                <w:sz w:val="20"/>
                <w:szCs w:val="20"/>
              </w:rPr>
            </w:pPr>
            <w:r>
              <w:rPr>
                <w:color w:val="000000"/>
                <w:sz w:val="20"/>
                <w:szCs w:val="20"/>
              </w:rPr>
              <w:t>6,4</w:t>
            </w:r>
          </w:p>
        </w:tc>
        <w:tc>
          <w:tcPr>
            <w:tcW w:w="992" w:type="dxa"/>
            <w:tcBorders>
              <w:top w:val="nil"/>
              <w:left w:val="single" w:sz="4" w:space="0" w:color="800000"/>
              <w:bottom w:val="nil"/>
              <w:right w:val="double" w:sz="6" w:space="0" w:color="800000"/>
            </w:tcBorders>
            <w:shd w:val="clear" w:color="000000" w:fill="FFFFCC"/>
            <w:noWrap/>
            <w:vAlign w:val="bottom"/>
            <w:hideMark/>
          </w:tcPr>
          <w:p w14:paraId="5C089884" w14:textId="77777777" w:rsidR="00CC09AC" w:rsidRPr="007B48E9" w:rsidRDefault="00CC09AC" w:rsidP="003B085A">
            <w:pPr>
              <w:jc w:val="right"/>
              <w:rPr>
                <w:color w:val="0070C0"/>
                <w:sz w:val="20"/>
                <w:szCs w:val="20"/>
              </w:rPr>
            </w:pPr>
            <w:r>
              <w:rPr>
                <w:color w:val="000000"/>
                <w:sz w:val="20"/>
                <w:szCs w:val="20"/>
              </w:rPr>
              <w:t>0,2</w:t>
            </w:r>
          </w:p>
        </w:tc>
      </w:tr>
      <w:tr w:rsidR="00CC09AC" w:rsidRPr="007B48E9" w14:paraId="030417F2" w14:textId="77777777" w:rsidTr="003B085A">
        <w:trPr>
          <w:trHeight w:val="270"/>
          <w:jc w:val="center"/>
        </w:trPr>
        <w:tc>
          <w:tcPr>
            <w:tcW w:w="3536" w:type="dxa"/>
            <w:tcBorders>
              <w:top w:val="nil"/>
              <w:left w:val="double" w:sz="6" w:space="0" w:color="800000"/>
              <w:bottom w:val="nil"/>
              <w:right w:val="single" w:sz="4" w:space="0" w:color="800000"/>
            </w:tcBorders>
            <w:shd w:val="clear" w:color="auto" w:fill="FFFFCC"/>
            <w:noWrap/>
            <w:vAlign w:val="bottom"/>
            <w:hideMark/>
          </w:tcPr>
          <w:p w14:paraId="5102B0FF" w14:textId="77777777" w:rsidR="00CC09AC" w:rsidRPr="00DB37A7" w:rsidRDefault="00CC09AC" w:rsidP="003B085A">
            <w:pPr>
              <w:rPr>
                <w:sz w:val="20"/>
                <w:szCs w:val="20"/>
              </w:rPr>
            </w:pPr>
            <w:r w:rsidRPr="00DB37A7">
              <w:rPr>
                <w:sz w:val="20"/>
                <w:szCs w:val="20"/>
              </w:rPr>
              <w:t xml:space="preserve">     Капиталови разходи</w:t>
            </w:r>
          </w:p>
        </w:tc>
        <w:tc>
          <w:tcPr>
            <w:tcW w:w="851" w:type="dxa"/>
            <w:tcBorders>
              <w:top w:val="nil"/>
              <w:left w:val="single" w:sz="4" w:space="0" w:color="800000"/>
              <w:bottom w:val="nil"/>
              <w:right w:val="single" w:sz="4" w:space="0" w:color="800000"/>
            </w:tcBorders>
            <w:shd w:val="clear" w:color="000000" w:fill="FFFFCC"/>
            <w:noWrap/>
            <w:vAlign w:val="bottom"/>
            <w:hideMark/>
          </w:tcPr>
          <w:p w14:paraId="6F4CF90E" w14:textId="77777777" w:rsidR="00CC09AC" w:rsidRPr="007B48E9" w:rsidRDefault="00CC09AC" w:rsidP="003B085A">
            <w:pPr>
              <w:jc w:val="right"/>
              <w:rPr>
                <w:color w:val="0070C0"/>
                <w:sz w:val="20"/>
                <w:szCs w:val="20"/>
              </w:rPr>
            </w:pPr>
            <w:r>
              <w:rPr>
                <w:color w:val="000000"/>
                <w:sz w:val="20"/>
                <w:szCs w:val="20"/>
              </w:rPr>
              <w:t>210,8</w:t>
            </w:r>
          </w:p>
        </w:tc>
        <w:tc>
          <w:tcPr>
            <w:tcW w:w="850" w:type="dxa"/>
            <w:tcBorders>
              <w:top w:val="nil"/>
              <w:left w:val="nil"/>
              <w:bottom w:val="nil"/>
              <w:right w:val="single" w:sz="4" w:space="0" w:color="800000"/>
            </w:tcBorders>
            <w:shd w:val="clear" w:color="000000" w:fill="FFFFCC"/>
            <w:noWrap/>
            <w:vAlign w:val="bottom"/>
            <w:hideMark/>
          </w:tcPr>
          <w:p w14:paraId="76FB86CB" w14:textId="77777777" w:rsidR="00CC09AC" w:rsidRPr="007B48E9" w:rsidRDefault="00CC09AC" w:rsidP="003B085A">
            <w:pPr>
              <w:jc w:val="right"/>
              <w:rPr>
                <w:color w:val="0070C0"/>
                <w:sz w:val="20"/>
                <w:szCs w:val="20"/>
              </w:rPr>
            </w:pPr>
            <w:r>
              <w:rPr>
                <w:color w:val="000000"/>
                <w:sz w:val="20"/>
                <w:szCs w:val="20"/>
              </w:rPr>
              <w:t>157,4</w:t>
            </w:r>
          </w:p>
        </w:tc>
        <w:tc>
          <w:tcPr>
            <w:tcW w:w="851" w:type="dxa"/>
            <w:tcBorders>
              <w:top w:val="nil"/>
              <w:left w:val="nil"/>
              <w:bottom w:val="nil"/>
              <w:right w:val="single" w:sz="4" w:space="0" w:color="800000"/>
            </w:tcBorders>
            <w:shd w:val="clear" w:color="000000" w:fill="FFFFCC"/>
            <w:noWrap/>
            <w:vAlign w:val="bottom"/>
            <w:hideMark/>
          </w:tcPr>
          <w:p w14:paraId="2A6F0B90" w14:textId="77777777" w:rsidR="00CC09AC" w:rsidRPr="007B48E9" w:rsidRDefault="00CC09AC" w:rsidP="003B085A">
            <w:pPr>
              <w:jc w:val="right"/>
              <w:rPr>
                <w:color w:val="0070C0"/>
                <w:sz w:val="20"/>
                <w:szCs w:val="20"/>
              </w:rPr>
            </w:pPr>
            <w:r>
              <w:rPr>
                <w:color w:val="000000"/>
                <w:sz w:val="20"/>
                <w:szCs w:val="20"/>
              </w:rPr>
              <w:t>4,5</w:t>
            </w:r>
          </w:p>
        </w:tc>
        <w:tc>
          <w:tcPr>
            <w:tcW w:w="992" w:type="dxa"/>
            <w:tcBorders>
              <w:top w:val="nil"/>
              <w:left w:val="nil"/>
              <w:bottom w:val="nil"/>
              <w:right w:val="single" w:sz="4" w:space="0" w:color="800000"/>
            </w:tcBorders>
            <w:shd w:val="clear" w:color="000000" w:fill="FFFFCC"/>
            <w:noWrap/>
            <w:vAlign w:val="bottom"/>
            <w:hideMark/>
          </w:tcPr>
          <w:p w14:paraId="011B69DC" w14:textId="77777777" w:rsidR="00CC09AC" w:rsidRPr="007B48E9" w:rsidRDefault="00CC09AC" w:rsidP="003B085A">
            <w:pPr>
              <w:jc w:val="right"/>
              <w:rPr>
                <w:color w:val="0070C0"/>
                <w:sz w:val="20"/>
                <w:szCs w:val="20"/>
              </w:rPr>
            </w:pPr>
            <w:r>
              <w:rPr>
                <w:color w:val="000000"/>
                <w:sz w:val="20"/>
                <w:szCs w:val="20"/>
              </w:rPr>
              <w:t>35,4</w:t>
            </w:r>
          </w:p>
        </w:tc>
        <w:tc>
          <w:tcPr>
            <w:tcW w:w="1134" w:type="dxa"/>
            <w:tcBorders>
              <w:top w:val="nil"/>
              <w:left w:val="nil"/>
              <w:bottom w:val="nil"/>
              <w:right w:val="single" w:sz="4" w:space="0" w:color="800000"/>
            </w:tcBorders>
            <w:shd w:val="clear" w:color="000000" w:fill="FFFFCC"/>
            <w:vAlign w:val="bottom"/>
          </w:tcPr>
          <w:p w14:paraId="13B8C888" w14:textId="77777777" w:rsidR="00CC09AC" w:rsidRPr="007B48E9" w:rsidRDefault="00CC09AC" w:rsidP="003B085A">
            <w:pPr>
              <w:jc w:val="right"/>
              <w:rPr>
                <w:color w:val="0070C0"/>
                <w:sz w:val="20"/>
                <w:szCs w:val="20"/>
              </w:rPr>
            </w:pPr>
            <w:r>
              <w:rPr>
                <w:color w:val="000000"/>
                <w:sz w:val="20"/>
                <w:szCs w:val="20"/>
              </w:rPr>
              <w:t>13,3</w:t>
            </w:r>
          </w:p>
        </w:tc>
        <w:tc>
          <w:tcPr>
            <w:tcW w:w="992" w:type="dxa"/>
            <w:tcBorders>
              <w:top w:val="nil"/>
              <w:left w:val="single" w:sz="4" w:space="0" w:color="800000"/>
              <w:bottom w:val="nil"/>
              <w:right w:val="double" w:sz="6" w:space="0" w:color="800000"/>
            </w:tcBorders>
            <w:shd w:val="clear" w:color="000000" w:fill="FFFFCC"/>
            <w:noWrap/>
            <w:vAlign w:val="bottom"/>
            <w:hideMark/>
          </w:tcPr>
          <w:p w14:paraId="32F1D84F" w14:textId="77777777" w:rsidR="00CC09AC" w:rsidRPr="007B48E9" w:rsidRDefault="00CC09AC" w:rsidP="003B085A">
            <w:pPr>
              <w:jc w:val="right"/>
              <w:rPr>
                <w:color w:val="0070C0"/>
                <w:sz w:val="20"/>
                <w:szCs w:val="20"/>
              </w:rPr>
            </w:pPr>
            <w:r>
              <w:rPr>
                <w:color w:val="000000"/>
                <w:sz w:val="20"/>
                <w:szCs w:val="20"/>
              </w:rPr>
              <w:t>0,3</w:t>
            </w:r>
          </w:p>
        </w:tc>
      </w:tr>
      <w:tr w:rsidR="00CC09AC" w:rsidRPr="007B48E9" w14:paraId="447D9A39" w14:textId="77777777" w:rsidTr="003B085A">
        <w:trPr>
          <w:trHeight w:val="270"/>
          <w:jc w:val="center"/>
        </w:trPr>
        <w:tc>
          <w:tcPr>
            <w:tcW w:w="3536" w:type="dxa"/>
            <w:tcBorders>
              <w:top w:val="nil"/>
              <w:left w:val="double" w:sz="6" w:space="0" w:color="800000"/>
              <w:bottom w:val="double" w:sz="6" w:space="0" w:color="800000"/>
              <w:right w:val="single" w:sz="4" w:space="0" w:color="800000"/>
            </w:tcBorders>
            <w:shd w:val="clear" w:color="auto" w:fill="FFFFCC"/>
            <w:noWrap/>
            <w:vAlign w:val="bottom"/>
          </w:tcPr>
          <w:p w14:paraId="4F175473" w14:textId="77777777" w:rsidR="00CC09AC" w:rsidRPr="00DB37A7" w:rsidRDefault="00CC09AC" w:rsidP="003B085A">
            <w:pPr>
              <w:rPr>
                <w:sz w:val="20"/>
                <w:szCs w:val="20"/>
              </w:rPr>
            </w:pPr>
            <w:r w:rsidRPr="00DB37A7">
              <w:rPr>
                <w:sz w:val="20"/>
                <w:szCs w:val="20"/>
              </w:rPr>
              <w:t xml:space="preserve">     Предоставени текущи и капиталови трансфери за чужбина</w:t>
            </w:r>
          </w:p>
        </w:tc>
        <w:tc>
          <w:tcPr>
            <w:tcW w:w="851" w:type="dxa"/>
            <w:tcBorders>
              <w:top w:val="nil"/>
              <w:left w:val="single" w:sz="4" w:space="0" w:color="800000"/>
              <w:bottom w:val="double" w:sz="6" w:space="0" w:color="800000"/>
              <w:right w:val="single" w:sz="4" w:space="0" w:color="800000"/>
            </w:tcBorders>
            <w:shd w:val="clear" w:color="000000" w:fill="FFFFCC"/>
            <w:noWrap/>
            <w:vAlign w:val="bottom"/>
          </w:tcPr>
          <w:p w14:paraId="4D0FA472" w14:textId="77777777" w:rsidR="00CC09AC" w:rsidRPr="007B48E9" w:rsidRDefault="00CC09AC" w:rsidP="003B085A">
            <w:pPr>
              <w:jc w:val="right"/>
              <w:rPr>
                <w:color w:val="0070C0"/>
                <w:sz w:val="20"/>
                <w:szCs w:val="20"/>
              </w:rPr>
            </w:pPr>
            <w:r>
              <w:rPr>
                <w:color w:val="000000"/>
                <w:sz w:val="20"/>
                <w:szCs w:val="20"/>
              </w:rPr>
              <w:t>0,1</w:t>
            </w:r>
          </w:p>
        </w:tc>
        <w:tc>
          <w:tcPr>
            <w:tcW w:w="850" w:type="dxa"/>
            <w:tcBorders>
              <w:top w:val="nil"/>
              <w:left w:val="nil"/>
              <w:bottom w:val="double" w:sz="6" w:space="0" w:color="800000"/>
              <w:right w:val="single" w:sz="4" w:space="0" w:color="800000"/>
            </w:tcBorders>
            <w:shd w:val="clear" w:color="000000" w:fill="FFFFCC"/>
            <w:noWrap/>
            <w:vAlign w:val="bottom"/>
          </w:tcPr>
          <w:p w14:paraId="6C248859" w14:textId="77777777" w:rsidR="00CC09AC" w:rsidRPr="007B48E9" w:rsidRDefault="00CC09AC" w:rsidP="003B085A">
            <w:pPr>
              <w:rPr>
                <w:color w:val="0070C0"/>
                <w:sz w:val="20"/>
                <w:szCs w:val="20"/>
              </w:rPr>
            </w:pPr>
            <w:r>
              <w:rPr>
                <w:color w:val="000000"/>
                <w:sz w:val="20"/>
                <w:szCs w:val="20"/>
              </w:rPr>
              <w:t> </w:t>
            </w:r>
          </w:p>
        </w:tc>
        <w:tc>
          <w:tcPr>
            <w:tcW w:w="851" w:type="dxa"/>
            <w:tcBorders>
              <w:top w:val="nil"/>
              <w:left w:val="nil"/>
              <w:bottom w:val="double" w:sz="6" w:space="0" w:color="800000"/>
              <w:right w:val="single" w:sz="4" w:space="0" w:color="800000"/>
            </w:tcBorders>
            <w:shd w:val="clear" w:color="000000" w:fill="FFFFCC"/>
            <w:noWrap/>
            <w:vAlign w:val="bottom"/>
          </w:tcPr>
          <w:p w14:paraId="508F9D7E" w14:textId="77777777" w:rsidR="00CC09AC" w:rsidRPr="007B48E9" w:rsidRDefault="00CC09AC" w:rsidP="003B085A">
            <w:pPr>
              <w:rPr>
                <w:color w:val="0070C0"/>
                <w:sz w:val="20"/>
                <w:szCs w:val="20"/>
              </w:rPr>
            </w:pPr>
            <w:r>
              <w:rPr>
                <w:color w:val="000000"/>
                <w:sz w:val="20"/>
                <w:szCs w:val="20"/>
              </w:rPr>
              <w:t> </w:t>
            </w:r>
          </w:p>
        </w:tc>
        <w:tc>
          <w:tcPr>
            <w:tcW w:w="992" w:type="dxa"/>
            <w:tcBorders>
              <w:top w:val="nil"/>
              <w:left w:val="nil"/>
              <w:bottom w:val="double" w:sz="6" w:space="0" w:color="800000"/>
              <w:right w:val="single" w:sz="4" w:space="0" w:color="800000"/>
            </w:tcBorders>
            <w:shd w:val="clear" w:color="000000" w:fill="FFFFCC"/>
            <w:noWrap/>
            <w:vAlign w:val="bottom"/>
          </w:tcPr>
          <w:p w14:paraId="3099B8A0" w14:textId="77777777" w:rsidR="00CC09AC" w:rsidRPr="007B48E9" w:rsidRDefault="00CC09AC" w:rsidP="003B085A">
            <w:pPr>
              <w:rPr>
                <w:color w:val="0070C0"/>
                <w:sz w:val="20"/>
                <w:szCs w:val="20"/>
              </w:rPr>
            </w:pPr>
            <w:r>
              <w:rPr>
                <w:color w:val="000000"/>
                <w:sz w:val="20"/>
                <w:szCs w:val="20"/>
              </w:rPr>
              <w:t> </w:t>
            </w:r>
          </w:p>
        </w:tc>
        <w:tc>
          <w:tcPr>
            <w:tcW w:w="1134" w:type="dxa"/>
            <w:tcBorders>
              <w:top w:val="nil"/>
              <w:left w:val="nil"/>
              <w:bottom w:val="double" w:sz="6" w:space="0" w:color="800000"/>
              <w:right w:val="single" w:sz="4" w:space="0" w:color="800000"/>
            </w:tcBorders>
            <w:shd w:val="clear" w:color="000000" w:fill="FFFFCC"/>
            <w:vAlign w:val="bottom"/>
          </w:tcPr>
          <w:p w14:paraId="144CA167" w14:textId="77777777" w:rsidR="00CC09AC" w:rsidRPr="007B48E9" w:rsidRDefault="00CC09AC" w:rsidP="003B085A">
            <w:pPr>
              <w:jc w:val="right"/>
              <w:rPr>
                <w:color w:val="0070C0"/>
                <w:sz w:val="20"/>
                <w:szCs w:val="20"/>
              </w:rPr>
            </w:pPr>
            <w:r>
              <w:rPr>
                <w:color w:val="000000"/>
                <w:sz w:val="20"/>
                <w:szCs w:val="20"/>
              </w:rPr>
              <w:t>0,1</w:t>
            </w:r>
          </w:p>
        </w:tc>
        <w:tc>
          <w:tcPr>
            <w:tcW w:w="992" w:type="dxa"/>
            <w:tcBorders>
              <w:top w:val="nil"/>
              <w:left w:val="single" w:sz="4" w:space="0" w:color="800000"/>
              <w:bottom w:val="double" w:sz="6" w:space="0" w:color="800000"/>
              <w:right w:val="double" w:sz="6" w:space="0" w:color="800000"/>
            </w:tcBorders>
            <w:shd w:val="clear" w:color="000000" w:fill="FFFFCC"/>
            <w:noWrap/>
            <w:vAlign w:val="bottom"/>
          </w:tcPr>
          <w:p w14:paraId="5AD8A6A3" w14:textId="77777777" w:rsidR="00CC09AC" w:rsidRPr="007B48E9" w:rsidRDefault="00CC09AC" w:rsidP="003B085A">
            <w:pPr>
              <w:jc w:val="right"/>
              <w:rPr>
                <w:color w:val="0070C0"/>
                <w:sz w:val="20"/>
                <w:szCs w:val="20"/>
              </w:rPr>
            </w:pPr>
            <w:r>
              <w:rPr>
                <w:color w:val="000000"/>
                <w:sz w:val="20"/>
                <w:szCs w:val="20"/>
              </w:rPr>
              <w:t> </w:t>
            </w:r>
          </w:p>
        </w:tc>
      </w:tr>
    </w:tbl>
    <w:p w14:paraId="219262D6" w14:textId="77777777" w:rsidR="00CC09AC" w:rsidRPr="007B48E9" w:rsidRDefault="00CC09AC" w:rsidP="00CC09AC">
      <w:pPr>
        <w:ind w:firstLine="540"/>
        <w:jc w:val="both"/>
        <w:rPr>
          <w:color w:val="0070C0"/>
          <w:sz w:val="14"/>
          <w:szCs w:val="14"/>
        </w:rPr>
      </w:pPr>
    </w:p>
    <w:p w14:paraId="07E67553" w14:textId="77777777" w:rsidR="00CC09AC" w:rsidRPr="007B48E9" w:rsidRDefault="00CC09AC" w:rsidP="005A6BC1">
      <w:pPr>
        <w:ind w:firstLine="709"/>
        <w:jc w:val="both"/>
        <w:rPr>
          <w:color w:val="0070C0"/>
        </w:rPr>
      </w:pPr>
      <w:r w:rsidRPr="00154807">
        <w:t>За 2022 г. по бюджетите на министерствата и ведомствата  разчетените средства по функция „Здравеопазване” са в размер на 962,3 млн. лв. По уточнен план средствата са в размер на 1 511,2  млн. лв., като увеличението на средствата основно е във връзка с приетите от правителството мерки за борбата, предотвратяването разпространението на COVID-19 и лечението му, както и в резултат на получените през годината трансфери по договори, сключени с НЗОК за изпълнение на медицински дейности и болнична медицинска помощ.</w:t>
      </w:r>
    </w:p>
    <w:p w14:paraId="2F2FB2DE" w14:textId="77777777" w:rsidR="00CC09AC" w:rsidRPr="00154807" w:rsidRDefault="00CC09AC" w:rsidP="005A6BC1">
      <w:pPr>
        <w:ind w:firstLine="709"/>
        <w:jc w:val="both"/>
      </w:pPr>
      <w:r w:rsidRPr="00154807">
        <w:t>Разходите по държавния бюджет за функция “Здравеопазване” през 2022 г. са насочени към финансиране на следните приоритети:</w:t>
      </w:r>
    </w:p>
    <w:p w14:paraId="53EDAD96" w14:textId="77777777" w:rsidR="00CC09AC" w:rsidRPr="00154807" w:rsidRDefault="00CC09AC" w:rsidP="00CC09AC">
      <w:pPr>
        <w:numPr>
          <w:ilvl w:val="0"/>
          <w:numId w:val="15"/>
        </w:numPr>
        <w:tabs>
          <w:tab w:val="left" w:pos="900"/>
        </w:tabs>
        <w:jc w:val="both"/>
      </w:pPr>
      <w:r w:rsidRPr="00154807">
        <w:t>Осигуряване на ваксини и лекарствени продукти в борбата с пандемията от COVID-19;</w:t>
      </w:r>
    </w:p>
    <w:p w14:paraId="60294382" w14:textId="77777777" w:rsidR="00CC09AC" w:rsidRPr="00154807" w:rsidRDefault="00CC09AC" w:rsidP="00CC09AC">
      <w:pPr>
        <w:numPr>
          <w:ilvl w:val="0"/>
          <w:numId w:val="15"/>
        </w:numPr>
        <w:tabs>
          <w:tab w:val="left" w:pos="900"/>
        </w:tabs>
        <w:jc w:val="both"/>
      </w:pPr>
      <w:r w:rsidRPr="00154807">
        <w:t>Осигуряване на финансиране от НЗОК на изпълнителите на медицинска помощ, на дентална помощ и на медико-диагностични дейности за работа при неблагоприятни условия във връзка с обявената епидемична обстановка и лечението на COVID-19;</w:t>
      </w:r>
    </w:p>
    <w:p w14:paraId="2A0FC146" w14:textId="77777777" w:rsidR="00CC09AC" w:rsidRPr="00154807" w:rsidRDefault="00CC09AC" w:rsidP="00CC09AC">
      <w:pPr>
        <w:numPr>
          <w:ilvl w:val="0"/>
          <w:numId w:val="15"/>
        </w:numPr>
        <w:tabs>
          <w:tab w:val="left" w:pos="900"/>
        </w:tabs>
        <w:jc w:val="both"/>
      </w:pPr>
      <w:r w:rsidRPr="00154807">
        <w:t>Основни  системи на общественото здравеопазване – центрове за спешна медицинска помощ; регионални инспекции, центрове за трансфузионна  хематология и др.;</w:t>
      </w:r>
    </w:p>
    <w:p w14:paraId="39765540" w14:textId="77777777" w:rsidR="00CC09AC" w:rsidRPr="00154807" w:rsidRDefault="00CC09AC" w:rsidP="00CC09AC">
      <w:pPr>
        <w:numPr>
          <w:ilvl w:val="0"/>
          <w:numId w:val="15"/>
        </w:numPr>
        <w:tabs>
          <w:tab w:val="left" w:pos="900"/>
        </w:tabs>
        <w:jc w:val="both"/>
      </w:pPr>
      <w:r w:rsidRPr="00154807">
        <w:t>Национални здравни програми по стратегически здравни приоритети и социално значими заболявания;</w:t>
      </w:r>
    </w:p>
    <w:p w14:paraId="0BB14248" w14:textId="77777777" w:rsidR="00CC09AC" w:rsidRPr="00154807" w:rsidRDefault="00CC09AC" w:rsidP="00CC09AC">
      <w:pPr>
        <w:numPr>
          <w:ilvl w:val="0"/>
          <w:numId w:val="15"/>
        </w:numPr>
        <w:tabs>
          <w:tab w:val="left" w:pos="900"/>
        </w:tabs>
        <w:jc w:val="both"/>
      </w:pPr>
      <w:r w:rsidRPr="00154807">
        <w:t>Осигуряване на медикаменти, консумативи и биопродукти по централна доставка;</w:t>
      </w:r>
    </w:p>
    <w:p w14:paraId="2A488951" w14:textId="77777777" w:rsidR="00CC09AC" w:rsidRPr="00154807" w:rsidRDefault="00CC09AC" w:rsidP="00CC09AC">
      <w:pPr>
        <w:numPr>
          <w:ilvl w:val="0"/>
          <w:numId w:val="15"/>
        </w:numPr>
        <w:tabs>
          <w:tab w:val="left" w:pos="900"/>
        </w:tabs>
        <w:jc w:val="both"/>
      </w:pPr>
      <w:r w:rsidRPr="00154807">
        <w:t>Диагностично-консултативна и лечебна дейност в лечебните заведения, в системата на МЗ, МТИТС, МС, МО, МВР и ММС.</w:t>
      </w:r>
    </w:p>
    <w:p w14:paraId="3BC8B501" w14:textId="77777777" w:rsidR="00CC09AC" w:rsidRPr="00156C6C" w:rsidRDefault="00CC09AC" w:rsidP="00CC09AC">
      <w:pPr>
        <w:tabs>
          <w:tab w:val="left" w:pos="900"/>
        </w:tabs>
        <w:ind w:firstLine="709"/>
        <w:jc w:val="both"/>
      </w:pPr>
      <w:r w:rsidRPr="00156C6C">
        <w:t>Основните разходи за функция „Здравеопазване” по държавния бюджет се осъществяват чрез бюджета на Министерството на здравеопазването.</w:t>
      </w:r>
    </w:p>
    <w:p w14:paraId="1DD4B345" w14:textId="77777777" w:rsidR="00CC09AC" w:rsidRPr="00156C6C" w:rsidRDefault="00CC09AC" w:rsidP="00CC09AC">
      <w:pPr>
        <w:tabs>
          <w:tab w:val="left" w:pos="900"/>
        </w:tabs>
        <w:ind w:firstLine="709"/>
        <w:jc w:val="both"/>
      </w:pPr>
      <w:r w:rsidRPr="00156C6C">
        <w:t>Министерството на здравеопазването субсидира лечебните заведения за болнична помощ с държавно и общинско участие въз основа на договор за дейности, които са определени като държавна отговорност по критерии и ред, определени от министъра на здравеопазването, в съответствие с чл. 82 от Закона за здравето. Субсидиите за болнична помощ чрез бюджета на МЗ за 2022 г. по отчет са 222,7</w:t>
      </w:r>
      <w:r w:rsidRPr="004D5FFC">
        <w:rPr>
          <w:lang w:val="ru-RU"/>
        </w:rPr>
        <w:t xml:space="preserve"> </w:t>
      </w:r>
      <w:r w:rsidRPr="00156C6C">
        <w:t xml:space="preserve">млн. лева. </w:t>
      </w:r>
    </w:p>
    <w:p w14:paraId="03EE119F" w14:textId="77777777" w:rsidR="00CC09AC" w:rsidRPr="00156C6C" w:rsidRDefault="00CC09AC" w:rsidP="00CC09AC">
      <w:pPr>
        <w:tabs>
          <w:tab w:val="left" w:pos="900"/>
        </w:tabs>
        <w:ind w:firstLine="709"/>
        <w:jc w:val="both"/>
      </w:pPr>
      <w:r w:rsidRPr="00156C6C">
        <w:t xml:space="preserve">Чрез бюджета на Министерството на здравеопазването и през 2022 г. се  осъществяват разходи  по централни доставки за ваксини и тестове, в т.ч. за COVID-19, за лекарствен продукт за лечение на </w:t>
      </w:r>
      <w:r w:rsidRPr="00156C6C">
        <w:rPr>
          <w:lang w:val="en-US"/>
        </w:rPr>
        <w:t>COVID</w:t>
      </w:r>
      <w:r w:rsidRPr="00156C6C">
        <w:t xml:space="preserve">-19 </w:t>
      </w:r>
      <w:r w:rsidRPr="004D5FFC">
        <w:rPr>
          <w:lang w:val="ru-RU"/>
        </w:rPr>
        <w:t>(</w:t>
      </w:r>
      <w:r w:rsidRPr="00156C6C">
        <w:t>Ремдесивир</w:t>
      </w:r>
      <w:r w:rsidRPr="004D5FFC">
        <w:rPr>
          <w:lang w:val="ru-RU"/>
        </w:rPr>
        <w:t>)</w:t>
      </w:r>
      <w:r w:rsidRPr="00156C6C">
        <w:t>, за лекарствени продукти за пациенти със СПИН, туберкулоза и психически и поведенчески зависимости, като по отчет тези разходи са в размер на  287,4 млн. лева.</w:t>
      </w:r>
    </w:p>
    <w:p w14:paraId="5F26B309" w14:textId="77777777" w:rsidR="00CC09AC" w:rsidRPr="00156C6C" w:rsidRDefault="00CC09AC" w:rsidP="00CC09AC">
      <w:pPr>
        <w:tabs>
          <w:tab w:val="left" w:pos="900"/>
        </w:tabs>
        <w:ind w:firstLine="709"/>
        <w:jc w:val="both"/>
      </w:pPr>
      <w:r w:rsidRPr="00156C6C">
        <w:t>През 2022 г. чрез бюджета на Министерството на здравеопазването са финансирани общо 14 Национални програми, като отчетените разходи за тях са в размер на 8,3 млн. лева.</w:t>
      </w:r>
    </w:p>
    <w:p w14:paraId="6AAF5BE6" w14:textId="77777777" w:rsidR="00CC09AC" w:rsidRPr="00156C6C" w:rsidRDefault="00CC09AC" w:rsidP="00CC09AC">
      <w:pPr>
        <w:ind w:firstLine="709"/>
        <w:jc w:val="both"/>
      </w:pPr>
      <w:r w:rsidRPr="00156C6C">
        <w:t>Просрочените задължения на лечебните заведения за болнична помощ (държавни и общински болници – търговски дружества)  по данни на МЗ към 31.12.20</w:t>
      </w:r>
      <w:r w:rsidRPr="004D5FFC">
        <w:rPr>
          <w:lang w:val="ru-RU"/>
        </w:rPr>
        <w:t>2</w:t>
      </w:r>
      <w:r w:rsidRPr="00156C6C">
        <w:t>2 г. възлизат на 94,8 млн. лв. От тях на:</w:t>
      </w:r>
    </w:p>
    <w:p w14:paraId="64657B84" w14:textId="77777777" w:rsidR="00CC09AC" w:rsidRPr="00156C6C" w:rsidRDefault="00CC09AC" w:rsidP="00CC09AC">
      <w:pPr>
        <w:ind w:firstLine="540"/>
        <w:jc w:val="both"/>
      </w:pPr>
      <w:r w:rsidRPr="00156C6C">
        <w:t>•</w:t>
      </w:r>
      <w:r w:rsidRPr="00156C6C">
        <w:tab/>
        <w:t xml:space="preserve"> държавните и с преобладаващо държавно участие в капитала болници - 78,2 млн. лв.;</w:t>
      </w:r>
    </w:p>
    <w:p w14:paraId="2440658D" w14:textId="77777777" w:rsidR="00CC09AC" w:rsidRPr="00156C6C" w:rsidRDefault="00CC09AC" w:rsidP="00CC09AC">
      <w:pPr>
        <w:ind w:firstLine="540"/>
        <w:jc w:val="both"/>
      </w:pPr>
      <w:r w:rsidRPr="00156C6C">
        <w:t>•</w:t>
      </w:r>
      <w:r w:rsidRPr="00156C6C">
        <w:tab/>
        <w:t xml:space="preserve"> общинските болници – 16,6 млн. лв. </w:t>
      </w:r>
    </w:p>
    <w:p w14:paraId="55848998" w14:textId="77777777" w:rsidR="00CC09AC" w:rsidRPr="00156C6C" w:rsidRDefault="00CC09AC" w:rsidP="00CC09AC">
      <w:pPr>
        <w:ind w:firstLine="709"/>
        <w:jc w:val="both"/>
      </w:pPr>
      <w:r w:rsidRPr="00156C6C">
        <w:t>Анализът на размера на задълженията  към 31.12.20</w:t>
      </w:r>
      <w:r w:rsidRPr="004D5FFC">
        <w:rPr>
          <w:lang w:val="ru-RU"/>
        </w:rPr>
        <w:t>2</w:t>
      </w:r>
      <w:r w:rsidRPr="00156C6C">
        <w:t>2 г. показва, намаляване на размера на просрочените задължения в лечебните заведения за болнична помощ с държано и общинско участие, спрямо отчетените просрочени задължения на лечебните заведения към 31.12.2021 г. с 19,5 млн.</w:t>
      </w:r>
      <w:r>
        <w:t xml:space="preserve"> </w:t>
      </w:r>
      <w:r w:rsidRPr="00156C6C">
        <w:t>лв</w:t>
      </w:r>
      <w:r>
        <w:t>.</w:t>
      </w:r>
      <w:r w:rsidRPr="00156C6C">
        <w:t xml:space="preserve"> или намаление от 17 %  </w:t>
      </w:r>
    </w:p>
    <w:p w14:paraId="589F6EF9" w14:textId="77777777" w:rsidR="00CC09AC" w:rsidRPr="00156C6C" w:rsidRDefault="00CC09AC" w:rsidP="00CC09AC">
      <w:pPr>
        <w:ind w:firstLine="709"/>
        <w:jc w:val="both"/>
      </w:pPr>
      <w:r w:rsidRPr="00156C6C">
        <w:t>През годината лечебните заведения за болнична помощ към МО, МВР, МТИТС и ММС са изразходвали 329,0 млн. лв. за своята дейност, включително средствата за изпълнени клинични пътеки по договори за болнична помощ с НЗОК.</w:t>
      </w:r>
    </w:p>
    <w:p w14:paraId="77712FBA" w14:textId="77777777" w:rsidR="00CC09AC" w:rsidRPr="00156C6C" w:rsidRDefault="00CC09AC" w:rsidP="00CC09AC">
      <w:pPr>
        <w:ind w:firstLine="709"/>
        <w:jc w:val="both"/>
      </w:pPr>
      <w:r w:rsidRPr="00156C6C">
        <w:t>Разпределението на отчетените общи разходи за здравеопазване по министерства и ведомства за 20</w:t>
      </w:r>
      <w:r w:rsidRPr="004D5FFC">
        <w:rPr>
          <w:lang w:val="ru-RU"/>
        </w:rPr>
        <w:t>2</w:t>
      </w:r>
      <w:r w:rsidRPr="00156C6C">
        <w:t>2 г. е следното:</w:t>
      </w:r>
    </w:p>
    <w:p w14:paraId="4C40FAA4" w14:textId="77777777" w:rsidR="00CC09AC" w:rsidRPr="001D0FBA" w:rsidRDefault="00CC09AC" w:rsidP="00CC09AC">
      <w:pPr>
        <w:ind w:firstLine="540"/>
        <w:jc w:val="both"/>
        <w:rPr>
          <w:color w:val="0070C0"/>
          <w:sz w:val="10"/>
          <w:szCs w:val="10"/>
          <w:highlight w:val="yellow"/>
        </w:rPr>
      </w:pPr>
    </w:p>
    <w:p w14:paraId="73DC3A05" w14:textId="77777777" w:rsidR="00CC09AC" w:rsidRPr="00C63D5E" w:rsidRDefault="00CC09AC" w:rsidP="00CC09AC">
      <w:pPr>
        <w:numPr>
          <w:ilvl w:val="0"/>
          <w:numId w:val="16"/>
        </w:numPr>
        <w:tabs>
          <w:tab w:val="left" w:pos="360"/>
        </w:tabs>
        <w:ind w:left="360"/>
      </w:pPr>
      <w:r w:rsidRPr="00C63D5E">
        <w:t>Министерств</w:t>
      </w:r>
      <w:r>
        <w:t>о на здравеопазването  -</w:t>
      </w:r>
      <w:r>
        <w:tab/>
      </w:r>
      <w:r>
        <w:tab/>
      </w:r>
      <w:r>
        <w:tab/>
      </w:r>
      <w:r>
        <w:tab/>
      </w:r>
      <w:r>
        <w:tab/>
        <w:t xml:space="preserve"> </w:t>
      </w:r>
      <w:r>
        <w:tab/>
      </w:r>
      <w:r w:rsidRPr="00C63D5E">
        <w:t>1 182,2</w:t>
      </w:r>
      <w:r>
        <w:t xml:space="preserve"> </w:t>
      </w:r>
      <w:r w:rsidRPr="00C63D5E">
        <w:t>млн.лв.</w:t>
      </w:r>
    </w:p>
    <w:p w14:paraId="62AAC6DA" w14:textId="77777777" w:rsidR="00CC09AC" w:rsidRPr="00C63D5E" w:rsidRDefault="00CC09AC" w:rsidP="00CC09AC">
      <w:pPr>
        <w:numPr>
          <w:ilvl w:val="0"/>
          <w:numId w:val="16"/>
        </w:numPr>
        <w:tabs>
          <w:tab w:val="left" w:pos="360"/>
        </w:tabs>
        <w:ind w:left="360"/>
        <w:jc w:val="both"/>
      </w:pPr>
      <w:r w:rsidRPr="00C63D5E">
        <w:t>Министерство на отбраната  -</w:t>
      </w:r>
      <w:r w:rsidRPr="00C63D5E">
        <w:tab/>
      </w:r>
      <w:r w:rsidRPr="00C63D5E">
        <w:tab/>
      </w:r>
      <w:r w:rsidRPr="00C63D5E">
        <w:tab/>
      </w:r>
      <w:r w:rsidRPr="00C63D5E">
        <w:tab/>
      </w:r>
      <w:r w:rsidRPr="00C63D5E">
        <w:tab/>
      </w:r>
      <w:r w:rsidRPr="00C63D5E">
        <w:tab/>
      </w:r>
      <w:r w:rsidRPr="00C63D5E">
        <w:tab/>
        <w:t xml:space="preserve">  244,8 млн. лв.</w:t>
      </w:r>
    </w:p>
    <w:p w14:paraId="4C9B8EE8" w14:textId="77777777" w:rsidR="00CC09AC" w:rsidRPr="00C63D5E" w:rsidRDefault="00CC09AC" w:rsidP="00CC09AC">
      <w:pPr>
        <w:numPr>
          <w:ilvl w:val="0"/>
          <w:numId w:val="16"/>
        </w:numPr>
        <w:tabs>
          <w:tab w:val="left" w:pos="360"/>
        </w:tabs>
        <w:ind w:left="360"/>
        <w:jc w:val="both"/>
      </w:pPr>
      <w:r w:rsidRPr="00C63D5E">
        <w:t xml:space="preserve">Министерство на вътрешните работи -        </w:t>
      </w:r>
      <w:r w:rsidRPr="00C63D5E">
        <w:tab/>
      </w:r>
      <w:r w:rsidRPr="00C63D5E">
        <w:tab/>
      </w:r>
      <w:r w:rsidRPr="00C63D5E">
        <w:tab/>
      </w:r>
      <w:r w:rsidRPr="00C63D5E">
        <w:tab/>
      </w:r>
      <w:r w:rsidRPr="00C63D5E">
        <w:tab/>
        <w:t xml:space="preserve">    64,9 млн. лв.</w:t>
      </w:r>
    </w:p>
    <w:p w14:paraId="06C641D6" w14:textId="77777777" w:rsidR="00CC09AC" w:rsidRPr="00C63D5E" w:rsidRDefault="00CC09AC" w:rsidP="00CC09AC">
      <w:pPr>
        <w:numPr>
          <w:ilvl w:val="0"/>
          <w:numId w:val="16"/>
        </w:numPr>
        <w:tabs>
          <w:tab w:val="left" w:pos="360"/>
        </w:tabs>
        <w:ind w:left="360"/>
        <w:jc w:val="both"/>
      </w:pPr>
      <w:r w:rsidRPr="00C63D5E">
        <w:t>Министерство на транспорта  и съобщенията  -</w:t>
      </w:r>
      <w:r w:rsidRPr="00C63D5E">
        <w:tab/>
      </w:r>
      <w:r w:rsidRPr="00C63D5E">
        <w:tab/>
      </w:r>
      <w:r w:rsidRPr="00C63D5E">
        <w:tab/>
      </w:r>
      <w:r w:rsidRPr="00C63D5E">
        <w:tab/>
        <w:t xml:space="preserve">    19,1 млн. лв.</w:t>
      </w:r>
    </w:p>
    <w:p w14:paraId="7ED86343" w14:textId="77777777" w:rsidR="00CC09AC" w:rsidRDefault="00CC09AC" w:rsidP="00CC09AC">
      <w:pPr>
        <w:numPr>
          <w:ilvl w:val="0"/>
          <w:numId w:val="16"/>
        </w:numPr>
        <w:tabs>
          <w:tab w:val="left" w:pos="360"/>
        </w:tabs>
        <w:ind w:left="360"/>
        <w:jc w:val="both"/>
      </w:pPr>
      <w:r w:rsidRPr="00C63D5E">
        <w:t xml:space="preserve">Министерство на младежта  и спорта  -   </w:t>
      </w:r>
      <w:r w:rsidRPr="00C63D5E">
        <w:tab/>
      </w:r>
      <w:r w:rsidRPr="00C63D5E">
        <w:tab/>
      </w:r>
      <w:r w:rsidRPr="00C63D5E">
        <w:tab/>
      </w:r>
      <w:r w:rsidRPr="00C63D5E">
        <w:tab/>
      </w:r>
      <w:r w:rsidRPr="00C63D5E">
        <w:tab/>
        <w:t xml:space="preserve">      0,2 млн. лв.</w:t>
      </w:r>
    </w:p>
    <w:p w14:paraId="4E650E34" w14:textId="77777777" w:rsidR="00CC09AC" w:rsidRDefault="00CC09AC" w:rsidP="00CC09AC">
      <w:pPr>
        <w:pStyle w:val="BodyText"/>
        <w:widowControl w:val="0"/>
        <w:spacing w:after="0"/>
        <w:ind w:firstLine="709"/>
        <w:jc w:val="both"/>
      </w:pPr>
    </w:p>
    <w:p w14:paraId="15DECD51" w14:textId="77777777" w:rsidR="00CC09AC" w:rsidRPr="00CA6173" w:rsidRDefault="00CC09AC" w:rsidP="00CC09AC">
      <w:pPr>
        <w:pStyle w:val="BodyText"/>
        <w:widowControl w:val="0"/>
        <w:spacing w:after="0"/>
        <w:ind w:firstLine="709"/>
        <w:jc w:val="both"/>
      </w:pPr>
      <w:r w:rsidRPr="00CA6173">
        <w:t xml:space="preserve">По </w:t>
      </w:r>
      <w:r w:rsidRPr="00CA6173">
        <w:rPr>
          <w:b/>
        </w:rPr>
        <w:t>общинските бюджети</w:t>
      </w:r>
      <w:r w:rsidRPr="00CA6173">
        <w:t xml:space="preserve"> за функция “Здравеопазване” са отчетени разходи в размер </w:t>
      </w:r>
      <w:r w:rsidRPr="00224F51">
        <w:t>на 352,4 млн. лв. или 118,</w:t>
      </w:r>
      <w:r w:rsidRPr="00CA6173">
        <w:t xml:space="preserve">3 % спрямо предвидените по разчетите към ЗДБРБ за 2022 г. </w:t>
      </w:r>
    </w:p>
    <w:p w14:paraId="1F774989" w14:textId="77777777" w:rsidR="00CC09AC" w:rsidRPr="006850D1" w:rsidRDefault="00CC09AC" w:rsidP="00CC09AC">
      <w:pPr>
        <w:pStyle w:val="BodyText"/>
        <w:widowControl w:val="0"/>
        <w:spacing w:after="0"/>
        <w:ind w:firstLine="709"/>
        <w:jc w:val="both"/>
      </w:pPr>
      <w:r w:rsidRPr="00A92AF4">
        <w:t xml:space="preserve">Отчетените текущи разходи за тази функция са в размер на 317,1 млн. лв., което е с </w:t>
      </w:r>
      <w:r w:rsidRPr="006850D1">
        <w:t xml:space="preserve">35,9 млн. лв. повече или 112,8 % спрямо разчетените със закона и 124,4 % спрямо отчетените за 2021 г. </w:t>
      </w:r>
    </w:p>
    <w:p w14:paraId="3E4CCD95" w14:textId="77777777" w:rsidR="00CC09AC" w:rsidRPr="003535FC" w:rsidRDefault="00CC09AC" w:rsidP="00CC09AC">
      <w:pPr>
        <w:pStyle w:val="BodyTextIndent"/>
        <w:widowControl w:val="0"/>
        <w:spacing w:after="0"/>
        <w:ind w:left="0" w:firstLine="709"/>
        <w:jc w:val="both"/>
        <w:rPr>
          <w:lang w:val="bg-BG"/>
        </w:rPr>
      </w:pPr>
      <w:r w:rsidRPr="003535FC">
        <w:rPr>
          <w:lang w:val="bg-BG"/>
        </w:rPr>
        <w:t xml:space="preserve">Отчетените </w:t>
      </w:r>
      <w:r w:rsidRPr="003535FC">
        <w:rPr>
          <w:lang w:val="bg-BG" w:eastAsia="bg-BG"/>
        </w:rPr>
        <w:t>капиталови</w:t>
      </w:r>
      <w:r w:rsidRPr="003535FC">
        <w:rPr>
          <w:lang w:val="bg-BG"/>
        </w:rPr>
        <w:t xml:space="preserve"> разходи по функцията са в размер на 35,4 млн. </w:t>
      </w:r>
      <w:r w:rsidRPr="003535FC">
        <w:rPr>
          <w:lang w:val="ru-RU"/>
        </w:rPr>
        <w:t>лева</w:t>
      </w:r>
      <w:r w:rsidRPr="003535FC">
        <w:rPr>
          <w:lang w:val="bg-BG"/>
        </w:rPr>
        <w:t xml:space="preserve">. </w:t>
      </w:r>
    </w:p>
    <w:p w14:paraId="2377AB8A" w14:textId="77777777" w:rsidR="00CC09AC" w:rsidRPr="003535FC" w:rsidRDefault="00CC09AC" w:rsidP="00CC09AC">
      <w:pPr>
        <w:pStyle w:val="BodyTextIndent"/>
        <w:widowControl w:val="0"/>
        <w:spacing w:after="0"/>
        <w:ind w:left="0" w:firstLine="709"/>
        <w:jc w:val="both"/>
        <w:rPr>
          <w:lang w:val="bg-BG"/>
        </w:rPr>
      </w:pPr>
      <w:r w:rsidRPr="003535FC">
        <w:rPr>
          <w:lang w:val="bg-BG"/>
        </w:rPr>
        <w:t>Разпределението на разходите във функция “Здравеопазване” по общинските бюджети е, както следва:</w:t>
      </w:r>
    </w:p>
    <w:p w14:paraId="40FCA1E1" w14:textId="143136B6" w:rsidR="00CC09AC" w:rsidRPr="00224F51" w:rsidRDefault="00CC09AC" w:rsidP="00CC09AC">
      <w:pPr>
        <w:pStyle w:val="BodyTextIndent"/>
        <w:widowControl w:val="0"/>
        <w:numPr>
          <w:ilvl w:val="0"/>
          <w:numId w:val="17"/>
        </w:numPr>
        <w:tabs>
          <w:tab w:val="num" w:pos="360"/>
        </w:tabs>
        <w:spacing w:before="120" w:after="0"/>
        <w:ind w:left="360"/>
        <w:jc w:val="both"/>
        <w:rPr>
          <w:b/>
          <w:lang w:val="bg-BG"/>
        </w:rPr>
      </w:pPr>
      <w:r w:rsidRPr="00224F51">
        <w:rPr>
          <w:b/>
          <w:lang w:val="bg-BG"/>
        </w:rPr>
        <w:t xml:space="preserve">за </w:t>
      </w:r>
      <w:r w:rsidRPr="00224F51">
        <w:rPr>
          <w:b/>
          <w:i/>
          <w:lang w:val="bg-BG" w:eastAsia="bg-BG"/>
        </w:rPr>
        <w:t xml:space="preserve">делегирани </w:t>
      </w:r>
      <w:r w:rsidRPr="00224F51">
        <w:rPr>
          <w:b/>
          <w:i/>
          <w:lang w:val="bg-BG"/>
        </w:rPr>
        <w:t xml:space="preserve">от </w:t>
      </w:r>
      <w:r w:rsidRPr="00224F51">
        <w:rPr>
          <w:b/>
          <w:i/>
          <w:lang w:val="bg-BG" w:eastAsia="bg-BG"/>
        </w:rPr>
        <w:t>държавата</w:t>
      </w:r>
      <w:r w:rsidRPr="00224F51">
        <w:rPr>
          <w:b/>
          <w:i/>
          <w:lang w:val="bg-BG"/>
        </w:rPr>
        <w:t xml:space="preserve"> дейности</w:t>
      </w:r>
      <w:r w:rsidRPr="00224F51">
        <w:rPr>
          <w:b/>
          <w:i/>
          <w:lang w:val="ru-RU"/>
        </w:rPr>
        <w:t xml:space="preserve"> </w:t>
      </w:r>
      <w:r w:rsidRPr="00224F51">
        <w:rPr>
          <w:b/>
          <w:i/>
          <w:lang w:val="bg-BG"/>
        </w:rPr>
        <w:t>– 274,</w:t>
      </w:r>
      <w:r w:rsidR="00224F51" w:rsidRPr="00224F51">
        <w:rPr>
          <w:b/>
          <w:i/>
          <w:lang w:val="bg-BG"/>
        </w:rPr>
        <w:t>9</w:t>
      </w:r>
      <w:r w:rsidRPr="00224F51">
        <w:rPr>
          <w:b/>
          <w:i/>
          <w:lang w:val="bg-BG"/>
        </w:rPr>
        <w:t xml:space="preserve"> млн. лв.:</w:t>
      </w:r>
    </w:p>
    <w:p w14:paraId="36DAF8ED" w14:textId="74D03BAC" w:rsidR="00CC09AC" w:rsidRPr="00224F51" w:rsidRDefault="00CC09AC" w:rsidP="00CC09AC">
      <w:pPr>
        <w:pStyle w:val="BodyTextIndent"/>
        <w:widowControl w:val="0"/>
        <w:numPr>
          <w:ilvl w:val="0"/>
          <w:numId w:val="18"/>
        </w:numPr>
        <w:tabs>
          <w:tab w:val="num" w:pos="720"/>
        </w:tabs>
        <w:spacing w:after="0"/>
        <w:ind w:left="0" w:firstLine="426"/>
        <w:jc w:val="both"/>
        <w:rPr>
          <w:color w:val="0070C0"/>
          <w:lang w:val="bg-BG" w:eastAsia="bg-BG"/>
        </w:rPr>
      </w:pPr>
      <w:r w:rsidRPr="003535FC">
        <w:rPr>
          <w:i/>
          <w:lang w:val="bg-BG" w:eastAsia="bg-BG"/>
        </w:rPr>
        <w:t>текущи разходи</w:t>
      </w:r>
      <w:r w:rsidRPr="003535FC">
        <w:rPr>
          <w:lang w:val="bg-BG" w:eastAsia="bg-BG"/>
        </w:rPr>
        <w:t xml:space="preserve"> - </w:t>
      </w:r>
      <w:r w:rsidRPr="004D5FFC">
        <w:rPr>
          <w:lang w:val="ru-RU"/>
        </w:rPr>
        <w:t>предвидените средства по закон за</w:t>
      </w:r>
      <w:r w:rsidRPr="004D5FFC">
        <w:rPr>
          <w:i/>
          <w:lang w:val="ru-RU"/>
        </w:rPr>
        <w:t xml:space="preserve"> </w:t>
      </w:r>
      <w:r w:rsidRPr="004D5FFC">
        <w:rPr>
          <w:lang w:val="ru-RU"/>
        </w:rPr>
        <w:t>текущи разходи</w:t>
      </w:r>
      <w:r w:rsidRPr="004D5FFC">
        <w:rPr>
          <w:i/>
          <w:lang w:val="ru-RU"/>
        </w:rPr>
        <w:t xml:space="preserve"> </w:t>
      </w:r>
      <w:r w:rsidRPr="004D5FFC">
        <w:rPr>
          <w:lang w:val="ru-RU"/>
        </w:rPr>
        <w:t>са в размер на 246,</w:t>
      </w:r>
      <w:r w:rsidR="00E17FFC">
        <w:rPr>
          <w:lang w:val="ru-RU"/>
        </w:rPr>
        <w:t>8</w:t>
      </w:r>
      <w:r w:rsidRPr="004D5FFC">
        <w:rPr>
          <w:lang w:val="ru-RU"/>
        </w:rPr>
        <w:t xml:space="preserve"> млн. лв., а действително извършените са 26</w:t>
      </w:r>
      <w:r w:rsidR="00224F51">
        <w:rPr>
          <w:lang w:val="ru-RU"/>
        </w:rPr>
        <w:t>5</w:t>
      </w:r>
      <w:r w:rsidRPr="004D5FFC">
        <w:rPr>
          <w:lang w:val="ru-RU"/>
        </w:rPr>
        <w:t>,</w:t>
      </w:r>
      <w:r w:rsidR="00224F51">
        <w:rPr>
          <w:lang w:val="ru-RU"/>
        </w:rPr>
        <w:t>0</w:t>
      </w:r>
      <w:r w:rsidRPr="004D5FFC">
        <w:rPr>
          <w:lang w:val="ru-RU"/>
        </w:rPr>
        <w:t xml:space="preserve"> млн. лв. или 107</w:t>
      </w:r>
      <w:r>
        <w:rPr>
          <w:lang w:val="bg-BG"/>
        </w:rPr>
        <w:t xml:space="preserve">,0 </w:t>
      </w:r>
      <w:r w:rsidRPr="004D5FFC">
        <w:rPr>
          <w:lang w:val="ru-RU"/>
        </w:rPr>
        <w:t>% от планираните. Увеличението е във връзка с извършената актуализация на Закона за държавния бюджет на Република България за 2022 г., с която се постига ръст на трудовите възнаграждения на медицинския персонал, зает в здравните кабинети в държавните и общинските детски градини и училища, в детските ясли и яслените групи към детски градини за достигане на минималните нива на заплащане</w:t>
      </w:r>
      <w:r w:rsidR="00A3436C">
        <w:rPr>
          <w:lang w:val="bg-BG"/>
        </w:rPr>
        <w:t>,</w:t>
      </w:r>
      <w:r w:rsidRPr="004D5FFC">
        <w:rPr>
          <w:lang w:val="ru-RU"/>
        </w:rPr>
        <w:t xml:space="preserve"> договорени в колективния трудов договор в отрасъл „Здравеопазване“, както и във връзка с въвеждането на норматив за издръжка на дете в детските ясли, включващ и компенсиране отпадането на съответната такса по ЗМД</w:t>
      </w:r>
      <w:r w:rsidR="000916FC">
        <w:rPr>
          <w:lang w:val="bg-BG"/>
        </w:rPr>
        <w:t>Т</w:t>
      </w:r>
      <w:r w:rsidRPr="004D5FFC">
        <w:rPr>
          <w:lang w:val="ru-RU"/>
        </w:rPr>
        <w:t>, считано от м. април 2022 г. Изпълнението е 134</w:t>
      </w:r>
      <w:r w:rsidR="00E70673" w:rsidRPr="00F26A14">
        <w:rPr>
          <w:lang w:val="ru-RU"/>
        </w:rPr>
        <w:t xml:space="preserve"> </w:t>
      </w:r>
      <w:r w:rsidRPr="004D5FFC">
        <w:rPr>
          <w:lang w:val="ru-RU"/>
        </w:rPr>
        <w:t xml:space="preserve">% спрямо отчета за 2021 г. Тук се отчитат разходите за персонал в детските ясли </w:t>
      </w:r>
      <w:r w:rsidR="00E70673">
        <w:rPr>
          <w:lang w:val="ru-RU"/>
        </w:rPr>
        <w:t>и яслените групи в детските градини,</w:t>
      </w:r>
      <w:r w:rsidRPr="004D5FFC">
        <w:rPr>
          <w:lang w:val="ru-RU"/>
        </w:rPr>
        <w:t xml:space="preserve"> детските кухни, разходите за здравни кабинети в детските градини и училища, здравни медиатори, общинските съвети по наркотични вещества и превантивно информационни центрове, </w:t>
      </w:r>
      <w:r w:rsidRPr="00224F51">
        <w:rPr>
          <w:lang w:val="ru-RU"/>
        </w:rPr>
        <w:t>пътни разходи на правоимащи болни и средствата за командироване на експертите от ТЕЛК от друга община</w:t>
      </w:r>
      <w:r w:rsidRPr="00224F51">
        <w:rPr>
          <w:color w:val="0070C0"/>
          <w:lang w:val="bg-BG" w:eastAsia="bg-BG"/>
        </w:rPr>
        <w:t xml:space="preserve">. </w:t>
      </w:r>
    </w:p>
    <w:p w14:paraId="098C5AD1" w14:textId="77777777" w:rsidR="00CC09AC" w:rsidRPr="00224F51" w:rsidRDefault="00CC09AC" w:rsidP="00CC09AC">
      <w:pPr>
        <w:pStyle w:val="BodyTextIndent"/>
        <w:widowControl w:val="0"/>
        <w:numPr>
          <w:ilvl w:val="0"/>
          <w:numId w:val="18"/>
        </w:numPr>
        <w:tabs>
          <w:tab w:val="num" w:pos="720"/>
        </w:tabs>
        <w:spacing w:after="0"/>
        <w:ind w:left="0" w:firstLine="539"/>
        <w:jc w:val="both"/>
        <w:rPr>
          <w:i/>
          <w:lang w:val="bg-BG" w:eastAsia="bg-BG"/>
        </w:rPr>
      </w:pPr>
      <w:r w:rsidRPr="00224F51">
        <w:rPr>
          <w:i/>
          <w:lang w:val="bg-BG" w:eastAsia="bg-BG"/>
        </w:rPr>
        <w:t>капиталови разходи - отчетените средства за държавни дейности са в размер на 9,9 млн. лв.</w:t>
      </w:r>
    </w:p>
    <w:p w14:paraId="6884B8AC" w14:textId="48F2E7C9" w:rsidR="00CC09AC" w:rsidRPr="00224F51" w:rsidRDefault="00CC09AC" w:rsidP="00CC09AC">
      <w:pPr>
        <w:pStyle w:val="BodyTextIndent"/>
        <w:widowControl w:val="0"/>
        <w:tabs>
          <w:tab w:val="left" w:pos="540"/>
        </w:tabs>
        <w:spacing w:after="0"/>
        <w:ind w:left="0" w:firstLine="709"/>
        <w:jc w:val="both"/>
        <w:rPr>
          <w:lang w:val="bg-BG" w:eastAsia="bg-BG"/>
        </w:rPr>
      </w:pPr>
      <w:r w:rsidRPr="00224F51">
        <w:rPr>
          <w:lang w:val="bg-BG" w:eastAsia="bg-BG"/>
        </w:rPr>
        <w:t>По отчетни данни за 2022 г. общините са дофинансирали държавните дейности със собствени приходи общо в размер на 12,9 млн. лв</w:t>
      </w:r>
      <w:r w:rsidRPr="00224F51" w:rsidDel="00457EBA">
        <w:rPr>
          <w:lang w:val="bg-BG" w:eastAsia="bg-BG"/>
        </w:rPr>
        <w:t>.</w:t>
      </w:r>
      <w:r w:rsidR="00224F51" w:rsidRPr="00224F51">
        <w:rPr>
          <w:lang w:val="bg-BG" w:eastAsia="bg-BG"/>
        </w:rPr>
        <w:t>, от които за текущи разходи 3,4 млн. лв. и за капиталови – 9,5 млн.лева.</w:t>
      </w:r>
    </w:p>
    <w:p w14:paraId="46AD99E4" w14:textId="704008CF" w:rsidR="00CC09AC" w:rsidRPr="00224F51" w:rsidRDefault="00CC09AC" w:rsidP="00CC09AC">
      <w:pPr>
        <w:pStyle w:val="BodyTextIndent"/>
        <w:widowControl w:val="0"/>
        <w:numPr>
          <w:ilvl w:val="0"/>
          <w:numId w:val="17"/>
        </w:numPr>
        <w:tabs>
          <w:tab w:val="num" w:pos="360"/>
        </w:tabs>
        <w:spacing w:after="0"/>
        <w:ind w:left="360"/>
        <w:jc w:val="both"/>
        <w:rPr>
          <w:b/>
          <w:lang w:val="bg-BG"/>
        </w:rPr>
      </w:pPr>
      <w:r w:rsidRPr="00224F51">
        <w:rPr>
          <w:b/>
          <w:lang w:val="bg-BG"/>
        </w:rPr>
        <w:t>за местни дейности</w:t>
      </w:r>
      <w:r w:rsidRPr="00224F51">
        <w:rPr>
          <w:b/>
          <w:lang w:val="ru-RU"/>
        </w:rPr>
        <w:t xml:space="preserve"> </w:t>
      </w:r>
      <w:r w:rsidRPr="00224F51">
        <w:rPr>
          <w:b/>
          <w:i/>
          <w:lang w:val="bg-BG"/>
        </w:rPr>
        <w:t xml:space="preserve">– </w:t>
      </w:r>
      <w:r w:rsidR="005C6B9C" w:rsidRPr="00224F51">
        <w:rPr>
          <w:b/>
          <w:i/>
          <w:lang w:val="ru-RU"/>
        </w:rPr>
        <w:t>64,</w:t>
      </w:r>
      <w:r w:rsidR="00224F51" w:rsidRPr="00224F51">
        <w:rPr>
          <w:b/>
          <w:i/>
          <w:lang w:val="ru-RU"/>
        </w:rPr>
        <w:t>6</w:t>
      </w:r>
      <w:r w:rsidRPr="00224F51">
        <w:rPr>
          <w:b/>
          <w:i/>
          <w:lang w:val="bg-BG"/>
        </w:rPr>
        <w:t xml:space="preserve"> млн. лв.</w:t>
      </w:r>
      <w:r w:rsidRPr="00224F51">
        <w:rPr>
          <w:b/>
          <w:lang w:val="bg-BG"/>
        </w:rPr>
        <w:t>:</w:t>
      </w:r>
    </w:p>
    <w:p w14:paraId="0CF59FE4" w14:textId="0E51C426" w:rsidR="00CC09AC" w:rsidRPr="002D1AA5" w:rsidRDefault="00CC09AC" w:rsidP="00CC09AC">
      <w:pPr>
        <w:pStyle w:val="BodyTextIndent"/>
        <w:widowControl w:val="0"/>
        <w:numPr>
          <w:ilvl w:val="0"/>
          <w:numId w:val="18"/>
        </w:numPr>
        <w:tabs>
          <w:tab w:val="num" w:pos="720"/>
        </w:tabs>
        <w:spacing w:after="0"/>
        <w:ind w:left="0" w:firstLine="539"/>
        <w:jc w:val="both"/>
        <w:rPr>
          <w:lang w:val="bg-BG" w:eastAsia="bg-BG"/>
        </w:rPr>
      </w:pPr>
      <w:r w:rsidRPr="002D1AA5">
        <w:rPr>
          <w:i/>
          <w:lang w:val="bg-BG" w:eastAsia="bg-BG"/>
        </w:rPr>
        <w:t xml:space="preserve">текущи разходи - </w:t>
      </w:r>
      <w:r w:rsidRPr="002D1AA5">
        <w:rPr>
          <w:lang w:val="bg-BG" w:eastAsia="bg-BG"/>
        </w:rPr>
        <w:t xml:space="preserve">отчетени са текущи разходи в размер на </w:t>
      </w:r>
      <w:r w:rsidR="008E65EF">
        <w:rPr>
          <w:lang w:val="bg-BG" w:eastAsia="bg-BG"/>
        </w:rPr>
        <w:t>48,</w:t>
      </w:r>
      <w:r w:rsidR="00224F51">
        <w:rPr>
          <w:lang w:val="bg-BG" w:eastAsia="bg-BG"/>
        </w:rPr>
        <w:t>7</w:t>
      </w:r>
      <w:r w:rsidRPr="002D1AA5">
        <w:rPr>
          <w:lang w:val="bg-BG" w:eastAsia="bg-BG"/>
        </w:rPr>
        <w:t xml:space="preserve"> млн. лв.</w:t>
      </w:r>
      <w:r>
        <w:rPr>
          <w:lang w:val="bg-BG" w:eastAsia="bg-BG"/>
        </w:rPr>
        <w:t xml:space="preserve">, </w:t>
      </w:r>
      <w:r w:rsidRPr="004D5FFC">
        <w:rPr>
          <w:lang w:val="ru-RU"/>
        </w:rPr>
        <w:t>което представлява 142</w:t>
      </w:r>
      <w:r>
        <w:rPr>
          <w:lang w:val="bg-BG"/>
        </w:rPr>
        <w:t xml:space="preserve">,0 </w:t>
      </w:r>
      <w:r w:rsidRPr="004D5FFC">
        <w:rPr>
          <w:lang w:val="ru-RU"/>
        </w:rPr>
        <w:t>%</w:t>
      </w:r>
      <w:r w:rsidRPr="004D5FFC">
        <w:rPr>
          <w:b/>
          <w:lang w:val="ru-RU"/>
        </w:rPr>
        <w:t xml:space="preserve"> </w:t>
      </w:r>
      <w:r w:rsidRPr="004D5FFC">
        <w:rPr>
          <w:lang w:val="ru-RU"/>
        </w:rPr>
        <w:t>спрямо закона</w:t>
      </w:r>
      <w:r w:rsidR="00063707">
        <w:rPr>
          <w:lang w:val="ru-RU"/>
        </w:rPr>
        <w:t>.</w:t>
      </w:r>
      <w:r w:rsidRPr="002D1AA5">
        <w:rPr>
          <w:lang w:val="bg-BG" w:eastAsia="bg-BG"/>
        </w:rPr>
        <w:t xml:space="preserve"> Тук се включват разходите за издръжка на детските ясли и детските кухни и средствата по решение на общинския съвет за осъществяване на болнична помощ за дейности извън обхвата на задължителното здравно осигуряване или програми.</w:t>
      </w:r>
    </w:p>
    <w:p w14:paraId="46039C0F" w14:textId="77777777" w:rsidR="00CC09AC" w:rsidRPr="002D1AA5" w:rsidRDefault="00CC09AC" w:rsidP="00CC09AC">
      <w:pPr>
        <w:pStyle w:val="BodyTextIndent"/>
        <w:widowControl w:val="0"/>
        <w:numPr>
          <w:ilvl w:val="0"/>
          <w:numId w:val="18"/>
        </w:numPr>
        <w:tabs>
          <w:tab w:val="num" w:pos="720"/>
        </w:tabs>
        <w:spacing w:after="0"/>
        <w:ind w:left="0" w:firstLine="539"/>
        <w:jc w:val="both"/>
        <w:rPr>
          <w:lang w:val="bg-BG" w:eastAsia="bg-BG"/>
        </w:rPr>
      </w:pPr>
      <w:r w:rsidRPr="002D1AA5">
        <w:rPr>
          <w:i/>
          <w:lang w:val="bg-BG" w:eastAsia="bg-BG"/>
        </w:rPr>
        <w:t xml:space="preserve">капиталови разходи - </w:t>
      </w:r>
      <w:r w:rsidRPr="002D1AA5">
        <w:rPr>
          <w:lang w:val="bg-BG" w:eastAsia="bg-BG"/>
        </w:rPr>
        <w:t xml:space="preserve">отчетените разходи са в размер на </w:t>
      </w:r>
      <w:r w:rsidRPr="009C7236">
        <w:rPr>
          <w:lang w:val="bg-BG" w:eastAsia="bg-BG"/>
        </w:rPr>
        <w:t xml:space="preserve">15,9 млн. лв. </w:t>
      </w:r>
    </w:p>
    <w:p w14:paraId="1386C810" w14:textId="77777777" w:rsidR="00CC09AC" w:rsidRPr="007B48E9" w:rsidRDefault="00CC09AC" w:rsidP="00CC09AC">
      <w:pPr>
        <w:spacing w:before="120" w:after="120"/>
        <w:ind w:firstLine="709"/>
        <w:jc w:val="both"/>
        <w:rPr>
          <w:color w:val="0070C0"/>
        </w:rPr>
      </w:pPr>
      <w:r w:rsidRPr="00554946">
        <w:t xml:space="preserve">Общият размер на извършените разходи за функцията </w:t>
      </w:r>
      <w:r w:rsidRPr="00554946">
        <w:rPr>
          <w:b/>
        </w:rPr>
        <w:t>по бюджета на НЗОК</w:t>
      </w:r>
      <w:r w:rsidRPr="00554946">
        <w:t xml:space="preserve"> е </w:t>
      </w:r>
      <w:r w:rsidRPr="008A1E9F">
        <w:t xml:space="preserve">6 089,4 млн. лв., като с най-голям относителен дял са здравноосигурителните плащания в размер на 5 807,2 млн. лева. </w:t>
      </w:r>
    </w:p>
    <w:p w14:paraId="34B5D4C5" w14:textId="77777777" w:rsidR="00CC09AC" w:rsidRPr="004A506A" w:rsidRDefault="00CC09AC" w:rsidP="005A6BC1">
      <w:pPr>
        <w:pStyle w:val="BodyTextIndent2"/>
        <w:spacing w:after="0" w:line="240" w:lineRule="auto"/>
        <w:ind w:left="0" w:firstLine="709"/>
        <w:jc w:val="both"/>
      </w:pPr>
      <w:r w:rsidRPr="004A506A">
        <w:rPr>
          <w:b/>
        </w:rPr>
        <w:t>Европейски средства</w:t>
      </w:r>
      <w:r w:rsidRPr="004A506A">
        <w:t xml:space="preserve"> – изразходваните средства във функция „Здравеопазване“ за 2022 г. са в размер на 19,8 млн. лв.</w:t>
      </w:r>
      <w:r>
        <w:t xml:space="preserve"> </w:t>
      </w:r>
      <w:r w:rsidRPr="004D5FFC">
        <w:rPr>
          <w:lang w:val="ru-RU"/>
        </w:rPr>
        <w:t>(</w:t>
      </w:r>
      <w:r>
        <w:t>от програмен перод 2014 - 2020 г.</w:t>
      </w:r>
      <w:r w:rsidRPr="004D5FFC">
        <w:rPr>
          <w:lang w:val="ru-RU"/>
        </w:rPr>
        <w:t>)</w:t>
      </w:r>
      <w:r w:rsidRPr="004A506A">
        <w:t>, основно по следните оперативни и др. програми:</w:t>
      </w:r>
    </w:p>
    <w:p w14:paraId="3EB063EE" w14:textId="42D93259" w:rsidR="00CC09AC" w:rsidRPr="007B48E9" w:rsidRDefault="00CC09AC" w:rsidP="005A6BC1">
      <w:pPr>
        <w:ind w:firstLine="709"/>
        <w:jc w:val="both"/>
        <w:rPr>
          <w:bCs/>
          <w:color w:val="0070C0"/>
        </w:rPr>
      </w:pPr>
      <w:r w:rsidRPr="004A506A">
        <w:rPr>
          <w:b/>
          <w:i/>
        </w:rPr>
        <w:t>По Оперативна програма „Региони в растеж“</w:t>
      </w:r>
      <w:r w:rsidRPr="004A506A">
        <w:t xml:space="preserve"> са изразходени средства в размер 9,0 млн. лв.</w:t>
      </w:r>
      <w:r w:rsidR="001B1DDD" w:rsidRPr="001B1DDD">
        <w:t xml:space="preserve"> По приоритетна ос 4 „Регионална здравна инфраструктура“</w:t>
      </w:r>
      <w:r w:rsidR="001B1DDD">
        <w:t xml:space="preserve"> </w:t>
      </w:r>
      <w:r w:rsidR="001B1DDD" w:rsidRPr="001B1DDD">
        <w:t>сключените договори са в общ размер на БФП 223</w:t>
      </w:r>
      <w:r w:rsidR="001B1DDD">
        <w:t>,</w:t>
      </w:r>
      <w:r w:rsidR="001B1DDD" w:rsidRPr="001B1DDD">
        <w:t>9 млн. лева или 100</w:t>
      </w:r>
      <w:r w:rsidR="001B1DDD">
        <w:t xml:space="preserve"> %</w:t>
      </w:r>
      <w:r w:rsidR="001B1DDD" w:rsidRPr="001B1DDD">
        <w:t xml:space="preserve"> от бюджета на ПО. Постигнатите резултати са: закупени съвременни санитарни превозни средства - 347 линейки, което представлява 86,8</w:t>
      </w:r>
      <w:r w:rsidR="001B1DDD">
        <w:t xml:space="preserve"> </w:t>
      </w:r>
      <w:r w:rsidR="001B1DDD" w:rsidRPr="001B1DDD">
        <w:t>% от крайната цел. Сертифицираните разходи към 31.12.2022 г. са в размер на 41 673 475,52 евро (36,4 % от бюджета на приоритетната ос).</w:t>
      </w:r>
    </w:p>
    <w:p w14:paraId="0FF67D8D" w14:textId="605FEC8C" w:rsidR="00CC09AC" w:rsidRPr="007B48E9" w:rsidRDefault="00CC09AC" w:rsidP="005A6BC1">
      <w:pPr>
        <w:pStyle w:val="BodyTextIndent2"/>
        <w:spacing w:after="0" w:line="240" w:lineRule="auto"/>
        <w:ind w:left="0" w:firstLine="709"/>
        <w:jc w:val="both"/>
        <w:rPr>
          <w:color w:val="0070C0"/>
        </w:rPr>
      </w:pPr>
      <w:r w:rsidRPr="004A506A">
        <w:rPr>
          <w:b/>
          <w:i/>
        </w:rPr>
        <w:t>Оперативна програма „Развитие на човешките ресурси“</w:t>
      </w:r>
      <w:r w:rsidRPr="004A506A">
        <w:t xml:space="preserve"> - изразход</w:t>
      </w:r>
      <w:r>
        <w:t>ва</w:t>
      </w:r>
      <w:r w:rsidRPr="004A506A">
        <w:t xml:space="preserve">ните средства са в размер 4,0 млн. лв. </w:t>
      </w:r>
      <w:r w:rsidRPr="00547A6D">
        <w:t xml:space="preserve">Тази оперативна програма е една от водещите  програми за минимизиране на отрицателните последици от епидемичното разпространение на COVD-19. В кратки срокове бяха стартирани редица мерки, насочени към справяне с новите предизвикателства и приоритети. Тези мерки бяха насочени както към здравния персонал и служители в институциите, работещи на първа линия, така и към лица в риск от изпадане от пазара на труда или социално изключване. </w:t>
      </w:r>
      <w:r w:rsidR="001B1DDD" w:rsidRPr="001B1DDD">
        <w:t>Към края на 2022 г. е програмиран 100</w:t>
      </w:r>
      <w:r w:rsidR="001B1DDD">
        <w:t xml:space="preserve"> </w:t>
      </w:r>
      <w:r w:rsidR="001B1DDD" w:rsidRPr="001B1DDD">
        <w:t>% от ресурса по ПО 6, договорен е 97</w:t>
      </w:r>
      <w:r w:rsidR="001B1DDD">
        <w:t xml:space="preserve"> </w:t>
      </w:r>
      <w:r w:rsidR="001B1DDD" w:rsidRPr="001B1DDD">
        <w:t>%, а размерът на извършените плащания надхвърли 75</w:t>
      </w:r>
      <w:r w:rsidR="001B1DDD">
        <w:t xml:space="preserve"> </w:t>
      </w:r>
      <w:r w:rsidR="001B1DDD" w:rsidRPr="001B1DDD">
        <w:t>%. Остатъчният ресурс по тази ос бе пренасочен към операция „Солидарност“ за подпомагане на лица, намерили закрила у нас от военните действия в Украйна. В същото време продължиха да се изпълняват и стартиралите през 2020 и 2021 г. мерки.</w:t>
      </w:r>
    </w:p>
    <w:p w14:paraId="7E3B46C3" w14:textId="77777777" w:rsidR="00CC09AC" w:rsidRDefault="00CC09AC" w:rsidP="00CC09AC">
      <w:pPr>
        <w:pStyle w:val="BodyTextIndent2"/>
        <w:spacing w:line="240" w:lineRule="auto"/>
        <w:ind w:left="0" w:firstLine="709"/>
        <w:jc w:val="both"/>
        <w:rPr>
          <w:b/>
          <w:i/>
        </w:rPr>
      </w:pPr>
      <w:r w:rsidRPr="004A506A">
        <w:rPr>
          <w:b/>
          <w:i/>
        </w:rPr>
        <w:t>Оперативна програма „</w:t>
      </w:r>
      <w:r w:rsidRPr="001C7E5C">
        <w:rPr>
          <w:b/>
          <w:i/>
        </w:rPr>
        <w:t>Наука и образование за интелигентен растеж</w:t>
      </w:r>
      <w:r w:rsidRPr="004A506A">
        <w:rPr>
          <w:b/>
          <w:i/>
        </w:rPr>
        <w:t>“</w:t>
      </w:r>
      <w:r w:rsidRPr="004A506A">
        <w:t xml:space="preserve"> - </w:t>
      </w:r>
      <w:r w:rsidRPr="001C7E5C">
        <w:t xml:space="preserve">изразходваните </w:t>
      </w:r>
      <w:r w:rsidRPr="004A506A">
        <w:t>средства са в размер 4,0 млн. лв.</w:t>
      </w:r>
    </w:p>
    <w:p w14:paraId="43169E0D" w14:textId="77777777" w:rsidR="00CC09AC" w:rsidRPr="009F381E" w:rsidRDefault="00CC09AC" w:rsidP="005A6BC1">
      <w:pPr>
        <w:pStyle w:val="BodyTextIndent2"/>
        <w:spacing w:after="0" w:line="240" w:lineRule="auto"/>
        <w:ind w:left="0" w:firstLine="709"/>
        <w:jc w:val="both"/>
      </w:pPr>
      <w:r w:rsidRPr="009F381E">
        <w:rPr>
          <w:b/>
          <w:i/>
        </w:rPr>
        <w:t>Разходи по др. програми и проекти, финансирани от фондове и институции на ЕС</w:t>
      </w:r>
      <w:r w:rsidRPr="009F381E">
        <w:t xml:space="preserve"> за 2022 г. са усвоени средства в размер на 2,5 млн. лева. </w:t>
      </w:r>
    </w:p>
    <w:p w14:paraId="55BA3243" w14:textId="77777777" w:rsidR="00CC09AC" w:rsidRPr="004A00B4" w:rsidRDefault="00CC09AC" w:rsidP="00CC09AC">
      <w:pPr>
        <w:pStyle w:val="Heading3"/>
        <w:numPr>
          <w:ilvl w:val="2"/>
          <w:numId w:val="8"/>
        </w:numPr>
        <w:spacing w:before="600"/>
        <w:rPr>
          <w:rFonts w:ascii="Times New Roman" w:hAnsi="Times New Roman"/>
          <w:sz w:val="24"/>
          <w:lang w:val="en-US"/>
        </w:rPr>
      </w:pPr>
      <w:bookmarkStart w:id="332" w:name="_Toc326315918"/>
      <w:bookmarkStart w:id="333" w:name="_Toc324863426"/>
      <w:bookmarkStart w:id="334" w:name="_Toc261276590"/>
      <w:bookmarkStart w:id="335" w:name="_Toc483234290"/>
      <w:bookmarkStart w:id="336" w:name="_Toc494102644"/>
      <w:bookmarkStart w:id="337" w:name="_Toc525125602"/>
      <w:bookmarkStart w:id="338" w:name="_Toc18316958"/>
      <w:bookmarkStart w:id="339" w:name="_Toc136361873"/>
      <w:bookmarkStart w:id="340" w:name="_Toc146037913"/>
      <w:r w:rsidRPr="004A00B4">
        <w:rPr>
          <w:rFonts w:ascii="Times New Roman" w:hAnsi="Times New Roman"/>
          <w:sz w:val="24"/>
          <w:lang w:val="bg-BG"/>
        </w:rPr>
        <w:t>Социално осигуряване, подпомагане и грижи</w:t>
      </w:r>
      <w:bookmarkEnd w:id="332"/>
      <w:bookmarkEnd w:id="333"/>
      <w:bookmarkEnd w:id="334"/>
      <w:bookmarkEnd w:id="335"/>
      <w:bookmarkEnd w:id="336"/>
      <w:bookmarkEnd w:id="337"/>
      <w:bookmarkEnd w:id="338"/>
      <w:bookmarkEnd w:id="339"/>
      <w:bookmarkEnd w:id="340"/>
    </w:p>
    <w:p w14:paraId="2B55826D" w14:textId="77777777" w:rsidR="00190BA6" w:rsidRDefault="00CC09AC" w:rsidP="00CC09AC">
      <w:pPr>
        <w:spacing w:before="240"/>
        <w:ind w:firstLine="720"/>
        <w:jc w:val="both"/>
      </w:pPr>
      <w:r w:rsidRPr="00896F2A">
        <w:t>Разходите в тази функция за 2022 г. са в размер на 21 909,</w:t>
      </w:r>
      <w:r w:rsidR="000868C1">
        <w:t>3</w:t>
      </w:r>
      <w:r w:rsidRPr="00896F2A">
        <w:t xml:space="preserve"> млн. лв. или 13,2 % от БВП. Тук са включени разходите за пенсии, социални помощи и обезщетения и разходите за издръжка на службите за социалното осигуряване. Изпълнението на разходите във функцията спрямо годишните разчети е 98,5 %.</w:t>
      </w:r>
    </w:p>
    <w:p w14:paraId="6886E64A" w14:textId="77777777" w:rsidR="00190BA6" w:rsidRDefault="00190BA6" w:rsidP="00CC09AC">
      <w:pPr>
        <w:spacing w:before="240"/>
        <w:ind w:firstLine="720"/>
        <w:jc w:val="both"/>
      </w:pPr>
    </w:p>
    <w:p w14:paraId="214D0DC2" w14:textId="77777777" w:rsidR="00190BA6" w:rsidRDefault="00190BA6" w:rsidP="00CC09AC">
      <w:pPr>
        <w:spacing w:before="240"/>
        <w:ind w:firstLine="720"/>
        <w:jc w:val="both"/>
      </w:pPr>
    </w:p>
    <w:p w14:paraId="1B2F8177" w14:textId="77777777" w:rsidR="00190BA6" w:rsidRDefault="00190BA6" w:rsidP="00CC09AC">
      <w:pPr>
        <w:spacing w:before="240"/>
        <w:ind w:firstLine="720"/>
        <w:jc w:val="both"/>
      </w:pPr>
    </w:p>
    <w:p w14:paraId="2E111C87" w14:textId="77777777" w:rsidR="00190BA6" w:rsidRDefault="00CC09AC" w:rsidP="00190BA6">
      <w:pPr>
        <w:spacing w:before="240"/>
        <w:ind w:firstLine="720"/>
        <w:jc w:val="both"/>
      </w:pPr>
      <w:r w:rsidRPr="00896F2A">
        <w:t xml:space="preserve"> </w:t>
      </w:r>
    </w:p>
    <w:p w14:paraId="072C28CA" w14:textId="0CBD7655" w:rsidR="00CC09AC" w:rsidRPr="004A00B4" w:rsidRDefault="00190BA6" w:rsidP="00190BA6">
      <w:pPr>
        <w:spacing w:before="240"/>
        <w:ind w:firstLine="720"/>
        <w:jc w:val="center"/>
        <w:rPr>
          <w:b/>
          <w:sz w:val="18"/>
          <w:szCs w:val="18"/>
        </w:rPr>
      </w:pPr>
      <w:r>
        <w:rPr>
          <w:b/>
          <w:sz w:val="18"/>
          <w:szCs w:val="18"/>
        </w:rPr>
        <w:t xml:space="preserve">                                                                                                                                       </w:t>
      </w:r>
      <w:r w:rsidR="00CC09AC" w:rsidRPr="004A00B4">
        <w:rPr>
          <w:b/>
          <w:sz w:val="18"/>
          <w:szCs w:val="18"/>
        </w:rPr>
        <w:t xml:space="preserve"> (млн. лв.)</w:t>
      </w:r>
    </w:p>
    <w:tbl>
      <w:tblPr>
        <w:tblW w:w="8625" w:type="dxa"/>
        <w:tblLayout w:type="fixed"/>
        <w:tblCellMar>
          <w:left w:w="70" w:type="dxa"/>
          <w:right w:w="70" w:type="dxa"/>
        </w:tblCellMar>
        <w:tblLook w:val="04A0" w:firstRow="1" w:lastRow="0" w:firstColumn="1" w:lastColumn="0" w:noHBand="0" w:noVBand="1"/>
      </w:tblPr>
      <w:tblGrid>
        <w:gridCol w:w="3047"/>
        <w:gridCol w:w="851"/>
        <w:gridCol w:w="708"/>
        <w:gridCol w:w="1134"/>
        <w:gridCol w:w="567"/>
        <w:gridCol w:w="851"/>
        <w:gridCol w:w="567"/>
        <w:gridCol w:w="900"/>
      </w:tblGrid>
      <w:tr w:rsidR="00CC09AC" w:rsidRPr="007B48E9" w14:paraId="7F4896D1" w14:textId="77777777" w:rsidTr="003B085A">
        <w:trPr>
          <w:trHeight w:val="604"/>
        </w:trPr>
        <w:tc>
          <w:tcPr>
            <w:tcW w:w="3047"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14:paraId="442578B1" w14:textId="77777777" w:rsidR="00CC09AC" w:rsidRPr="004A00B4" w:rsidRDefault="00CC09AC" w:rsidP="003B085A">
            <w:pPr>
              <w:jc w:val="center"/>
              <w:rPr>
                <w:b/>
                <w:bCs/>
                <w:color w:val="FFFFFF" w:themeColor="background1"/>
                <w:sz w:val="18"/>
                <w:szCs w:val="18"/>
              </w:rPr>
            </w:pPr>
            <w:r w:rsidRPr="004A00B4">
              <w:rPr>
                <w:b/>
                <w:bCs/>
                <w:color w:val="FFFFFF" w:themeColor="background1"/>
                <w:sz w:val="18"/>
                <w:szCs w:val="18"/>
              </w:rPr>
              <w:t>ОТЧЕТ 20</w:t>
            </w:r>
            <w:r w:rsidRPr="004A00B4">
              <w:rPr>
                <w:b/>
                <w:bCs/>
                <w:color w:val="FFFFFF" w:themeColor="background1"/>
                <w:sz w:val="18"/>
                <w:szCs w:val="18"/>
                <w:lang w:val="en-US"/>
              </w:rPr>
              <w:t>2</w:t>
            </w:r>
            <w:r>
              <w:rPr>
                <w:b/>
                <w:bCs/>
                <w:color w:val="FFFFFF" w:themeColor="background1"/>
                <w:sz w:val="18"/>
                <w:szCs w:val="18"/>
              </w:rPr>
              <w:t>2</w:t>
            </w:r>
            <w:r w:rsidRPr="004A00B4">
              <w:rPr>
                <w:b/>
                <w:bCs/>
                <w:color w:val="FFFFFF" w:themeColor="background1"/>
                <w:sz w:val="18"/>
                <w:szCs w:val="18"/>
              </w:rPr>
              <w:t xml:space="preserve"> г.</w:t>
            </w:r>
          </w:p>
        </w:tc>
        <w:tc>
          <w:tcPr>
            <w:tcW w:w="851"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14:paraId="6C93F7B0" w14:textId="77777777" w:rsidR="00CC09AC" w:rsidRPr="004A00B4" w:rsidRDefault="00CC09AC" w:rsidP="003B085A">
            <w:pPr>
              <w:jc w:val="center"/>
              <w:rPr>
                <w:b/>
                <w:bCs/>
                <w:color w:val="FFFFFF" w:themeColor="background1"/>
                <w:sz w:val="18"/>
                <w:szCs w:val="18"/>
              </w:rPr>
            </w:pPr>
            <w:r w:rsidRPr="004A00B4">
              <w:rPr>
                <w:b/>
                <w:bCs/>
                <w:color w:val="FFFFFF" w:themeColor="background1"/>
                <w:sz w:val="18"/>
                <w:szCs w:val="18"/>
              </w:rPr>
              <w:t>КФП</w:t>
            </w:r>
          </w:p>
        </w:tc>
        <w:tc>
          <w:tcPr>
            <w:tcW w:w="708"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14:paraId="03920F88" w14:textId="77777777" w:rsidR="00CC09AC" w:rsidRPr="004A00B4" w:rsidRDefault="00CC09AC" w:rsidP="003B085A">
            <w:pPr>
              <w:jc w:val="center"/>
              <w:rPr>
                <w:b/>
                <w:bCs/>
                <w:color w:val="FFFFFF" w:themeColor="background1"/>
                <w:sz w:val="18"/>
                <w:szCs w:val="18"/>
              </w:rPr>
            </w:pPr>
            <w:r w:rsidRPr="004A00B4">
              <w:rPr>
                <w:b/>
                <w:bCs/>
                <w:color w:val="FFFFFF" w:themeColor="background1"/>
                <w:sz w:val="18"/>
                <w:szCs w:val="18"/>
              </w:rPr>
              <w:t>ДБ</w:t>
            </w:r>
          </w:p>
        </w:tc>
        <w:tc>
          <w:tcPr>
            <w:tcW w:w="1134" w:type="dxa"/>
            <w:tcBorders>
              <w:top w:val="double" w:sz="2" w:space="0" w:color="800000"/>
              <w:left w:val="double" w:sz="2" w:space="0" w:color="800000"/>
              <w:bottom w:val="double" w:sz="2" w:space="0" w:color="800000"/>
              <w:right w:val="double" w:sz="2" w:space="0" w:color="800000"/>
            </w:tcBorders>
            <w:shd w:val="clear" w:color="auto" w:fill="800000"/>
            <w:vAlign w:val="center"/>
            <w:hideMark/>
          </w:tcPr>
          <w:p w14:paraId="156A79CC" w14:textId="77777777" w:rsidR="00CC09AC" w:rsidRPr="004A00B4" w:rsidRDefault="00CC09AC" w:rsidP="003B085A">
            <w:pPr>
              <w:jc w:val="center"/>
              <w:rPr>
                <w:b/>
                <w:bCs/>
                <w:color w:val="FFFFFF" w:themeColor="background1"/>
                <w:sz w:val="16"/>
                <w:szCs w:val="16"/>
              </w:rPr>
            </w:pPr>
            <w:r w:rsidRPr="004A00B4">
              <w:rPr>
                <w:b/>
                <w:bCs/>
                <w:color w:val="FFFFFF" w:themeColor="background1"/>
                <w:sz w:val="16"/>
                <w:szCs w:val="16"/>
              </w:rPr>
              <w:t>Соц. осигуряване</w:t>
            </w:r>
          </w:p>
        </w:tc>
        <w:tc>
          <w:tcPr>
            <w:tcW w:w="567"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14:paraId="30CF5317" w14:textId="77777777" w:rsidR="00CC09AC" w:rsidRPr="004A00B4" w:rsidRDefault="00CC09AC" w:rsidP="003B085A">
            <w:pPr>
              <w:jc w:val="center"/>
              <w:rPr>
                <w:b/>
                <w:bCs/>
                <w:color w:val="FFFFFF" w:themeColor="background1"/>
                <w:sz w:val="18"/>
                <w:szCs w:val="18"/>
              </w:rPr>
            </w:pPr>
            <w:r w:rsidRPr="004A00B4">
              <w:rPr>
                <w:b/>
                <w:bCs/>
                <w:color w:val="FFFFFF" w:themeColor="background1"/>
                <w:sz w:val="18"/>
                <w:szCs w:val="18"/>
              </w:rPr>
              <w:t>ДВУ</w:t>
            </w:r>
          </w:p>
        </w:tc>
        <w:tc>
          <w:tcPr>
            <w:tcW w:w="851"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14:paraId="1CB353E0" w14:textId="77777777" w:rsidR="00CC09AC" w:rsidRPr="004A00B4" w:rsidRDefault="00CC09AC" w:rsidP="003B085A">
            <w:pPr>
              <w:jc w:val="center"/>
              <w:rPr>
                <w:b/>
                <w:bCs/>
                <w:color w:val="FFFFFF" w:themeColor="background1"/>
                <w:sz w:val="18"/>
                <w:szCs w:val="18"/>
              </w:rPr>
            </w:pPr>
            <w:r w:rsidRPr="004A00B4">
              <w:rPr>
                <w:b/>
                <w:bCs/>
                <w:color w:val="FFFFFF" w:themeColor="background1"/>
                <w:sz w:val="18"/>
                <w:szCs w:val="18"/>
              </w:rPr>
              <w:t>Общини</w:t>
            </w:r>
          </w:p>
        </w:tc>
        <w:tc>
          <w:tcPr>
            <w:tcW w:w="567" w:type="dxa"/>
            <w:tcBorders>
              <w:top w:val="double" w:sz="2" w:space="0" w:color="800000"/>
              <w:left w:val="double" w:sz="2" w:space="0" w:color="800000"/>
              <w:bottom w:val="double" w:sz="2" w:space="0" w:color="800000"/>
              <w:right w:val="double" w:sz="2" w:space="0" w:color="800000"/>
            </w:tcBorders>
            <w:shd w:val="clear" w:color="auto" w:fill="800000"/>
            <w:vAlign w:val="center"/>
            <w:hideMark/>
          </w:tcPr>
          <w:p w14:paraId="26A58CE5" w14:textId="77777777" w:rsidR="00CC09AC" w:rsidRPr="004A00B4" w:rsidRDefault="00CC09AC" w:rsidP="003B085A">
            <w:pPr>
              <w:jc w:val="center"/>
              <w:rPr>
                <w:b/>
                <w:bCs/>
                <w:color w:val="FFFFFF" w:themeColor="background1"/>
                <w:sz w:val="16"/>
                <w:szCs w:val="16"/>
              </w:rPr>
            </w:pPr>
            <w:r w:rsidRPr="004A00B4">
              <w:rPr>
                <w:b/>
                <w:bCs/>
                <w:color w:val="FFFFFF" w:themeColor="background1"/>
                <w:sz w:val="16"/>
                <w:szCs w:val="16"/>
              </w:rPr>
              <w:t>ДМП</w:t>
            </w:r>
          </w:p>
        </w:tc>
        <w:tc>
          <w:tcPr>
            <w:tcW w:w="900" w:type="dxa"/>
            <w:tcBorders>
              <w:top w:val="double" w:sz="2" w:space="0" w:color="800000"/>
              <w:left w:val="double" w:sz="2" w:space="0" w:color="800000"/>
              <w:bottom w:val="double" w:sz="2" w:space="0" w:color="800000"/>
              <w:right w:val="double" w:sz="2" w:space="0" w:color="800000"/>
            </w:tcBorders>
            <w:shd w:val="clear" w:color="auto" w:fill="800000"/>
            <w:vAlign w:val="center"/>
            <w:hideMark/>
          </w:tcPr>
          <w:p w14:paraId="381B02D6" w14:textId="77777777" w:rsidR="00CC09AC" w:rsidRPr="004A00B4" w:rsidRDefault="00CC09AC" w:rsidP="003B085A">
            <w:pPr>
              <w:jc w:val="center"/>
              <w:rPr>
                <w:b/>
                <w:bCs/>
                <w:color w:val="FFFFFF" w:themeColor="background1"/>
                <w:sz w:val="16"/>
                <w:szCs w:val="16"/>
              </w:rPr>
            </w:pPr>
            <w:r w:rsidRPr="004A00B4">
              <w:rPr>
                <w:b/>
                <w:bCs/>
                <w:color w:val="FFFFFF" w:themeColor="background1"/>
                <w:sz w:val="16"/>
                <w:szCs w:val="16"/>
              </w:rPr>
              <w:t>Евр. ср-ва</w:t>
            </w:r>
          </w:p>
        </w:tc>
      </w:tr>
      <w:tr w:rsidR="007E68B0" w:rsidRPr="007B48E9" w14:paraId="1F1B4A7D" w14:textId="77777777" w:rsidTr="003B085A">
        <w:trPr>
          <w:trHeight w:val="319"/>
        </w:trPr>
        <w:tc>
          <w:tcPr>
            <w:tcW w:w="3047" w:type="dxa"/>
            <w:tcBorders>
              <w:top w:val="double" w:sz="2" w:space="0" w:color="800000"/>
              <w:left w:val="double" w:sz="6" w:space="0" w:color="800000"/>
              <w:bottom w:val="nil"/>
              <w:right w:val="single" w:sz="4" w:space="0" w:color="800000"/>
            </w:tcBorders>
            <w:shd w:val="clear" w:color="auto" w:fill="FFFFCC"/>
            <w:noWrap/>
            <w:vAlign w:val="bottom"/>
          </w:tcPr>
          <w:p w14:paraId="1ECED048" w14:textId="77777777" w:rsidR="007E68B0" w:rsidRPr="004A00B4" w:rsidRDefault="007E68B0" w:rsidP="007E68B0">
            <w:pPr>
              <w:rPr>
                <w:b/>
                <w:bCs/>
                <w:sz w:val="4"/>
                <w:szCs w:val="4"/>
              </w:rPr>
            </w:pPr>
          </w:p>
          <w:p w14:paraId="7F191379" w14:textId="77777777" w:rsidR="007E68B0" w:rsidRPr="004A00B4" w:rsidRDefault="007E68B0" w:rsidP="007E68B0">
            <w:pPr>
              <w:rPr>
                <w:b/>
                <w:bCs/>
                <w:sz w:val="16"/>
                <w:szCs w:val="16"/>
              </w:rPr>
            </w:pPr>
            <w:r w:rsidRPr="004A00B4">
              <w:rPr>
                <w:b/>
                <w:bCs/>
                <w:sz w:val="16"/>
                <w:szCs w:val="16"/>
              </w:rPr>
              <w:t>V. СОЦИАЛНО ОСИГУРЯВАНЕ, ПОДПОМАГАНЕ И ГРИЖИ</w:t>
            </w:r>
          </w:p>
        </w:tc>
        <w:tc>
          <w:tcPr>
            <w:tcW w:w="851" w:type="dxa"/>
            <w:tcBorders>
              <w:top w:val="double" w:sz="2" w:space="0" w:color="800000"/>
              <w:left w:val="nil"/>
              <w:bottom w:val="nil"/>
              <w:right w:val="single" w:sz="4" w:space="0" w:color="800000"/>
            </w:tcBorders>
            <w:shd w:val="clear" w:color="auto" w:fill="FFFFCC"/>
            <w:noWrap/>
            <w:vAlign w:val="bottom"/>
            <w:hideMark/>
          </w:tcPr>
          <w:p w14:paraId="000D0771" w14:textId="613437D8" w:rsidR="007E68B0" w:rsidRPr="007B48E9" w:rsidRDefault="007E68B0" w:rsidP="007E68B0">
            <w:pPr>
              <w:jc w:val="right"/>
              <w:rPr>
                <w:b/>
                <w:bCs/>
                <w:color w:val="0070C0"/>
                <w:sz w:val="18"/>
                <w:szCs w:val="18"/>
              </w:rPr>
            </w:pPr>
            <w:r>
              <w:rPr>
                <w:b/>
                <w:bCs/>
                <w:color w:val="000000"/>
                <w:sz w:val="18"/>
                <w:szCs w:val="18"/>
              </w:rPr>
              <w:t>21 909,3</w:t>
            </w:r>
          </w:p>
        </w:tc>
        <w:tc>
          <w:tcPr>
            <w:tcW w:w="708" w:type="dxa"/>
            <w:tcBorders>
              <w:top w:val="double" w:sz="2" w:space="0" w:color="800000"/>
              <w:left w:val="nil"/>
              <w:bottom w:val="nil"/>
              <w:right w:val="single" w:sz="4" w:space="0" w:color="800000"/>
            </w:tcBorders>
            <w:shd w:val="clear" w:color="auto" w:fill="FFFFCC"/>
            <w:noWrap/>
            <w:vAlign w:val="bottom"/>
            <w:hideMark/>
          </w:tcPr>
          <w:p w14:paraId="0EE31E8B" w14:textId="1C6F8155" w:rsidR="007E68B0" w:rsidRPr="007B48E9" w:rsidRDefault="007E68B0" w:rsidP="007E68B0">
            <w:pPr>
              <w:jc w:val="right"/>
              <w:rPr>
                <w:b/>
                <w:bCs/>
                <w:color w:val="0070C0"/>
                <w:sz w:val="18"/>
                <w:szCs w:val="18"/>
              </w:rPr>
            </w:pPr>
            <w:r>
              <w:rPr>
                <w:b/>
                <w:bCs/>
                <w:color w:val="000000"/>
                <w:sz w:val="18"/>
                <w:szCs w:val="18"/>
              </w:rPr>
              <w:t>1 921,9</w:t>
            </w:r>
          </w:p>
        </w:tc>
        <w:tc>
          <w:tcPr>
            <w:tcW w:w="1134" w:type="dxa"/>
            <w:tcBorders>
              <w:top w:val="double" w:sz="2" w:space="0" w:color="800000"/>
              <w:left w:val="nil"/>
              <w:bottom w:val="nil"/>
              <w:right w:val="single" w:sz="4" w:space="0" w:color="800000"/>
            </w:tcBorders>
            <w:shd w:val="clear" w:color="auto" w:fill="FFFFCC"/>
            <w:noWrap/>
            <w:vAlign w:val="bottom"/>
            <w:hideMark/>
          </w:tcPr>
          <w:p w14:paraId="3A177F95" w14:textId="230B7C54" w:rsidR="007E68B0" w:rsidRPr="007B48E9" w:rsidRDefault="007E68B0" w:rsidP="007E68B0">
            <w:pPr>
              <w:jc w:val="right"/>
              <w:rPr>
                <w:b/>
                <w:bCs/>
                <w:color w:val="0070C0"/>
                <w:sz w:val="18"/>
                <w:szCs w:val="18"/>
              </w:rPr>
            </w:pPr>
            <w:r>
              <w:rPr>
                <w:b/>
                <w:bCs/>
                <w:color w:val="000000"/>
                <w:sz w:val="18"/>
                <w:szCs w:val="18"/>
              </w:rPr>
              <w:t>18 317,0</w:t>
            </w:r>
          </w:p>
        </w:tc>
        <w:tc>
          <w:tcPr>
            <w:tcW w:w="567" w:type="dxa"/>
            <w:tcBorders>
              <w:top w:val="double" w:sz="2" w:space="0" w:color="800000"/>
              <w:left w:val="single" w:sz="4" w:space="0" w:color="800000"/>
              <w:bottom w:val="nil"/>
              <w:right w:val="single" w:sz="4" w:space="0" w:color="800000"/>
            </w:tcBorders>
            <w:shd w:val="clear" w:color="auto" w:fill="FFFFCC"/>
            <w:noWrap/>
            <w:vAlign w:val="bottom"/>
            <w:hideMark/>
          </w:tcPr>
          <w:p w14:paraId="32864A65" w14:textId="3C4383D6" w:rsidR="007E68B0" w:rsidRPr="007B48E9" w:rsidRDefault="007E68B0" w:rsidP="007E68B0">
            <w:pPr>
              <w:jc w:val="right"/>
              <w:rPr>
                <w:b/>
                <w:bCs/>
                <w:color w:val="0070C0"/>
                <w:sz w:val="18"/>
                <w:szCs w:val="18"/>
              </w:rPr>
            </w:pPr>
            <w:r>
              <w:rPr>
                <w:b/>
                <w:bCs/>
                <w:color w:val="000000"/>
                <w:sz w:val="18"/>
                <w:szCs w:val="18"/>
              </w:rPr>
              <w:t>0,05</w:t>
            </w:r>
          </w:p>
        </w:tc>
        <w:tc>
          <w:tcPr>
            <w:tcW w:w="851" w:type="dxa"/>
            <w:tcBorders>
              <w:top w:val="double" w:sz="2" w:space="0" w:color="800000"/>
              <w:left w:val="single" w:sz="4" w:space="0" w:color="800000"/>
              <w:bottom w:val="nil"/>
              <w:right w:val="single" w:sz="4" w:space="0" w:color="800000"/>
            </w:tcBorders>
            <w:shd w:val="clear" w:color="auto" w:fill="FFFFCC"/>
            <w:noWrap/>
            <w:vAlign w:val="bottom"/>
            <w:hideMark/>
          </w:tcPr>
          <w:p w14:paraId="64E0CF18" w14:textId="08913C84" w:rsidR="007E68B0" w:rsidRPr="007B48E9" w:rsidRDefault="007E68B0" w:rsidP="007E68B0">
            <w:pPr>
              <w:jc w:val="right"/>
              <w:rPr>
                <w:b/>
                <w:bCs/>
                <w:color w:val="0070C0"/>
                <w:sz w:val="18"/>
                <w:szCs w:val="18"/>
              </w:rPr>
            </w:pPr>
            <w:r>
              <w:rPr>
                <w:b/>
                <w:bCs/>
                <w:color w:val="000000"/>
                <w:sz w:val="18"/>
                <w:szCs w:val="18"/>
              </w:rPr>
              <w:t>1 328,1</w:t>
            </w:r>
          </w:p>
        </w:tc>
        <w:tc>
          <w:tcPr>
            <w:tcW w:w="567" w:type="dxa"/>
            <w:tcBorders>
              <w:top w:val="double" w:sz="2" w:space="0" w:color="800000"/>
              <w:left w:val="nil"/>
              <w:bottom w:val="nil"/>
              <w:right w:val="single" w:sz="4" w:space="0" w:color="800000"/>
            </w:tcBorders>
            <w:shd w:val="clear" w:color="auto" w:fill="FFFFCC"/>
            <w:vAlign w:val="bottom"/>
            <w:hideMark/>
          </w:tcPr>
          <w:p w14:paraId="1F75B3B9" w14:textId="7E8EA37E" w:rsidR="007E68B0" w:rsidRPr="007B48E9" w:rsidRDefault="007E68B0" w:rsidP="007E68B0">
            <w:pPr>
              <w:jc w:val="right"/>
              <w:rPr>
                <w:b/>
                <w:bCs/>
                <w:color w:val="0070C0"/>
                <w:sz w:val="18"/>
                <w:szCs w:val="18"/>
              </w:rPr>
            </w:pPr>
            <w:r>
              <w:rPr>
                <w:b/>
                <w:bCs/>
                <w:color w:val="000000"/>
                <w:sz w:val="18"/>
                <w:szCs w:val="18"/>
              </w:rPr>
              <w:t>3,2</w:t>
            </w:r>
          </w:p>
        </w:tc>
        <w:tc>
          <w:tcPr>
            <w:tcW w:w="900" w:type="dxa"/>
            <w:tcBorders>
              <w:top w:val="double" w:sz="2" w:space="0" w:color="800000"/>
              <w:left w:val="nil"/>
              <w:bottom w:val="nil"/>
              <w:right w:val="double" w:sz="6" w:space="0" w:color="800000"/>
            </w:tcBorders>
            <w:shd w:val="clear" w:color="auto" w:fill="FFFFCC"/>
            <w:noWrap/>
            <w:vAlign w:val="bottom"/>
            <w:hideMark/>
          </w:tcPr>
          <w:p w14:paraId="017C782F" w14:textId="7A933FCA" w:rsidR="007E68B0" w:rsidRPr="007B48E9" w:rsidRDefault="007E68B0" w:rsidP="007E68B0">
            <w:pPr>
              <w:jc w:val="right"/>
              <w:rPr>
                <w:b/>
                <w:bCs/>
                <w:color w:val="0070C0"/>
                <w:sz w:val="18"/>
                <w:szCs w:val="18"/>
              </w:rPr>
            </w:pPr>
            <w:r>
              <w:rPr>
                <w:b/>
                <w:bCs/>
                <w:color w:val="000000"/>
                <w:sz w:val="18"/>
                <w:szCs w:val="18"/>
              </w:rPr>
              <w:t>339,0</w:t>
            </w:r>
          </w:p>
        </w:tc>
      </w:tr>
      <w:tr w:rsidR="007E68B0" w:rsidRPr="007B48E9" w14:paraId="5B45981F" w14:textId="77777777" w:rsidTr="003B085A">
        <w:trPr>
          <w:trHeight w:val="302"/>
        </w:trPr>
        <w:tc>
          <w:tcPr>
            <w:tcW w:w="3047" w:type="dxa"/>
            <w:tcBorders>
              <w:top w:val="nil"/>
              <w:left w:val="double" w:sz="6" w:space="0" w:color="800000"/>
              <w:bottom w:val="nil"/>
              <w:right w:val="single" w:sz="4" w:space="0" w:color="800000"/>
            </w:tcBorders>
            <w:shd w:val="clear" w:color="auto" w:fill="FFFFCC"/>
            <w:noWrap/>
            <w:vAlign w:val="bottom"/>
            <w:hideMark/>
          </w:tcPr>
          <w:p w14:paraId="750565B7" w14:textId="77777777" w:rsidR="007E68B0" w:rsidRPr="004A00B4" w:rsidRDefault="007E68B0" w:rsidP="007E68B0">
            <w:pPr>
              <w:rPr>
                <w:b/>
                <w:bCs/>
                <w:sz w:val="16"/>
                <w:szCs w:val="16"/>
              </w:rPr>
            </w:pPr>
            <w:r w:rsidRPr="004A00B4">
              <w:rPr>
                <w:b/>
                <w:bCs/>
                <w:sz w:val="16"/>
                <w:szCs w:val="16"/>
              </w:rPr>
              <w:t>А. ПЕНСИИ</w:t>
            </w:r>
          </w:p>
        </w:tc>
        <w:tc>
          <w:tcPr>
            <w:tcW w:w="851" w:type="dxa"/>
            <w:tcBorders>
              <w:top w:val="nil"/>
              <w:left w:val="nil"/>
              <w:bottom w:val="nil"/>
              <w:right w:val="single" w:sz="4" w:space="0" w:color="800000"/>
            </w:tcBorders>
            <w:shd w:val="clear" w:color="auto" w:fill="FFFFCC"/>
            <w:noWrap/>
            <w:vAlign w:val="bottom"/>
            <w:hideMark/>
          </w:tcPr>
          <w:p w14:paraId="6B1C0DAF" w14:textId="577E5397" w:rsidR="007E68B0" w:rsidRPr="007B48E9" w:rsidRDefault="007E68B0" w:rsidP="007E68B0">
            <w:pPr>
              <w:jc w:val="right"/>
              <w:rPr>
                <w:b/>
                <w:bCs/>
                <w:color w:val="0070C0"/>
                <w:sz w:val="18"/>
                <w:szCs w:val="18"/>
              </w:rPr>
            </w:pPr>
            <w:r>
              <w:rPr>
                <w:b/>
                <w:bCs/>
                <w:color w:val="000000"/>
                <w:sz w:val="18"/>
                <w:szCs w:val="18"/>
              </w:rPr>
              <w:t>15 704,4</w:t>
            </w:r>
          </w:p>
        </w:tc>
        <w:tc>
          <w:tcPr>
            <w:tcW w:w="708" w:type="dxa"/>
            <w:tcBorders>
              <w:top w:val="nil"/>
              <w:left w:val="nil"/>
              <w:bottom w:val="nil"/>
              <w:right w:val="single" w:sz="4" w:space="0" w:color="800000"/>
            </w:tcBorders>
            <w:shd w:val="clear" w:color="auto" w:fill="FFFFCC"/>
            <w:noWrap/>
            <w:vAlign w:val="bottom"/>
            <w:hideMark/>
          </w:tcPr>
          <w:p w14:paraId="2E45DFE5" w14:textId="1E26F521" w:rsidR="007E68B0" w:rsidRPr="007B48E9" w:rsidRDefault="007E68B0" w:rsidP="007E68B0">
            <w:pPr>
              <w:jc w:val="right"/>
              <w:rPr>
                <w:b/>
                <w:bCs/>
                <w:color w:val="0070C0"/>
                <w:sz w:val="18"/>
                <w:szCs w:val="18"/>
              </w:rPr>
            </w:pPr>
            <w:r>
              <w:rPr>
                <w:b/>
                <w:bCs/>
                <w:color w:val="000000"/>
                <w:sz w:val="18"/>
                <w:szCs w:val="18"/>
              </w:rPr>
              <w:t> </w:t>
            </w:r>
          </w:p>
        </w:tc>
        <w:tc>
          <w:tcPr>
            <w:tcW w:w="1134" w:type="dxa"/>
            <w:tcBorders>
              <w:top w:val="nil"/>
              <w:left w:val="nil"/>
              <w:bottom w:val="nil"/>
              <w:right w:val="single" w:sz="4" w:space="0" w:color="800000"/>
            </w:tcBorders>
            <w:shd w:val="clear" w:color="auto" w:fill="FFFFCC"/>
            <w:noWrap/>
            <w:vAlign w:val="bottom"/>
            <w:hideMark/>
          </w:tcPr>
          <w:p w14:paraId="49AB2EA1" w14:textId="4E457DCF" w:rsidR="007E68B0" w:rsidRPr="007B48E9" w:rsidRDefault="007E68B0" w:rsidP="007E68B0">
            <w:pPr>
              <w:jc w:val="right"/>
              <w:rPr>
                <w:b/>
                <w:bCs/>
                <w:color w:val="0070C0"/>
                <w:sz w:val="18"/>
                <w:szCs w:val="18"/>
              </w:rPr>
            </w:pPr>
            <w:r>
              <w:rPr>
                <w:b/>
                <w:bCs/>
                <w:color w:val="000000"/>
                <w:sz w:val="18"/>
                <w:szCs w:val="18"/>
              </w:rPr>
              <w:t>15 704,4</w:t>
            </w:r>
          </w:p>
        </w:tc>
        <w:tc>
          <w:tcPr>
            <w:tcW w:w="567" w:type="dxa"/>
            <w:tcBorders>
              <w:top w:val="nil"/>
              <w:left w:val="single" w:sz="4" w:space="0" w:color="800000"/>
              <w:bottom w:val="nil"/>
              <w:right w:val="single" w:sz="4" w:space="0" w:color="800000"/>
            </w:tcBorders>
            <w:shd w:val="clear" w:color="auto" w:fill="FFFFCC"/>
            <w:noWrap/>
            <w:vAlign w:val="bottom"/>
            <w:hideMark/>
          </w:tcPr>
          <w:p w14:paraId="4728B98B" w14:textId="033DEA4F" w:rsidR="007E68B0" w:rsidRPr="007B48E9" w:rsidRDefault="007E68B0" w:rsidP="007E68B0">
            <w:pPr>
              <w:jc w:val="right"/>
              <w:rPr>
                <w:b/>
                <w:bCs/>
                <w:color w:val="0070C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0062E849" w14:textId="6C20CB51" w:rsidR="007E68B0" w:rsidRPr="007B48E9" w:rsidRDefault="007E68B0" w:rsidP="007E68B0">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vAlign w:val="bottom"/>
            <w:hideMark/>
          </w:tcPr>
          <w:p w14:paraId="6D75E360" w14:textId="3CB5A7A7" w:rsidR="007E68B0" w:rsidRPr="007B48E9" w:rsidRDefault="007E68B0" w:rsidP="007E68B0">
            <w:pPr>
              <w:jc w:val="right"/>
              <w:rPr>
                <w:b/>
                <w:bCs/>
                <w:color w:val="0070C0"/>
                <w:sz w:val="18"/>
                <w:szCs w:val="18"/>
              </w:rPr>
            </w:pPr>
            <w:r>
              <w:rPr>
                <w:b/>
                <w:bCs/>
                <w:color w:val="000000"/>
                <w:sz w:val="18"/>
                <w:szCs w:val="18"/>
              </w:rPr>
              <w:t> </w:t>
            </w:r>
          </w:p>
        </w:tc>
        <w:tc>
          <w:tcPr>
            <w:tcW w:w="900" w:type="dxa"/>
            <w:tcBorders>
              <w:top w:val="nil"/>
              <w:left w:val="nil"/>
              <w:bottom w:val="nil"/>
              <w:right w:val="double" w:sz="6" w:space="0" w:color="800000"/>
            </w:tcBorders>
            <w:shd w:val="clear" w:color="auto" w:fill="FFFFCC"/>
            <w:noWrap/>
            <w:vAlign w:val="bottom"/>
            <w:hideMark/>
          </w:tcPr>
          <w:p w14:paraId="5EA0D62E" w14:textId="76BA6FA5" w:rsidR="007E68B0" w:rsidRPr="007B48E9" w:rsidRDefault="007E68B0" w:rsidP="007E68B0">
            <w:pPr>
              <w:jc w:val="right"/>
              <w:rPr>
                <w:b/>
                <w:bCs/>
                <w:color w:val="0070C0"/>
                <w:sz w:val="18"/>
                <w:szCs w:val="18"/>
              </w:rPr>
            </w:pPr>
            <w:r>
              <w:rPr>
                <w:b/>
                <w:bCs/>
                <w:color w:val="000000"/>
                <w:sz w:val="18"/>
                <w:szCs w:val="18"/>
              </w:rPr>
              <w:t> </w:t>
            </w:r>
          </w:p>
        </w:tc>
      </w:tr>
      <w:tr w:rsidR="007E68B0" w:rsidRPr="007B48E9" w14:paraId="240B365E" w14:textId="77777777" w:rsidTr="003B085A">
        <w:trPr>
          <w:trHeight w:val="302"/>
        </w:trPr>
        <w:tc>
          <w:tcPr>
            <w:tcW w:w="3047" w:type="dxa"/>
            <w:tcBorders>
              <w:top w:val="nil"/>
              <w:left w:val="double" w:sz="6" w:space="0" w:color="800000"/>
              <w:bottom w:val="nil"/>
              <w:right w:val="single" w:sz="4" w:space="0" w:color="800000"/>
            </w:tcBorders>
            <w:shd w:val="clear" w:color="auto" w:fill="FFFFCC"/>
            <w:noWrap/>
            <w:vAlign w:val="bottom"/>
            <w:hideMark/>
          </w:tcPr>
          <w:p w14:paraId="17E9CF4E" w14:textId="77777777" w:rsidR="007E68B0" w:rsidRPr="004A00B4" w:rsidRDefault="007E68B0" w:rsidP="007E68B0">
            <w:pPr>
              <w:rPr>
                <w:sz w:val="18"/>
                <w:szCs w:val="18"/>
              </w:rPr>
            </w:pPr>
            <w:r w:rsidRPr="004A00B4">
              <w:rPr>
                <w:sz w:val="18"/>
                <w:szCs w:val="18"/>
              </w:rPr>
              <w:t xml:space="preserve">   Текущи нелихвени разходи</w:t>
            </w:r>
          </w:p>
        </w:tc>
        <w:tc>
          <w:tcPr>
            <w:tcW w:w="851" w:type="dxa"/>
            <w:tcBorders>
              <w:top w:val="nil"/>
              <w:left w:val="nil"/>
              <w:bottom w:val="nil"/>
              <w:right w:val="single" w:sz="4" w:space="0" w:color="800000"/>
            </w:tcBorders>
            <w:shd w:val="clear" w:color="auto" w:fill="FFFFCC"/>
            <w:noWrap/>
            <w:vAlign w:val="bottom"/>
            <w:hideMark/>
          </w:tcPr>
          <w:p w14:paraId="7FC2A857" w14:textId="3F4F6F42" w:rsidR="007E68B0" w:rsidRPr="007B48E9" w:rsidRDefault="007E68B0" w:rsidP="007E68B0">
            <w:pPr>
              <w:jc w:val="right"/>
              <w:rPr>
                <w:color w:val="0070C0"/>
                <w:sz w:val="18"/>
                <w:szCs w:val="18"/>
              </w:rPr>
            </w:pPr>
            <w:r>
              <w:rPr>
                <w:color w:val="000000"/>
                <w:sz w:val="18"/>
                <w:szCs w:val="18"/>
              </w:rPr>
              <w:t>15 704,4</w:t>
            </w:r>
          </w:p>
        </w:tc>
        <w:tc>
          <w:tcPr>
            <w:tcW w:w="708" w:type="dxa"/>
            <w:tcBorders>
              <w:top w:val="nil"/>
              <w:left w:val="nil"/>
              <w:bottom w:val="nil"/>
              <w:right w:val="single" w:sz="4" w:space="0" w:color="800000"/>
            </w:tcBorders>
            <w:shd w:val="clear" w:color="auto" w:fill="FFFFCC"/>
            <w:noWrap/>
            <w:vAlign w:val="bottom"/>
            <w:hideMark/>
          </w:tcPr>
          <w:p w14:paraId="69C11CF8" w14:textId="7F800011" w:rsidR="007E68B0" w:rsidRPr="007B48E9" w:rsidRDefault="007E68B0" w:rsidP="007E68B0">
            <w:pPr>
              <w:jc w:val="right"/>
              <w:rPr>
                <w:color w:val="0070C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hideMark/>
          </w:tcPr>
          <w:p w14:paraId="3081509A" w14:textId="58B3264C" w:rsidR="007E68B0" w:rsidRPr="007B48E9" w:rsidRDefault="007E68B0" w:rsidP="007E68B0">
            <w:pPr>
              <w:jc w:val="right"/>
              <w:rPr>
                <w:color w:val="0070C0"/>
                <w:sz w:val="18"/>
                <w:szCs w:val="18"/>
              </w:rPr>
            </w:pPr>
            <w:r>
              <w:rPr>
                <w:color w:val="000000"/>
                <w:sz w:val="18"/>
                <w:szCs w:val="18"/>
              </w:rPr>
              <w:t>15 704,4</w:t>
            </w:r>
          </w:p>
        </w:tc>
        <w:tc>
          <w:tcPr>
            <w:tcW w:w="567" w:type="dxa"/>
            <w:tcBorders>
              <w:top w:val="nil"/>
              <w:left w:val="single" w:sz="4" w:space="0" w:color="800000"/>
              <w:bottom w:val="nil"/>
              <w:right w:val="single" w:sz="4" w:space="0" w:color="800000"/>
            </w:tcBorders>
            <w:shd w:val="clear" w:color="auto" w:fill="FFFFCC"/>
            <w:noWrap/>
            <w:vAlign w:val="bottom"/>
            <w:hideMark/>
          </w:tcPr>
          <w:p w14:paraId="6BFDFD1C" w14:textId="5223593C" w:rsidR="007E68B0" w:rsidRPr="007B48E9" w:rsidRDefault="007E68B0" w:rsidP="007E68B0">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09E3FADC" w14:textId="300F1CE2"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vAlign w:val="bottom"/>
            <w:hideMark/>
          </w:tcPr>
          <w:p w14:paraId="0A1B7BC1" w14:textId="323E21D4" w:rsidR="007E68B0" w:rsidRPr="007B48E9" w:rsidRDefault="007E68B0" w:rsidP="007E68B0">
            <w:pPr>
              <w:jc w:val="right"/>
              <w:rPr>
                <w:color w:val="0070C0"/>
                <w:sz w:val="18"/>
                <w:szCs w:val="18"/>
              </w:rPr>
            </w:pPr>
            <w:r>
              <w:rPr>
                <w:color w:val="000000"/>
                <w:sz w:val="18"/>
                <w:szCs w:val="18"/>
              </w:rPr>
              <w:t> </w:t>
            </w:r>
          </w:p>
        </w:tc>
        <w:tc>
          <w:tcPr>
            <w:tcW w:w="900" w:type="dxa"/>
            <w:tcBorders>
              <w:top w:val="nil"/>
              <w:left w:val="nil"/>
              <w:bottom w:val="nil"/>
              <w:right w:val="double" w:sz="6" w:space="0" w:color="800000"/>
            </w:tcBorders>
            <w:shd w:val="clear" w:color="auto" w:fill="FFFFCC"/>
            <w:noWrap/>
            <w:vAlign w:val="bottom"/>
            <w:hideMark/>
          </w:tcPr>
          <w:p w14:paraId="5B674692" w14:textId="062A9E35" w:rsidR="007E68B0" w:rsidRPr="007B48E9" w:rsidRDefault="007E68B0" w:rsidP="007E68B0">
            <w:pPr>
              <w:jc w:val="right"/>
              <w:rPr>
                <w:color w:val="0070C0"/>
                <w:sz w:val="18"/>
                <w:szCs w:val="18"/>
              </w:rPr>
            </w:pPr>
            <w:r>
              <w:rPr>
                <w:color w:val="000000"/>
                <w:sz w:val="18"/>
                <w:szCs w:val="18"/>
              </w:rPr>
              <w:t> </w:t>
            </w:r>
          </w:p>
        </w:tc>
      </w:tr>
      <w:tr w:rsidR="007E68B0" w:rsidRPr="007B48E9" w14:paraId="21CDA81E" w14:textId="77777777" w:rsidTr="003B085A">
        <w:trPr>
          <w:trHeight w:val="123"/>
        </w:trPr>
        <w:tc>
          <w:tcPr>
            <w:tcW w:w="3047" w:type="dxa"/>
            <w:tcBorders>
              <w:top w:val="nil"/>
              <w:left w:val="double" w:sz="6" w:space="0" w:color="800000"/>
              <w:bottom w:val="nil"/>
              <w:right w:val="single" w:sz="4" w:space="0" w:color="800000"/>
            </w:tcBorders>
            <w:shd w:val="clear" w:color="auto" w:fill="FFFFCC"/>
            <w:noWrap/>
            <w:vAlign w:val="bottom"/>
          </w:tcPr>
          <w:p w14:paraId="5D317A21" w14:textId="77777777" w:rsidR="007E68B0" w:rsidRPr="004A00B4" w:rsidRDefault="007E68B0" w:rsidP="007E68B0">
            <w:pPr>
              <w:rPr>
                <w:sz w:val="18"/>
                <w:szCs w:val="18"/>
              </w:rPr>
            </w:pPr>
            <w:r w:rsidRPr="004A00B4">
              <w:rPr>
                <w:sz w:val="18"/>
                <w:szCs w:val="18"/>
              </w:rPr>
              <w:t xml:space="preserve">    Капиталови разходи</w:t>
            </w:r>
          </w:p>
        </w:tc>
        <w:tc>
          <w:tcPr>
            <w:tcW w:w="851" w:type="dxa"/>
            <w:tcBorders>
              <w:top w:val="nil"/>
              <w:left w:val="nil"/>
              <w:bottom w:val="nil"/>
              <w:right w:val="single" w:sz="4" w:space="0" w:color="800000"/>
            </w:tcBorders>
            <w:shd w:val="clear" w:color="auto" w:fill="FFFFCC"/>
            <w:noWrap/>
            <w:vAlign w:val="bottom"/>
            <w:hideMark/>
          </w:tcPr>
          <w:p w14:paraId="4E2736DA" w14:textId="2F4DD9F0" w:rsidR="007E68B0" w:rsidRPr="007B48E9" w:rsidRDefault="007E68B0" w:rsidP="007E68B0">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14:paraId="5170347E" w14:textId="3E3E3690" w:rsidR="007E68B0" w:rsidRPr="007B48E9" w:rsidRDefault="007E68B0" w:rsidP="007E68B0">
            <w:pPr>
              <w:jc w:val="right"/>
              <w:rPr>
                <w:color w:val="0070C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hideMark/>
          </w:tcPr>
          <w:p w14:paraId="589AA3CF" w14:textId="73BFFC1D" w:rsidR="007E68B0" w:rsidRPr="007B48E9" w:rsidRDefault="007E68B0" w:rsidP="007E68B0">
            <w:pPr>
              <w:jc w:val="right"/>
              <w:rPr>
                <w:color w:val="0070C0"/>
                <w:sz w:val="18"/>
                <w:szCs w:val="18"/>
              </w:rPr>
            </w:pPr>
            <w:r>
              <w:rPr>
                <w:color w:val="000000"/>
                <w:sz w:val="18"/>
                <w:szCs w:val="18"/>
              </w:rPr>
              <w:t>0,0</w:t>
            </w:r>
          </w:p>
        </w:tc>
        <w:tc>
          <w:tcPr>
            <w:tcW w:w="567" w:type="dxa"/>
            <w:tcBorders>
              <w:top w:val="nil"/>
              <w:left w:val="single" w:sz="4" w:space="0" w:color="800000"/>
              <w:bottom w:val="nil"/>
              <w:right w:val="single" w:sz="4" w:space="0" w:color="800000"/>
            </w:tcBorders>
            <w:shd w:val="clear" w:color="auto" w:fill="FFFFCC"/>
            <w:noWrap/>
            <w:vAlign w:val="bottom"/>
            <w:hideMark/>
          </w:tcPr>
          <w:p w14:paraId="3F8B1477" w14:textId="25D35DE5" w:rsidR="007E68B0" w:rsidRPr="007B48E9" w:rsidRDefault="007E68B0" w:rsidP="007E68B0">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559CF205" w14:textId="1AEDE293"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vAlign w:val="bottom"/>
            <w:hideMark/>
          </w:tcPr>
          <w:p w14:paraId="00FD8D07" w14:textId="045E4701" w:rsidR="007E68B0" w:rsidRPr="007B48E9" w:rsidRDefault="007E68B0" w:rsidP="007E68B0">
            <w:pPr>
              <w:jc w:val="right"/>
              <w:rPr>
                <w:color w:val="0070C0"/>
                <w:sz w:val="18"/>
                <w:szCs w:val="18"/>
              </w:rPr>
            </w:pPr>
            <w:r>
              <w:rPr>
                <w:color w:val="000000"/>
                <w:sz w:val="18"/>
                <w:szCs w:val="18"/>
              </w:rPr>
              <w:t> </w:t>
            </w:r>
          </w:p>
        </w:tc>
        <w:tc>
          <w:tcPr>
            <w:tcW w:w="900" w:type="dxa"/>
            <w:tcBorders>
              <w:top w:val="nil"/>
              <w:left w:val="nil"/>
              <w:bottom w:val="nil"/>
              <w:right w:val="double" w:sz="6" w:space="0" w:color="800000"/>
            </w:tcBorders>
            <w:shd w:val="clear" w:color="auto" w:fill="FFFFCC"/>
            <w:noWrap/>
            <w:vAlign w:val="bottom"/>
            <w:hideMark/>
          </w:tcPr>
          <w:p w14:paraId="1A17E58A" w14:textId="58FA3837" w:rsidR="007E68B0" w:rsidRPr="007B48E9" w:rsidRDefault="007E68B0" w:rsidP="007E68B0">
            <w:pPr>
              <w:jc w:val="right"/>
              <w:rPr>
                <w:color w:val="0070C0"/>
                <w:sz w:val="18"/>
                <w:szCs w:val="18"/>
              </w:rPr>
            </w:pPr>
            <w:r>
              <w:rPr>
                <w:color w:val="000000"/>
                <w:sz w:val="18"/>
                <w:szCs w:val="18"/>
              </w:rPr>
              <w:t> </w:t>
            </w:r>
          </w:p>
        </w:tc>
      </w:tr>
      <w:tr w:rsidR="007E68B0" w:rsidRPr="007B48E9" w14:paraId="3A128E40" w14:textId="77777777" w:rsidTr="003B085A">
        <w:trPr>
          <w:trHeight w:val="302"/>
        </w:trPr>
        <w:tc>
          <w:tcPr>
            <w:tcW w:w="3047" w:type="dxa"/>
            <w:tcBorders>
              <w:top w:val="nil"/>
              <w:left w:val="double" w:sz="6" w:space="0" w:color="800000"/>
              <w:bottom w:val="nil"/>
              <w:right w:val="single" w:sz="4" w:space="0" w:color="800000"/>
            </w:tcBorders>
            <w:shd w:val="clear" w:color="auto" w:fill="FFFFCC"/>
            <w:noWrap/>
            <w:vAlign w:val="bottom"/>
            <w:hideMark/>
          </w:tcPr>
          <w:p w14:paraId="69B742BA" w14:textId="77777777" w:rsidR="007E68B0" w:rsidRPr="004A00B4" w:rsidRDefault="007E68B0" w:rsidP="007E68B0">
            <w:pPr>
              <w:rPr>
                <w:b/>
                <w:bCs/>
                <w:sz w:val="16"/>
                <w:szCs w:val="16"/>
              </w:rPr>
            </w:pPr>
          </w:p>
          <w:p w14:paraId="3687C821" w14:textId="77777777" w:rsidR="007E68B0" w:rsidRPr="004A00B4" w:rsidRDefault="007E68B0" w:rsidP="007E68B0">
            <w:pPr>
              <w:rPr>
                <w:b/>
                <w:bCs/>
                <w:sz w:val="16"/>
                <w:szCs w:val="16"/>
              </w:rPr>
            </w:pPr>
            <w:r w:rsidRPr="004A00B4">
              <w:rPr>
                <w:b/>
                <w:bCs/>
                <w:sz w:val="16"/>
                <w:szCs w:val="16"/>
              </w:rPr>
              <w:t>Б. СОЦИАЛНИ ПОМОЩИ И ОБЕЗЩЕТЕНИЯ</w:t>
            </w:r>
          </w:p>
        </w:tc>
        <w:tc>
          <w:tcPr>
            <w:tcW w:w="851" w:type="dxa"/>
            <w:tcBorders>
              <w:top w:val="nil"/>
              <w:left w:val="nil"/>
              <w:bottom w:val="nil"/>
              <w:right w:val="single" w:sz="4" w:space="0" w:color="800000"/>
            </w:tcBorders>
            <w:shd w:val="clear" w:color="auto" w:fill="FFFFCC"/>
            <w:noWrap/>
            <w:vAlign w:val="bottom"/>
            <w:hideMark/>
          </w:tcPr>
          <w:p w14:paraId="12156106" w14:textId="752CE484" w:rsidR="007E68B0" w:rsidRPr="007B48E9" w:rsidRDefault="007E68B0" w:rsidP="007E68B0">
            <w:pPr>
              <w:jc w:val="right"/>
              <w:rPr>
                <w:b/>
                <w:bCs/>
                <w:color w:val="0070C0"/>
                <w:sz w:val="18"/>
                <w:szCs w:val="18"/>
              </w:rPr>
            </w:pPr>
            <w:r>
              <w:rPr>
                <w:b/>
                <w:bCs/>
                <w:color w:val="000000"/>
                <w:sz w:val="18"/>
                <w:szCs w:val="18"/>
              </w:rPr>
              <w:t>4 001,1</w:t>
            </w:r>
          </w:p>
        </w:tc>
        <w:tc>
          <w:tcPr>
            <w:tcW w:w="708" w:type="dxa"/>
            <w:tcBorders>
              <w:top w:val="nil"/>
              <w:left w:val="nil"/>
              <w:bottom w:val="nil"/>
              <w:right w:val="single" w:sz="4" w:space="0" w:color="800000"/>
            </w:tcBorders>
            <w:shd w:val="clear" w:color="auto" w:fill="FFFFCC"/>
            <w:noWrap/>
            <w:vAlign w:val="bottom"/>
            <w:hideMark/>
          </w:tcPr>
          <w:p w14:paraId="5937DE26" w14:textId="126FB12D" w:rsidR="007E68B0" w:rsidRPr="007B48E9" w:rsidRDefault="007E68B0" w:rsidP="007E68B0">
            <w:pPr>
              <w:jc w:val="right"/>
              <w:rPr>
                <w:b/>
                <w:bCs/>
                <w:color w:val="0070C0"/>
                <w:sz w:val="18"/>
                <w:szCs w:val="18"/>
              </w:rPr>
            </w:pPr>
            <w:r>
              <w:rPr>
                <w:b/>
                <w:bCs/>
                <w:color w:val="000000"/>
                <w:sz w:val="18"/>
                <w:szCs w:val="18"/>
              </w:rPr>
              <w:t>1 699,0</w:t>
            </w:r>
          </w:p>
        </w:tc>
        <w:tc>
          <w:tcPr>
            <w:tcW w:w="1134" w:type="dxa"/>
            <w:tcBorders>
              <w:top w:val="nil"/>
              <w:left w:val="nil"/>
              <w:bottom w:val="nil"/>
              <w:right w:val="single" w:sz="4" w:space="0" w:color="800000"/>
            </w:tcBorders>
            <w:shd w:val="clear" w:color="auto" w:fill="FFFFCC"/>
            <w:noWrap/>
            <w:vAlign w:val="bottom"/>
            <w:hideMark/>
          </w:tcPr>
          <w:p w14:paraId="4F522FC5" w14:textId="5618EB84" w:rsidR="007E68B0" w:rsidRPr="007B48E9" w:rsidRDefault="007E68B0" w:rsidP="007E68B0">
            <w:pPr>
              <w:jc w:val="right"/>
              <w:rPr>
                <w:b/>
                <w:bCs/>
                <w:color w:val="0070C0"/>
                <w:sz w:val="18"/>
                <w:szCs w:val="18"/>
              </w:rPr>
            </w:pPr>
            <w:r>
              <w:rPr>
                <w:b/>
                <w:bCs/>
                <w:color w:val="000000"/>
                <w:sz w:val="18"/>
                <w:szCs w:val="18"/>
              </w:rPr>
              <w:t>2 301,6</w:t>
            </w:r>
          </w:p>
        </w:tc>
        <w:tc>
          <w:tcPr>
            <w:tcW w:w="567" w:type="dxa"/>
            <w:tcBorders>
              <w:top w:val="nil"/>
              <w:left w:val="single" w:sz="4" w:space="0" w:color="800000"/>
              <w:bottom w:val="nil"/>
              <w:right w:val="single" w:sz="4" w:space="0" w:color="800000"/>
            </w:tcBorders>
            <w:shd w:val="clear" w:color="auto" w:fill="FFFFCC"/>
            <w:noWrap/>
            <w:vAlign w:val="bottom"/>
            <w:hideMark/>
          </w:tcPr>
          <w:p w14:paraId="1EFF7BD9" w14:textId="247680D7" w:rsidR="007E68B0" w:rsidRPr="007B48E9" w:rsidRDefault="007E68B0" w:rsidP="007E68B0">
            <w:pPr>
              <w:jc w:val="right"/>
              <w:rPr>
                <w:b/>
                <w:bCs/>
                <w:color w:val="0070C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4A3F0128" w14:textId="444E1460" w:rsidR="007E68B0" w:rsidRPr="007B48E9" w:rsidRDefault="007E68B0" w:rsidP="007E68B0">
            <w:pPr>
              <w:jc w:val="right"/>
              <w:rPr>
                <w:b/>
                <w:bCs/>
                <w:color w:val="0070C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vAlign w:val="bottom"/>
            <w:hideMark/>
          </w:tcPr>
          <w:p w14:paraId="6E1C46C0" w14:textId="33066722" w:rsidR="007E68B0" w:rsidRPr="007B48E9" w:rsidRDefault="007E68B0" w:rsidP="007E68B0">
            <w:pPr>
              <w:jc w:val="right"/>
              <w:rPr>
                <w:b/>
                <w:bCs/>
                <w:color w:val="0070C0"/>
                <w:sz w:val="18"/>
                <w:szCs w:val="18"/>
              </w:rPr>
            </w:pPr>
            <w:r>
              <w:rPr>
                <w:b/>
                <w:bCs/>
                <w:color w:val="000000"/>
                <w:sz w:val="18"/>
                <w:szCs w:val="18"/>
              </w:rPr>
              <w:t> </w:t>
            </w:r>
          </w:p>
        </w:tc>
        <w:tc>
          <w:tcPr>
            <w:tcW w:w="900" w:type="dxa"/>
            <w:tcBorders>
              <w:top w:val="nil"/>
              <w:left w:val="nil"/>
              <w:bottom w:val="nil"/>
              <w:right w:val="double" w:sz="6" w:space="0" w:color="800000"/>
            </w:tcBorders>
            <w:shd w:val="clear" w:color="auto" w:fill="FFFFCC"/>
            <w:noWrap/>
            <w:vAlign w:val="bottom"/>
            <w:hideMark/>
          </w:tcPr>
          <w:p w14:paraId="4DD3312E" w14:textId="3CD39245" w:rsidR="007E68B0" w:rsidRPr="007B48E9" w:rsidRDefault="007E68B0" w:rsidP="007E68B0">
            <w:pPr>
              <w:jc w:val="right"/>
              <w:rPr>
                <w:b/>
                <w:bCs/>
                <w:color w:val="0070C0"/>
                <w:sz w:val="18"/>
                <w:szCs w:val="18"/>
              </w:rPr>
            </w:pPr>
            <w:r>
              <w:rPr>
                <w:b/>
                <w:bCs/>
                <w:color w:val="000000"/>
                <w:sz w:val="18"/>
                <w:szCs w:val="18"/>
              </w:rPr>
              <w:t>0,5</w:t>
            </w:r>
          </w:p>
        </w:tc>
      </w:tr>
      <w:tr w:rsidR="007E68B0" w:rsidRPr="007B48E9" w14:paraId="5E5E7555" w14:textId="77777777" w:rsidTr="003B085A">
        <w:trPr>
          <w:trHeight w:val="95"/>
        </w:trPr>
        <w:tc>
          <w:tcPr>
            <w:tcW w:w="3047" w:type="dxa"/>
            <w:tcBorders>
              <w:top w:val="nil"/>
              <w:left w:val="double" w:sz="6" w:space="0" w:color="800000"/>
              <w:bottom w:val="nil"/>
              <w:right w:val="single" w:sz="4" w:space="0" w:color="800000"/>
            </w:tcBorders>
            <w:shd w:val="clear" w:color="auto" w:fill="FFFFCC"/>
            <w:noWrap/>
            <w:vAlign w:val="bottom"/>
            <w:hideMark/>
          </w:tcPr>
          <w:p w14:paraId="74E7ED3C" w14:textId="77777777" w:rsidR="007E68B0" w:rsidRPr="004A00B4" w:rsidRDefault="007E68B0" w:rsidP="007E68B0">
            <w:pPr>
              <w:rPr>
                <w:sz w:val="18"/>
                <w:szCs w:val="18"/>
              </w:rPr>
            </w:pPr>
            <w:r w:rsidRPr="004A00B4">
              <w:rPr>
                <w:sz w:val="18"/>
                <w:szCs w:val="18"/>
              </w:rPr>
              <w:t xml:space="preserve">    Текущи нелихвени разходи</w:t>
            </w:r>
          </w:p>
        </w:tc>
        <w:tc>
          <w:tcPr>
            <w:tcW w:w="851" w:type="dxa"/>
            <w:tcBorders>
              <w:top w:val="nil"/>
              <w:left w:val="nil"/>
              <w:bottom w:val="nil"/>
              <w:right w:val="single" w:sz="4" w:space="0" w:color="800000"/>
            </w:tcBorders>
            <w:shd w:val="clear" w:color="auto" w:fill="FFFFCC"/>
            <w:noWrap/>
            <w:vAlign w:val="bottom"/>
            <w:hideMark/>
          </w:tcPr>
          <w:p w14:paraId="00851BA6" w14:textId="46F70434" w:rsidR="007E68B0" w:rsidRPr="007B48E9" w:rsidRDefault="007E68B0" w:rsidP="007E68B0">
            <w:pPr>
              <w:jc w:val="right"/>
              <w:rPr>
                <w:color w:val="0070C0"/>
                <w:sz w:val="18"/>
                <w:szCs w:val="18"/>
              </w:rPr>
            </w:pPr>
            <w:r>
              <w:rPr>
                <w:color w:val="000000"/>
                <w:sz w:val="18"/>
                <w:szCs w:val="18"/>
              </w:rPr>
              <w:t>4 001,1</w:t>
            </w:r>
          </w:p>
        </w:tc>
        <w:tc>
          <w:tcPr>
            <w:tcW w:w="708" w:type="dxa"/>
            <w:tcBorders>
              <w:top w:val="nil"/>
              <w:left w:val="nil"/>
              <w:bottom w:val="nil"/>
              <w:right w:val="single" w:sz="4" w:space="0" w:color="800000"/>
            </w:tcBorders>
            <w:shd w:val="clear" w:color="auto" w:fill="FFFFCC"/>
            <w:noWrap/>
            <w:vAlign w:val="bottom"/>
            <w:hideMark/>
          </w:tcPr>
          <w:p w14:paraId="0D8264BB" w14:textId="132BB804" w:rsidR="007E68B0" w:rsidRPr="007B48E9" w:rsidRDefault="007E68B0" w:rsidP="007E68B0">
            <w:pPr>
              <w:jc w:val="right"/>
              <w:rPr>
                <w:color w:val="0070C0"/>
                <w:sz w:val="18"/>
                <w:szCs w:val="18"/>
              </w:rPr>
            </w:pPr>
            <w:r>
              <w:rPr>
                <w:color w:val="000000"/>
                <w:sz w:val="18"/>
                <w:szCs w:val="18"/>
              </w:rPr>
              <w:t>1 699,0</w:t>
            </w:r>
          </w:p>
        </w:tc>
        <w:tc>
          <w:tcPr>
            <w:tcW w:w="1134" w:type="dxa"/>
            <w:tcBorders>
              <w:top w:val="nil"/>
              <w:left w:val="nil"/>
              <w:bottom w:val="nil"/>
              <w:right w:val="single" w:sz="4" w:space="0" w:color="800000"/>
            </w:tcBorders>
            <w:shd w:val="clear" w:color="auto" w:fill="FFFFCC"/>
            <w:noWrap/>
            <w:vAlign w:val="bottom"/>
            <w:hideMark/>
          </w:tcPr>
          <w:p w14:paraId="5E5F20F7" w14:textId="044D7214" w:rsidR="007E68B0" w:rsidRPr="007B48E9" w:rsidRDefault="007E68B0" w:rsidP="007E68B0">
            <w:pPr>
              <w:jc w:val="right"/>
              <w:rPr>
                <w:color w:val="0070C0"/>
                <w:sz w:val="18"/>
                <w:szCs w:val="18"/>
              </w:rPr>
            </w:pPr>
            <w:r>
              <w:rPr>
                <w:color w:val="000000"/>
                <w:sz w:val="18"/>
                <w:szCs w:val="18"/>
              </w:rPr>
              <w:t>2 301,6</w:t>
            </w:r>
          </w:p>
        </w:tc>
        <w:tc>
          <w:tcPr>
            <w:tcW w:w="567" w:type="dxa"/>
            <w:tcBorders>
              <w:top w:val="nil"/>
              <w:left w:val="single" w:sz="4" w:space="0" w:color="800000"/>
              <w:bottom w:val="nil"/>
              <w:right w:val="single" w:sz="4" w:space="0" w:color="800000"/>
            </w:tcBorders>
            <w:shd w:val="clear" w:color="auto" w:fill="FFFFCC"/>
            <w:noWrap/>
            <w:vAlign w:val="bottom"/>
            <w:hideMark/>
          </w:tcPr>
          <w:p w14:paraId="02809091" w14:textId="5DF43135" w:rsidR="007E68B0" w:rsidRPr="007B48E9" w:rsidRDefault="007E68B0" w:rsidP="007E68B0">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1936CAF8" w14:textId="23B601BF"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vAlign w:val="bottom"/>
            <w:hideMark/>
          </w:tcPr>
          <w:p w14:paraId="661539BA" w14:textId="459B64F4" w:rsidR="007E68B0" w:rsidRPr="007B48E9" w:rsidRDefault="007E68B0" w:rsidP="007E68B0">
            <w:pPr>
              <w:jc w:val="right"/>
              <w:rPr>
                <w:color w:val="0070C0"/>
                <w:sz w:val="18"/>
                <w:szCs w:val="18"/>
              </w:rPr>
            </w:pPr>
            <w:r>
              <w:rPr>
                <w:color w:val="000000"/>
                <w:sz w:val="18"/>
                <w:szCs w:val="18"/>
              </w:rPr>
              <w:t> </w:t>
            </w:r>
          </w:p>
        </w:tc>
        <w:tc>
          <w:tcPr>
            <w:tcW w:w="900" w:type="dxa"/>
            <w:tcBorders>
              <w:top w:val="nil"/>
              <w:left w:val="nil"/>
              <w:bottom w:val="nil"/>
              <w:right w:val="double" w:sz="6" w:space="0" w:color="800000"/>
            </w:tcBorders>
            <w:shd w:val="clear" w:color="auto" w:fill="FFFFCC"/>
            <w:noWrap/>
            <w:vAlign w:val="bottom"/>
            <w:hideMark/>
          </w:tcPr>
          <w:p w14:paraId="575476CD" w14:textId="4E0601F5" w:rsidR="007E68B0" w:rsidRPr="007B48E9" w:rsidRDefault="007E68B0" w:rsidP="007E68B0">
            <w:pPr>
              <w:jc w:val="right"/>
              <w:rPr>
                <w:color w:val="0070C0"/>
                <w:sz w:val="18"/>
                <w:szCs w:val="18"/>
              </w:rPr>
            </w:pPr>
            <w:r>
              <w:rPr>
                <w:color w:val="000000"/>
                <w:sz w:val="18"/>
                <w:szCs w:val="18"/>
              </w:rPr>
              <w:t>0,5</w:t>
            </w:r>
          </w:p>
        </w:tc>
      </w:tr>
      <w:tr w:rsidR="007E68B0" w:rsidRPr="007B48E9" w14:paraId="463200F3" w14:textId="77777777" w:rsidTr="003B085A">
        <w:trPr>
          <w:trHeight w:val="192"/>
        </w:trPr>
        <w:tc>
          <w:tcPr>
            <w:tcW w:w="3047" w:type="dxa"/>
            <w:tcBorders>
              <w:top w:val="nil"/>
              <w:left w:val="double" w:sz="6" w:space="0" w:color="800000"/>
              <w:bottom w:val="nil"/>
              <w:right w:val="single" w:sz="4" w:space="0" w:color="800000"/>
            </w:tcBorders>
            <w:shd w:val="clear" w:color="auto" w:fill="FFFFCC"/>
            <w:noWrap/>
            <w:vAlign w:val="bottom"/>
          </w:tcPr>
          <w:p w14:paraId="68C81611" w14:textId="77777777" w:rsidR="007E68B0" w:rsidRPr="004A00B4" w:rsidRDefault="007E68B0" w:rsidP="007E68B0">
            <w:pPr>
              <w:rPr>
                <w:sz w:val="18"/>
                <w:szCs w:val="18"/>
              </w:rPr>
            </w:pPr>
            <w:r w:rsidRPr="004A00B4">
              <w:rPr>
                <w:sz w:val="18"/>
                <w:szCs w:val="18"/>
              </w:rPr>
              <w:t xml:space="preserve">    Капиталови разходи</w:t>
            </w:r>
          </w:p>
          <w:p w14:paraId="5F03825C" w14:textId="77777777" w:rsidR="007E68B0" w:rsidRPr="004A00B4" w:rsidRDefault="007E68B0" w:rsidP="007E68B0">
            <w:pPr>
              <w:rPr>
                <w:sz w:val="18"/>
                <w:szCs w:val="18"/>
              </w:rPr>
            </w:pPr>
          </w:p>
        </w:tc>
        <w:tc>
          <w:tcPr>
            <w:tcW w:w="851" w:type="dxa"/>
            <w:tcBorders>
              <w:top w:val="nil"/>
              <w:left w:val="nil"/>
              <w:bottom w:val="nil"/>
              <w:right w:val="single" w:sz="4" w:space="0" w:color="800000"/>
            </w:tcBorders>
            <w:shd w:val="clear" w:color="auto" w:fill="FFFFCC"/>
            <w:noWrap/>
            <w:vAlign w:val="bottom"/>
            <w:hideMark/>
          </w:tcPr>
          <w:p w14:paraId="24ACEAC0" w14:textId="49F0B2E5" w:rsidR="007E68B0" w:rsidRPr="007B48E9" w:rsidRDefault="007E68B0" w:rsidP="007E68B0">
            <w:pPr>
              <w:jc w:val="right"/>
              <w:rPr>
                <w:color w:val="0070C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14:paraId="18B68DBC" w14:textId="0DE983B3" w:rsidR="007E68B0" w:rsidRPr="007B48E9" w:rsidRDefault="007E68B0" w:rsidP="007E68B0">
            <w:pPr>
              <w:jc w:val="right"/>
              <w:rPr>
                <w:color w:val="0070C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hideMark/>
          </w:tcPr>
          <w:p w14:paraId="2E6831CD" w14:textId="6488B9E1"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hideMark/>
          </w:tcPr>
          <w:p w14:paraId="6E4B4A67" w14:textId="4EDA86E6" w:rsidR="007E68B0" w:rsidRPr="007B48E9" w:rsidRDefault="007E68B0" w:rsidP="007E68B0">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597255D1" w14:textId="39B118EA"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vAlign w:val="bottom"/>
            <w:hideMark/>
          </w:tcPr>
          <w:p w14:paraId="12530B45" w14:textId="0CAD5E25" w:rsidR="007E68B0" w:rsidRPr="007B48E9" w:rsidRDefault="007E68B0" w:rsidP="007E68B0">
            <w:pPr>
              <w:jc w:val="right"/>
              <w:rPr>
                <w:color w:val="0070C0"/>
                <w:sz w:val="18"/>
                <w:szCs w:val="18"/>
              </w:rPr>
            </w:pPr>
            <w:r>
              <w:rPr>
                <w:color w:val="000000"/>
                <w:sz w:val="18"/>
                <w:szCs w:val="18"/>
              </w:rPr>
              <w:t> </w:t>
            </w:r>
          </w:p>
        </w:tc>
        <w:tc>
          <w:tcPr>
            <w:tcW w:w="900" w:type="dxa"/>
            <w:tcBorders>
              <w:top w:val="nil"/>
              <w:left w:val="nil"/>
              <w:bottom w:val="nil"/>
              <w:right w:val="double" w:sz="6" w:space="0" w:color="800000"/>
            </w:tcBorders>
            <w:shd w:val="clear" w:color="auto" w:fill="FFFFCC"/>
            <w:noWrap/>
            <w:vAlign w:val="bottom"/>
            <w:hideMark/>
          </w:tcPr>
          <w:p w14:paraId="16E40F77" w14:textId="39026EA2" w:rsidR="007E68B0" w:rsidRPr="007B48E9" w:rsidRDefault="007E68B0" w:rsidP="007E68B0">
            <w:pPr>
              <w:jc w:val="right"/>
              <w:rPr>
                <w:color w:val="0070C0"/>
                <w:sz w:val="18"/>
                <w:szCs w:val="18"/>
              </w:rPr>
            </w:pPr>
            <w:r>
              <w:rPr>
                <w:color w:val="000000"/>
                <w:sz w:val="18"/>
                <w:szCs w:val="18"/>
              </w:rPr>
              <w:t> </w:t>
            </w:r>
          </w:p>
        </w:tc>
      </w:tr>
      <w:tr w:rsidR="007E68B0" w:rsidRPr="007B48E9" w14:paraId="559A9D55" w14:textId="77777777" w:rsidTr="003B085A">
        <w:trPr>
          <w:trHeight w:val="302"/>
        </w:trPr>
        <w:tc>
          <w:tcPr>
            <w:tcW w:w="3047" w:type="dxa"/>
            <w:tcBorders>
              <w:top w:val="nil"/>
              <w:left w:val="double" w:sz="6" w:space="0" w:color="800000"/>
              <w:bottom w:val="nil"/>
              <w:right w:val="single" w:sz="4" w:space="0" w:color="800000"/>
            </w:tcBorders>
            <w:shd w:val="clear" w:color="auto" w:fill="FFFFCC"/>
            <w:noWrap/>
            <w:vAlign w:val="bottom"/>
            <w:hideMark/>
          </w:tcPr>
          <w:p w14:paraId="075B5760" w14:textId="77777777" w:rsidR="007E68B0" w:rsidRPr="004A00B4" w:rsidRDefault="007E68B0" w:rsidP="007E68B0">
            <w:pPr>
              <w:rPr>
                <w:b/>
                <w:bCs/>
                <w:sz w:val="16"/>
                <w:szCs w:val="16"/>
              </w:rPr>
            </w:pPr>
            <w:r w:rsidRPr="004A00B4">
              <w:rPr>
                <w:b/>
                <w:bCs/>
                <w:sz w:val="16"/>
                <w:szCs w:val="16"/>
              </w:rPr>
              <w:t>В. ПРОГРАМИ, ДЕЙНОСТИ И СЛУЖБИ ПО СОЦИАЛНОТО ОСИГУРЯВАНЕ, ПОДПОМАГАНЕ И ЗАЕТОСТТА</w:t>
            </w:r>
          </w:p>
        </w:tc>
        <w:tc>
          <w:tcPr>
            <w:tcW w:w="851" w:type="dxa"/>
            <w:tcBorders>
              <w:top w:val="nil"/>
              <w:left w:val="nil"/>
              <w:bottom w:val="nil"/>
              <w:right w:val="single" w:sz="4" w:space="0" w:color="800000"/>
            </w:tcBorders>
            <w:shd w:val="clear" w:color="auto" w:fill="FFFFCC"/>
            <w:noWrap/>
            <w:vAlign w:val="bottom"/>
            <w:hideMark/>
          </w:tcPr>
          <w:p w14:paraId="5633C355" w14:textId="1837F05C" w:rsidR="007E68B0" w:rsidRPr="007B48E9" w:rsidRDefault="007E68B0" w:rsidP="007E68B0">
            <w:pPr>
              <w:jc w:val="right"/>
              <w:rPr>
                <w:b/>
                <w:bCs/>
                <w:color w:val="0070C0"/>
                <w:sz w:val="18"/>
                <w:szCs w:val="18"/>
              </w:rPr>
            </w:pPr>
            <w:r>
              <w:rPr>
                <w:b/>
                <w:bCs/>
                <w:color w:val="000000"/>
                <w:sz w:val="18"/>
                <w:szCs w:val="18"/>
              </w:rPr>
              <w:t>2 203,8</w:t>
            </w:r>
          </w:p>
        </w:tc>
        <w:tc>
          <w:tcPr>
            <w:tcW w:w="708" w:type="dxa"/>
            <w:tcBorders>
              <w:top w:val="nil"/>
              <w:left w:val="nil"/>
              <w:bottom w:val="nil"/>
              <w:right w:val="single" w:sz="4" w:space="0" w:color="800000"/>
            </w:tcBorders>
            <w:shd w:val="clear" w:color="auto" w:fill="FFFFCC"/>
            <w:noWrap/>
            <w:vAlign w:val="bottom"/>
            <w:hideMark/>
          </w:tcPr>
          <w:p w14:paraId="1AD97C55" w14:textId="41C20BB1" w:rsidR="007E68B0" w:rsidRPr="007B48E9" w:rsidRDefault="007E68B0" w:rsidP="007E68B0">
            <w:pPr>
              <w:jc w:val="right"/>
              <w:rPr>
                <w:b/>
                <w:bCs/>
                <w:color w:val="0070C0"/>
                <w:sz w:val="18"/>
                <w:szCs w:val="18"/>
              </w:rPr>
            </w:pPr>
            <w:r>
              <w:rPr>
                <w:b/>
                <w:bCs/>
                <w:color w:val="000000"/>
                <w:sz w:val="18"/>
                <w:szCs w:val="18"/>
              </w:rPr>
              <w:t>222,9</w:t>
            </w:r>
          </w:p>
        </w:tc>
        <w:tc>
          <w:tcPr>
            <w:tcW w:w="1134" w:type="dxa"/>
            <w:tcBorders>
              <w:top w:val="nil"/>
              <w:left w:val="nil"/>
              <w:bottom w:val="nil"/>
              <w:right w:val="single" w:sz="4" w:space="0" w:color="800000"/>
            </w:tcBorders>
            <w:shd w:val="clear" w:color="auto" w:fill="FFFFCC"/>
            <w:noWrap/>
            <w:vAlign w:val="bottom"/>
            <w:hideMark/>
          </w:tcPr>
          <w:p w14:paraId="2483844D" w14:textId="6B2AA1F4" w:rsidR="007E68B0" w:rsidRPr="007B48E9" w:rsidRDefault="007E68B0" w:rsidP="007E68B0">
            <w:pPr>
              <w:jc w:val="right"/>
              <w:rPr>
                <w:b/>
                <w:bCs/>
                <w:color w:val="0070C0"/>
                <w:sz w:val="18"/>
                <w:szCs w:val="18"/>
              </w:rPr>
            </w:pPr>
            <w:r>
              <w:rPr>
                <w:b/>
                <w:bCs/>
                <w:color w:val="000000"/>
                <w:sz w:val="18"/>
                <w:szCs w:val="18"/>
              </w:rPr>
              <w:t>311,0</w:t>
            </w:r>
          </w:p>
        </w:tc>
        <w:tc>
          <w:tcPr>
            <w:tcW w:w="567" w:type="dxa"/>
            <w:tcBorders>
              <w:top w:val="nil"/>
              <w:left w:val="single" w:sz="4" w:space="0" w:color="800000"/>
              <w:bottom w:val="nil"/>
              <w:right w:val="single" w:sz="4" w:space="0" w:color="800000"/>
            </w:tcBorders>
            <w:shd w:val="clear" w:color="auto" w:fill="FFFFCC"/>
            <w:noWrap/>
            <w:vAlign w:val="bottom"/>
            <w:hideMark/>
          </w:tcPr>
          <w:p w14:paraId="64773305" w14:textId="0F6BDCB1" w:rsidR="007E68B0" w:rsidRPr="007B48E9" w:rsidRDefault="007E68B0" w:rsidP="007E68B0">
            <w:pPr>
              <w:jc w:val="right"/>
              <w:rPr>
                <w:b/>
                <w:bCs/>
                <w:color w:val="0070C0"/>
                <w:sz w:val="18"/>
                <w:szCs w:val="18"/>
              </w:rPr>
            </w:pPr>
            <w:r>
              <w:rPr>
                <w:b/>
                <w:bCs/>
                <w:color w:val="000000"/>
                <w:sz w:val="18"/>
                <w:szCs w:val="18"/>
              </w:rPr>
              <w:t>0,05</w:t>
            </w:r>
          </w:p>
        </w:tc>
        <w:tc>
          <w:tcPr>
            <w:tcW w:w="851" w:type="dxa"/>
            <w:tcBorders>
              <w:top w:val="nil"/>
              <w:left w:val="single" w:sz="4" w:space="0" w:color="800000"/>
              <w:bottom w:val="nil"/>
              <w:right w:val="single" w:sz="4" w:space="0" w:color="800000"/>
            </w:tcBorders>
            <w:shd w:val="clear" w:color="auto" w:fill="FFFFCC"/>
            <w:noWrap/>
            <w:vAlign w:val="bottom"/>
            <w:hideMark/>
          </w:tcPr>
          <w:p w14:paraId="4BED37BC" w14:textId="2B8BFA03" w:rsidR="007E68B0" w:rsidRPr="007B48E9" w:rsidRDefault="007E68B0" w:rsidP="007E68B0">
            <w:pPr>
              <w:jc w:val="right"/>
              <w:rPr>
                <w:b/>
                <w:bCs/>
                <w:color w:val="0070C0"/>
                <w:sz w:val="18"/>
                <w:szCs w:val="18"/>
              </w:rPr>
            </w:pPr>
            <w:r>
              <w:rPr>
                <w:b/>
                <w:bCs/>
                <w:color w:val="000000"/>
                <w:sz w:val="18"/>
                <w:szCs w:val="18"/>
              </w:rPr>
              <w:t>1 328,1</w:t>
            </w:r>
          </w:p>
        </w:tc>
        <w:tc>
          <w:tcPr>
            <w:tcW w:w="567" w:type="dxa"/>
            <w:tcBorders>
              <w:top w:val="nil"/>
              <w:left w:val="nil"/>
              <w:bottom w:val="nil"/>
              <w:right w:val="single" w:sz="4" w:space="0" w:color="800000"/>
            </w:tcBorders>
            <w:shd w:val="clear" w:color="auto" w:fill="FFFFCC"/>
            <w:vAlign w:val="bottom"/>
            <w:hideMark/>
          </w:tcPr>
          <w:p w14:paraId="667FF6DE" w14:textId="720C3894" w:rsidR="007E68B0" w:rsidRPr="007B48E9" w:rsidRDefault="007E68B0" w:rsidP="007E68B0">
            <w:pPr>
              <w:jc w:val="right"/>
              <w:rPr>
                <w:b/>
                <w:bCs/>
                <w:color w:val="0070C0"/>
                <w:sz w:val="18"/>
                <w:szCs w:val="18"/>
              </w:rPr>
            </w:pPr>
            <w:r>
              <w:rPr>
                <w:b/>
                <w:bCs/>
                <w:color w:val="000000"/>
                <w:sz w:val="18"/>
                <w:szCs w:val="18"/>
              </w:rPr>
              <w:t>3,2</w:t>
            </w:r>
          </w:p>
        </w:tc>
        <w:tc>
          <w:tcPr>
            <w:tcW w:w="900" w:type="dxa"/>
            <w:tcBorders>
              <w:top w:val="nil"/>
              <w:left w:val="nil"/>
              <w:bottom w:val="nil"/>
              <w:right w:val="double" w:sz="6" w:space="0" w:color="800000"/>
            </w:tcBorders>
            <w:shd w:val="clear" w:color="auto" w:fill="FFFFCC"/>
            <w:noWrap/>
            <w:vAlign w:val="bottom"/>
            <w:hideMark/>
          </w:tcPr>
          <w:p w14:paraId="562E9F1A" w14:textId="0410E0E3" w:rsidR="007E68B0" w:rsidRPr="007B48E9" w:rsidRDefault="007E68B0" w:rsidP="007E68B0">
            <w:pPr>
              <w:jc w:val="right"/>
              <w:rPr>
                <w:b/>
                <w:bCs/>
                <w:color w:val="0070C0"/>
                <w:sz w:val="18"/>
                <w:szCs w:val="18"/>
              </w:rPr>
            </w:pPr>
            <w:r>
              <w:rPr>
                <w:b/>
                <w:bCs/>
                <w:color w:val="000000"/>
                <w:sz w:val="18"/>
                <w:szCs w:val="18"/>
              </w:rPr>
              <w:t>338,6</w:t>
            </w:r>
          </w:p>
        </w:tc>
      </w:tr>
      <w:tr w:rsidR="007E68B0" w:rsidRPr="007B48E9" w14:paraId="59C481D0" w14:textId="77777777" w:rsidTr="003B085A">
        <w:trPr>
          <w:trHeight w:val="302"/>
        </w:trPr>
        <w:tc>
          <w:tcPr>
            <w:tcW w:w="3047" w:type="dxa"/>
            <w:tcBorders>
              <w:top w:val="nil"/>
              <w:left w:val="double" w:sz="6" w:space="0" w:color="800000"/>
              <w:bottom w:val="nil"/>
              <w:right w:val="single" w:sz="4" w:space="0" w:color="800000"/>
            </w:tcBorders>
            <w:shd w:val="clear" w:color="auto" w:fill="FFFFCC"/>
            <w:noWrap/>
            <w:vAlign w:val="bottom"/>
            <w:hideMark/>
          </w:tcPr>
          <w:p w14:paraId="2792AD82" w14:textId="77777777" w:rsidR="007E68B0" w:rsidRPr="004A00B4" w:rsidRDefault="007E68B0" w:rsidP="007E68B0">
            <w:pPr>
              <w:rPr>
                <w:sz w:val="18"/>
                <w:szCs w:val="18"/>
              </w:rPr>
            </w:pPr>
            <w:r w:rsidRPr="004A00B4">
              <w:rPr>
                <w:sz w:val="18"/>
                <w:szCs w:val="18"/>
              </w:rPr>
              <w:t xml:space="preserve">    Текущи нелихвени разходи</w:t>
            </w:r>
          </w:p>
        </w:tc>
        <w:tc>
          <w:tcPr>
            <w:tcW w:w="851" w:type="dxa"/>
            <w:tcBorders>
              <w:top w:val="nil"/>
              <w:left w:val="nil"/>
              <w:bottom w:val="nil"/>
              <w:right w:val="single" w:sz="4" w:space="0" w:color="800000"/>
            </w:tcBorders>
            <w:shd w:val="clear" w:color="auto" w:fill="FFFFCC"/>
            <w:noWrap/>
            <w:vAlign w:val="bottom"/>
            <w:hideMark/>
          </w:tcPr>
          <w:p w14:paraId="41170FB8" w14:textId="328E57BB" w:rsidR="007E68B0" w:rsidRPr="007B48E9" w:rsidRDefault="007E68B0" w:rsidP="007E68B0">
            <w:pPr>
              <w:jc w:val="right"/>
              <w:rPr>
                <w:color w:val="0070C0"/>
                <w:sz w:val="18"/>
                <w:szCs w:val="18"/>
              </w:rPr>
            </w:pPr>
            <w:r>
              <w:rPr>
                <w:color w:val="000000"/>
                <w:sz w:val="18"/>
                <w:szCs w:val="18"/>
              </w:rPr>
              <w:t>2 145,9</w:t>
            </w:r>
          </w:p>
        </w:tc>
        <w:tc>
          <w:tcPr>
            <w:tcW w:w="708" w:type="dxa"/>
            <w:tcBorders>
              <w:top w:val="nil"/>
              <w:left w:val="nil"/>
              <w:bottom w:val="nil"/>
              <w:right w:val="single" w:sz="4" w:space="0" w:color="800000"/>
            </w:tcBorders>
            <w:shd w:val="clear" w:color="auto" w:fill="FFFFCC"/>
            <w:noWrap/>
            <w:vAlign w:val="bottom"/>
            <w:hideMark/>
          </w:tcPr>
          <w:p w14:paraId="2CC2E83A" w14:textId="38F5C84E" w:rsidR="007E68B0" w:rsidRPr="007B48E9" w:rsidRDefault="007E68B0" w:rsidP="007E68B0">
            <w:pPr>
              <w:jc w:val="right"/>
              <w:rPr>
                <w:color w:val="0070C0"/>
                <w:sz w:val="18"/>
                <w:szCs w:val="18"/>
              </w:rPr>
            </w:pPr>
            <w:r>
              <w:rPr>
                <w:color w:val="000000"/>
                <w:sz w:val="18"/>
                <w:szCs w:val="18"/>
              </w:rPr>
              <w:t>221,1</w:t>
            </w:r>
          </w:p>
        </w:tc>
        <w:tc>
          <w:tcPr>
            <w:tcW w:w="1134" w:type="dxa"/>
            <w:tcBorders>
              <w:top w:val="nil"/>
              <w:left w:val="nil"/>
              <w:bottom w:val="nil"/>
              <w:right w:val="single" w:sz="4" w:space="0" w:color="800000"/>
            </w:tcBorders>
            <w:shd w:val="clear" w:color="auto" w:fill="FFFFCC"/>
            <w:noWrap/>
            <w:vAlign w:val="bottom"/>
            <w:hideMark/>
          </w:tcPr>
          <w:p w14:paraId="4C53BF81" w14:textId="7A447ABC" w:rsidR="007E68B0" w:rsidRPr="007B48E9" w:rsidRDefault="007E68B0" w:rsidP="007E68B0">
            <w:pPr>
              <w:jc w:val="right"/>
              <w:rPr>
                <w:color w:val="0070C0"/>
                <w:sz w:val="18"/>
                <w:szCs w:val="18"/>
              </w:rPr>
            </w:pPr>
            <w:r>
              <w:rPr>
                <w:color w:val="000000"/>
                <w:sz w:val="18"/>
                <w:szCs w:val="18"/>
              </w:rPr>
              <w:t>307,8</w:t>
            </w:r>
          </w:p>
        </w:tc>
        <w:tc>
          <w:tcPr>
            <w:tcW w:w="567" w:type="dxa"/>
            <w:tcBorders>
              <w:top w:val="nil"/>
              <w:left w:val="single" w:sz="4" w:space="0" w:color="800000"/>
              <w:bottom w:val="nil"/>
              <w:right w:val="single" w:sz="4" w:space="0" w:color="800000"/>
            </w:tcBorders>
            <w:shd w:val="clear" w:color="auto" w:fill="FFFFCC"/>
            <w:noWrap/>
            <w:vAlign w:val="bottom"/>
            <w:hideMark/>
          </w:tcPr>
          <w:p w14:paraId="43E687D0" w14:textId="2A671B2E" w:rsidR="007E68B0" w:rsidRPr="007B48E9" w:rsidRDefault="007E68B0" w:rsidP="007E68B0">
            <w:pPr>
              <w:jc w:val="right"/>
              <w:rPr>
                <w:color w:val="0070C0"/>
                <w:sz w:val="18"/>
                <w:szCs w:val="18"/>
              </w:rPr>
            </w:pPr>
            <w:r>
              <w:rPr>
                <w:color w:val="000000"/>
                <w:sz w:val="18"/>
                <w:szCs w:val="18"/>
              </w:rPr>
              <w:t>0,05</w:t>
            </w:r>
          </w:p>
        </w:tc>
        <w:tc>
          <w:tcPr>
            <w:tcW w:w="851" w:type="dxa"/>
            <w:tcBorders>
              <w:top w:val="nil"/>
              <w:left w:val="single" w:sz="4" w:space="0" w:color="800000"/>
              <w:bottom w:val="nil"/>
              <w:right w:val="single" w:sz="4" w:space="0" w:color="800000"/>
            </w:tcBorders>
            <w:shd w:val="clear" w:color="auto" w:fill="FFFFCC"/>
            <w:noWrap/>
            <w:vAlign w:val="bottom"/>
            <w:hideMark/>
          </w:tcPr>
          <w:p w14:paraId="7DF50921" w14:textId="6D935555" w:rsidR="007E68B0" w:rsidRPr="007B48E9" w:rsidRDefault="007E68B0" w:rsidP="007E68B0">
            <w:pPr>
              <w:jc w:val="right"/>
              <w:rPr>
                <w:color w:val="0070C0"/>
                <w:sz w:val="18"/>
                <w:szCs w:val="18"/>
              </w:rPr>
            </w:pPr>
            <w:r>
              <w:rPr>
                <w:color w:val="000000"/>
                <w:sz w:val="18"/>
                <w:szCs w:val="18"/>
              </w:rPr>
              <w:t>1 300,1</w:t>
            </w:r>
          </w:p>
        </w:tc>
        <w:tc>
          <w:tcPr>
            <w:tcW w:w="567" w:type="dxa"/>
            <w:tcBorders>
              <w:top w:val="nil"/>
              <w:left w:val="nil"/>
              <w:bottom w:val="nil"/>
              <w:right w:val="single" w:sz="4" w:space="0" w:color="800000"/>
            </w:tcBorders>
            <w:shd w:val="clear" w:color="auto" w:fill="FFFFCC"/>
            <w:vAlign w:val="bottom"/>
            <w:hideMark/>
          </w:tcPr>
          <w:p w14:paraId="3C6C3DA3" w14:textId="7DEC488C" w:rsidR="007E68B0" w:rsidRPr="007B48E9" w:rsidRDefault="007E68B0" w:rsidP="007E68B0">
            <w:pPr>
              <w:jc w:val="right"/>
              <w:rPr>
                <w:color w:val="0070C0"/>
                <w:sz w:val="18"/>
                <w:szCs w:val="18"/>
              </w:rPr>
            </w:pPr>
            <w:r>
              <w:rPr>
                <w:color w:val="000000"/>
                <w:sz w:val="18"/>
                <w:szCs w:val="18"/>
              </w:rPr>
              <w:t>2,3</w:t>
            </w:r>
          </w:p>
        </w:tc>
        <w:tc>
          <w:tcPr>
            <w:tcW w:w="900" w:type="dxa"/>
            <w:tcBorders>
              <w:top w:val="nil"/>
              <w:left w:val="nil"/>
              <w:bottom w:val="nil"/>
              <w:right w:val="double" w:sz="6" w:space="0" w:color="800000"/>
            </w:tcBorders>
            <w:shd w:val="clear" w:color="auto" w:fill="FFFFCC"/>
            <w:noWrap/>
            <w:vAlign w:val="bottom"/>
            <w:hideMark/>
          </w:tcPr>
          <w:p w14:paraId="1F85596E" w14:textId="0B417886" w:rsidR="007E68B0" w:rsidRPr="007B48E9" w:rsidRDefault="007E68B0" w:rsidP="007E68B0">
            <w:pPr>
              <w:jc w:val="right"/>
              <w:rPr>
                <w:color w:val="0070C0"/>
                <w:sz w:val="18"/>
                <w:szCs w:val="18"/>
              </w:rPr>
            </w:pPr>
            <w:r>
              <w:rPr>
                <w:color w:val="000000"/>
                <w:sz w:val="18"/>
                <w:szCs w:val="18"/>
              </w:rPr>
              <w:t>314,7</w:t>
            </w:r>
          </w:p>
        </w:tc>
      </w:tr>
      <w:tr w:rsidR="007E68B0" w:rsidRPr="007B48E9" w14:paraId="3F788AB9" w14:textId="77777777" w:rsidTr="003B085A">
        <w:trPr>
          <w:trHeight w:val="223"/>
        </w:trPr>
        <w:tc>
          <w:tcPr>
            <w:tcW w:w="3047" w:type="dxa"/>
            <w:tcBorders>
              <w:top w:val="nil"/>
              <w:left w:val="double" w:sz="6" w:space="0" w:color="800000"/>
              <w:right w:val="single" w:sz="4" w:space="0" w:color="800000"/>
            </w:tcBorders>
            <w:shd w:val="clear" w:color="auto" w:fill="FFFFCC"/>
            <w:noWrap/>
            <w:vAlign w:val="bottom"/>
            <w:hideMark/>
          </w:tcPr>
          <w:p w14:paraId="62B4F2E2" w14:textId="77777777" w:rsidR="007E68B0" w:rsidRPr="004A00B4" w:rsidRDefault="007E68B0" w:rsidP="007E68B0">
            <w:pPr>
              <w:rPr>
                <w:sz w:val="18"/>
                <w:szCs w:val="18"/>
              </w:rPr>
            </w:pPr>
            <w:r w:rsidRPr="004A00B4">
              <w:rPr>
                <w:sz w:val="18"/>
                <w:szCs w:val="18"/>
              </w:rPr>
              <w:t xml:space="preserve">    Капиталови разходи</w:t>
            </w:r>
          </w:p>
        </w:tc>
        <w:tc>
          <w:tcPr>
            <w:tcW w:w="851" w:type="dxa"/>
            <w:tcBorders>
              <w:top w:val="nil"/>
              <w:left w:val="nil"/>
              <w:right w:val="single" w:sz="4" w:space="0" w:color="800000"/>
            </w:tcBorders>
            <w:shd w:val="clear" w:color="auto" w:fill="FFFFCC"/>
            <w:noWrap/>
            <w:vAlign w:val="bottom"/>
            <w:hideMark/>
          </w:tcPr>
          <w:p w14:paraId="52D6BEA3" w14:textId="0793B13E" w:rsidR="007E68B0" w:rsidRPr="007B48E9" w:rsidRDefault="007E68B0" w:rsidP="007E68B0">
            <w:pPr>
              <w:jc w:val="right"/>
              <w:rPr>
                <w:color w:val="0070C0"/>
                <w:sz w:val="18"/>
                <w:szCs w:val="18"/>
              </w:rPr>
            </w:pPr>
            <w:r>
              <w:rPr>
                <w:color w:val="000000"/>
                <w:sz w:val="18"/>
                <w:szCs w:val="18"/>
              </w:rPr>
              <w:t>57,6</w:t>
            </w:r>
          </w:p>
        </w:tc>
        <w:tc>
          <w:tcPr>
            <w:tcW w:w="708" w:type="dxa"/>
            <w:tcBorders>
              <w:top w:val="nil"/>
              <w:left w:val="nil"/>
              <w:right w:val="single" w:sz="4" w:space="0" w:color="800000"/>
            </w:tcBorders>
            <w:shd w:val="clear" w:color="auto" w:fill="FFFFCC"/>
            <w:noWrap/>
            <w:vAlign w:val="bottom"/>
            <w:hideMark/>
          </w:tcPr>
          <w:p w14:paraId="135C5AB2" w14:textId="4080DAC2" w:rsidR="007E68B0" w:rsidRPr="007B48E9" w:rsidRDefault="007E68B0" w:rsidP="007E68B0">
            <w:pPr>
              <w:jc w:val="right"/>
              <w:rPr>
                <w:color w:val="0070C0"/>
                <w:sz w:val="18"/>
                <w:szCs w:val="18"/>
              </w:rPr>
            </w:pPr>
            <w:r>
              <w:rPr>
                <w:color w:val="000000"/>
                <w:sz w:val="18"/>
                <w:szCs w:val="18"/>
              </w:rPr>
              <w:t>1,9</w:t>
            </w:r>
          </w:p>
        </w:tc>
        <w:tc>
          <w:tcPr>
            <w:tcW w:w="1134" w:type="dxa"/>
            <w:tcBorders>
              <w:top w:val="nil"/>
              <w:left w:val="nil"/>
              <w:right w:val="single" w:sz="4" w:space="0" w:color="800000"/>
            </w:tcBorders>
            <w:shd w:val="clear" w:color="auto" w:fill="FFFFCC"/>
            <w:noWrap/>
            <w:vAlign w:val="bottom"/>
            <w:hideMark/>
          </w:tcPr>
          <w:p w14:paraId="59100C38" w14:textId="209542C9" w:rsidR="007E68B0" w:rsidRPr="007B48E9" w:rsidRDefault="007E68B0" w:rsidP="007E68B0">
            <w:pPr>
              <w:jc w:val="right"/>
              <w:rPr>
                <w:color w:val="0070C0"/>
                <w:sz w:val="18"/>
                <w:szCs w:val="18"/>
              </w:rPr>
            </w:pPr>
            <w:r>
              <w:rPr>
                <w:color w:val="000000"/>
                <w:sz w:val="18"/>
                <w:szCs w:val="18"/>
              </w:rPr>
              <w:t>3,2</w:t>
            </w:r>
          </w:p>
        </w:tc>
        <w:tc>
          <w:tcPr>
            <w:tcW w:w="567" w:type="dxa"/>
            <w:tcBorders>
              <w:top w:val="nil"/>
              <w:left w:val="single" w:sz="4" w:space="0" w:color="800000"/>
              <w:right w:val="single" w:sz="4" w:space="0" w:color="800000"/>
            </w:tcBorders>
            <w:shd w:val="clear" w:color="auto" w:fill="FFFFCC"/>
            <w:noWrap/>
            <w:vAlign w:val="bottom"/>
            <w:hideMark/>
          </w:tcPr>
          <w:p w14:paraId="57B1AAF7" w14:textId="5E54014D" w:rsidR="007E68B0" w:rsidRPr="007B48E9" w:rsidRDefault="007E68B0" w:rsidP="007E68B0">
            <w:pPr>
              <w:jc w:val="right"/>
              <w:rPr>
                <w:color w:val="0070C0"/>
                <w:sz w:val="18"/>
                <w:szCs w:val="18"/>
              </w:rPr>
            </w:pPr>
            <w:r>
              <w:rPr>
                <w:color w:val="000000"/>
                <w:sz w:val="18"/>
                <w:szCs w:val="18"/>
              </w:rPr>
              <w:t> </w:t>
            </w:r>
          </w:p>
        </w:tc>
        <w:tc>
          <w:tcPr>
            <w:tcW w:w="851" w:type="dxa"/>
            <w:tcBorders>
              <w:top w:val="nil"/>
              <w:left w:val="single" w:sz="4" w:space="0" w:color="800000"/>
              <w:right w:val="single" w:sz="4" w:space="0" w:color="800000"/>
            </w:tcBorders>
            <w:shd w:val="clear" w:color="auto" w:fill="FFFFCC"/>
            <w:noWrap/>
            <w:vAlign w:val="bottom"/>
            <w:hideMark/>
          </w:tcPr>
          <w:p w14:paraId="55F8B1C7" w14:textId="6793A467" w:rsidR="007E68B0" w:rsidRPr="007B48E9" w:rsidRDefault="007E68B0" w:rsidP="007E68B0">
            <w:pPr>
              <w:jc w:val="right"/>
              <w:rPr>
                <w:color w:val="0070C0"/>
                <w:sz w:val="18"/>
                <w:szCs w:val="18"/>
              </w:rPr>
            </w:pPr>
            <w:r>
              <w:rPr>
                <w:color w:val="000000"/>
                <w:sz w:val="18"/>
                <w:szCs w:val="18"/>
              </w:rPr>
              <w:t>28,0</w:t>
            </w:r>
          </w:p>
        </w:tc>
        <w:tc>
          <w:tcPr>
            <w:tcW w:w="567" w:type="dxa"/>
            <w:tcBorders>
              <w:top w:val="nil"/>
              <w:left w:val="nil"/>
              <w:right w:val="single" w:sz="4" w:space="0" w:color="800000"/>
            </w:tcBorders>
            <w:shd w:val="clear" w:color="auto" w:fill="FFFFCC"/>
            <w:vAlign w:val="bottom"/>
            <w:hideMark/>
          </w:tcPr>
          <w:p w14:paraId="40C8F649" w14:textId="5849A698" w:rsidR="007E68B0" w:rsidRPr="007B48E9" w:rsidRDefault="007E68B0" w:rsidP="007E68B0">
            <w:pPr>
              <w:jc w:val="right"/>
              <w:rPr>
                <w:color w:val="0070C0"/>
                <w:sz w:val="18"/>
                <w:szCs w:val="18"/>
              </w:rPr>
            </w:pPr>
            <w:r>
              <w:rPr>
                <w:color w:val="000000"/>
                <w:sz w:val="18"/>
                <w:szCs w:val="18"/>
              </w:rPr>
              <w:t>0,9</w:t>
            </w:r>
          </w:p>
        </w:tc>
        <w:tc>
          <w:tcPr>
            <w:tcW w:w="900" w:type="dxa"/>
            <w:tcBorders>
              <w:top w:val="nil"/>
              <w:left w:val="nil"/>
              <w:right w:val="double" w:sz="6" w:space="0" w:color="800000"/>
            </w:tcBorders>
            <w:shd w:val="clear" w:color="auto" w:fill="FFFFCC"/>
            <w:noWrap/>
            <w:vAlign w:val="bottom"/>
            <w:hideMark/>
          </w:tcPr>
          <w:p w14:paraId="789D23EF" w14:textId="4C53639A" w:rsidR="007E68B0" w:rsidRPr="007B48E9" w:rsidRDefault="007E68B0" w:rsidP="007E68B0">
            <w:pPr>
              <w:jc w:val="right"/>
              <w:rPr>
                <w:color w:val="0070C0"/>
                <w:sz w:val="18"/>
                <w:szCs w:val="18"/>
              </w:rPr>
            </w:pPr>
            <w:r>
              <w:rPr>
                <w:color w:val="000000"/>
                <w:sz w:val="18"/>
                <w:szCs w:val="18"/>
              </w:rPr>
              <w:t>23,7</w:t>
            </w:r>
          </w:p>
        </w:tc>
      </w:tr>
      <w:tr w:rsidR="007E68B0" w:rsidRPr="007B48E9" w14:paraId="4C8F8F02" w14:textId="77777777" w:rsidTr="003B085A">
        <w:trPr>
          <w:trHeight w:val="223"/>
        </w:trPr>
        <w:tc>
          <w:tcPr>
            <w:tcW w:w="3047" w:type="dxa"/>
            <w:tcBorders>
              <w:top w:val="nil"/>
              <w:left w:val="double" w:sz="6" w:space="0" w:color="800000"/>
              <w:bottom w:val="double" w:sz="6" w:space="0" w:color="800000"/>
              <w:right w:val="single" w:sz="4" w:space="0" w:color="800000"/>
            </w:tcBorders>
            <w:shd w:val="clear" w:color="auto" w:fill="FFFFCC"/>
            <w:noWrap/>
            <w:vAlign w:val="bottom"/>
          </w:tcPr>
          <w:p w14:paraId="0E6EC1A3" w14:textId="77777777" w:rsidR="007E68B0" w:rsidRPr="004A00B4" w:rsidRDefault="007E68B0" w:rsidP="007E68B0">
            <w:pPr>
              <w:rPr>
                <w:sz w:val="18"/>
                <w:szCs w:val="18"/>
              </w:rPr>
            </w:pPr>
            <w:r w:rsidRPr="004A00B4">
              <w:rPr>
                <w:sz w:val="18"/>
                <w:szCs w:val="18"/>
              </w:rPr>
              <w:t xml:space="preserve">    Пред. тек. и кап. тр/ри за чужбина</w:t>
            </w:r>
          </w:p>
        </w:tc>
        <w:tc>
          <w:tcPr>
            <w:tcW w:w="851" w:type="dxa"/>
            <w:tcBorders>
              <w:top w:val="nil"/>
              <w:left w:val="nil"/>
              <w:bottom w:val="double" w:sz="6" w:space="0" w:color="800000"/>
              <w:right w:val="single" w:sz="4" w:space="0" w:color="800000"/>
            </w:tcBorders>
            <w:shd w:val="clear" w:color="auto" w:fill="FFFFCC"/>
            <w:noWrap/>
            <w:vAlign w:val="bottom"/>
          </w:tcPr>
          <w:p w14:paraId="4A07494E" w14:textId="2A2BDFB5" w:rsidR="007E68B0" w:rsidRPr="007B48E9" w:rsidRDefault="007E68B0" w:rsidP="007E68B0">
            <w:pPr>
              <w:jc w:val="right"/>
              <w:rPr>
                <w:color w:val="0070C0"/>
                <w:sz w:val="18"/>
                <w:szCs w:val="18"/>
                <w:lang w:val="en-US"/>
              </w:rPr>
            </w:pPr>
            <w:r>
              <w:rPr>
                <w:color w:val="000000"/>
                <w:sz w:val="18"/>
                <w:szCs w:val="18"/>
              </w:rPr>
              <w:t>0,2</w:t>
            </w:r>
          </w:p>
        </w:tc>
        <w:tc>
          <w:tcPr>
            <w:tcW w:w="708" w:type="dxa"/>
            <w:tcBorders>
              <w:top w:val="nil"/>
              <w:left w:val="nil"/>
              <w:bottom w:val="double" w:sz="6" w:space="0" w:color="800000"/>
              <w:right w:val="single" w:sz="4" w:space="0" w:color="800000"/>
            </w:tcBorders>
            <w:shd w:val="clear" w:color="auto" w:fill="FFFFCC"/>
            <w:noWrap/>
            <w:vAlign w:val="bottom"/>
          </w:tcPr>
          <w:p w14:paraId="14940CEE" w14:textId="447B5584" w:rsidR="007E68B0" w:rsidRPr="007B48E9" w:rsidRDefault="007E68B0" w:rsidP="007E68B0">
            <w:pPr>
              <w:jc w:val="right"/>
              <w:rPr>
                <w:color w:val="0070C0"/>
                <w:sz w:val="18"/>
                <w:szCs w:val="18"/>
              </w:rPr>
            </w:pPr>
            <w:r>
              <w:rPr>
                <w:color w:val="000000"/>
                <w:sz w:val="18"/>
                <w:szCs w:val="18"/>
              </w:rPr>
              <w:t> </w:t>
            </w:r>
          </w:p>
        </w:tc>
        <w:tc>
          <w:tcPr>
            <w:tcW w:w="1134" w:type="dxa"/>
            <w:tcBorders>
              <w:top w:val="nil"/>
              <w:left w:val="nil"/>
              <w:bottom w:val="double" w:sz="6" w:space="0" w:color="800000"/>
              <w:right w:val="single" w:sz="4" w:space="0" w:color="800000"/>
            </w:tcBorders>
            <w:shd w:val="clear" w:color="auto" w:fill="FFFFCC"/>
            <w:noWrap/>
            <w:vAlign w:val="bottom"/>
          </w:tcPr>
          <w:p w14:paraId="0EC0C6E7" w14:textId="0DB5DE13"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single" w:sz="4" w:space="0" w:color="800000"/>
              <w:bottom w:val="double" w:sz="6" w:space="0" w:color="800000"/>
              <w:right w:val="single" w:sz="4" w:space="0" w:color="800000"/>
            </w:tcBorders>
            <w:shd w:val="clear" w:color="auto" w:fill="FFFFCC"/>
            <w:noWrap/>
            <w:vAlign w:val="bottom"/>
          </w:tcPr>
          <w:p w14:paraId="149B477D" w14:textId="68D8C94E" w:rsidR="007E68B0" w:rsidRPr="007B48E9" w:rsidRDefault="007E68B0" w:rsidP="007E68B0">
            <w:pPr>
              <w:jc w:val="right"/>
              <w:rPr>
                <w:color w:val="0070C0"/>
                <w:sz w:val="18"/>
                <w:szCs w:val="18"/>
              </w:rPr>
            </w:pPr>
            <w:r>
              <w:rPr>
                <w:color w:val="000000"/>
                <w:sz w:val="18"/>
                <w:szCs w:val="18"/>
              </w:rPr>
              <w:t> </w:t>
            </w:r>
          </w:p>
        </w:tc>
        <w:tc>
          <w:tcPr>
            <w:tcW w:w="851" w:type="dxa"/>
            <w:tcBorders>
              <w:top w:val="nil"/>
              <w:left w:val="single" w:sz="4" w:space="0" w:color="800000"/>
              <w:bottom w:val="double" w:sz="6" w:space="0" w:color="800000"/>
              <w:right w:val="single" w:sz="4" w:space="0" w:color="800000"/>
            </w:tcBorders>
            <w:shd w:val="clear" w:color="auto" w:fill="FFFFCC"/>
            <w:noWrap/>
            <w:vAlign w:val="bottom"/>
          </w:tcPr>
          <w:p w14:paraId="24124966" w14:textId="70C35899" w:rsidR="007E68B0" w:rsidRPr="007B48E9" w:rsidRDefault="007E68B0" w:rsidP="007E68B0">
            <w:pPr>
              <w:jc w:val="right"/>
              <w:rPr>
                <w:color w:val="0070C0"/>
                <w:sz w:val="18"/>
                <w:szCs w:val="18"/>
              </w:rPr>
            </w:pPr>
            <w:r>
              <w:rPr>
                <w:color w:val="000000"/>
                <w:sz w:val="18"/>
                <w:szCs w:val="18"/>
              </w:rPr>
              <w:t> </w:t>
            </w:r>
          </w:p>
        </w:tc>
        <w:tc>
          <w:tcPr>
            <w:tcW w:w="567" w:type="dxa"/>
            <w:tcBorders>
              <w:top w:val="nil"/>
              <w:left w:val="nil"/>
              <w:bottom w:val="double" w:sz="6" w:space="0" w:color="800000"/>
              <w:right w:val="single" w:sz="4" w:space="0" w:color="800000"/>
            </w:tcBorders>
            <w:shd w:val="clear" w:color="auto" w:fill="FFFFCC"/>
            <w:vAlign w:val="bottom"/>
          </w:tcPr>
          <w:p w14:paraId="6C96905D" w14:textId="3453F210" w:rsidR="007E68B0" w:rsidRPr="007B48E9" w:rsidRDefault="007E68B0" w:rsidP="007E68B0">
            <w:pPr>
              <w:jc w:val="right"/>
              <w:rPr>
                <w:color w:val="0070C0"/>
                <w:sz w:val="18"/>
                <w:szCs w:val="18"/>
              </w:rPr>
            </w:pPr>
            <w:r>
              <w:rPr>
                <w:color w:val="000000"/>
                <w:sz w:val="18"/>
                <w:szCs w:val="18"/>
              </w:rPr>
              <w:t> </w:t>
            </w:r>
          </w:p>
        </w:tc>
        <w:tc>
          <w:tcPr>
            <w:tcW w:w="900" w:type="dxa"/>
            <w:tcBorders>
              <w:top w:val="nil"/>
              <w:left w:val="nil"/>
              <w:bottom w:val="double" w:sz="6" w:space="0" w:color="800000"/>
              <w:right w:val="double" w:sz="6" w:space="0" w:color="800000"/>
            </w:tcBorders>
            <w:shd w:val="clear" w:color="auto" w:fill="FFFFCC"/>
            <w:noWrap/>
            <w:vAlign w:val="bottom"/>
          </w:tcPr>
          <w:p w14:paraId="672D3678" w14:textId="4EEAB0DE" w:rsidR="007E68B0" w:rsidRPr="007B48E9" w:rsidRDefault="007E68B0" w:rsidP="007E68B0">
            <w:pPr>
              <w:jc w:val="right"/>
              <w:rPr>
                <w:color w:val="0070C0"/>
                <w:sz w:val="18"/>
                <w:szCs w:val="18"/>
              </w:rPr>
            </w:pPr>
            <w:r>
              <w:rPr>
                <w:color w:val="000000"/>
                <w:sz w:val="18"/>
                <w:szCs w:val="18"/>
              </w:rPr>
              <w:t>0,2</w:t>
            </w:r>
          </w:p>
        </w:tc>
      </w:tr>
    </w:tbl>
    <w:p w14:paraId="3A6E0B68" w14:textId="77777777" w:rsidR="00CC09AC" w:rsidRPr="007B48E9" w:rsidRDefault="00CC09AC" w:rsidP="00CC09AC">
      <w:pPr>
        <w:rPr>
          <w:color w:val="0070C0"/>
          <w:sz w:val="12"/>
          <w:szCs w:val="12"/>
        </w:rPr>
      </w:pPr>
    </w:p>
    <w:p w14:paraId="2AB859CB" w14:textId="77777777" w:rsidR="00CC09AC" w:rsidRPr="007B48E9" w:rsidRDefault="00CC09AC" w:rsidP="00CC09AC">
      <w:pPr>
        <w:ind w:firstLine="540"/>
        <w:rPr>
          <w:b/>
          <w:color w:val="0070C0"/>
          <w:sz w:val="8"/>
          <w:szCs w:val="8"/>
        </w:rPr>
      </w:pPr>
    </w:p>
    <w:p w14:paraId="7D597F62" w14:textId="77777777" w:rsidR="00CC09AC" w:rsidRPr="00B455F7" w:rsidRDefault="00CC09AC" w:rsidP="00CC09AC">
      <w:pPr>
        <w:ind w:firstLine="709"/>
        <w:rPr>
          <w:b/>
          <w:i/>
        </w:rPr>
      </w:pPr>
      <w:r w:rsidRPr="00B455F7">
        <w:rPr>
          <w:b/>
        </w:rPr>
        <w:t xml:space="preserve">Група А: </w:t>
      </w:r>
      <w:r w:rsidRPr="00B455F7">
        <w:rPr>
          <w:b/>
          <w:i/>
        </w:rPr>
        <w:t>„Пенсии”</w:t>
      </w:r>
    </w:p>
    <w:p w14:paraId="6D78CD1B" w14:textId="77777777" w:rsidR="00CC09AC" w:rsidRPr="007B48E9" w:rsidRDefault="00CC09AC" w:rsidP="00CC09AC">
      <w:pPr>
        <w:ind w:firstLine="709"/>
        <w:rPr>
          <w:b/>
          <w:color w:val="0070C0"/>
          <w:sz w:val="12"/>
          <w:szCs w:val="12"/>
        </w:rPr>
      </w:pPr>
    </w:p>
    <w:p w14:paraId="4E618469" w14:textId="77777777" w:rsidR="00CC09AC" w:rsidRPr="00B455F7" w:rsidRDefault="00CC09AC" w:rsidP="00CC09AC">
      <w:pPr>
        <w:ind w:firstLine="709"/>
        <w:jc w:val="both"/>
      </w:pPr>
      <w:r w:rsidRPr="00B455F7">
        <w:t xml:space="preserve">В тази група се включват пенсиите, изплащани от бюджета на ДОО и пенсиите, изплащани от УПФ. Изпълнението на разходите в групата спрямо годишните разчети е </w:t>
      </w:r>
      <w:r w:rsidRPr="00B455F7">
        <w:rPr>
          <w:lang w:val="ru-RU"/>
        </w:rPr>
        <w:t>100</w:t>
      </w:r>
      <w:r w:rsidRPr="00B455F7">
        <w:t>,</w:t>
      </w:r>
      <w:r w:rsidRPr="00B455F7">
        <w:rPr>
          <w:lang w:val="ru-RU"/>
        </w:rPr>
        <w:t>1</w:t>
      </w:r>
      <w:r w:rsidRPr="00B455F7">
        <w:t xml:space="preserve"> %.</w:t>
      </w:r>
    </w:p>
    <w:p w14:paraId="0E2196E0" w14:textId="77777777" w:rsidR="00CC09AC" w:rsidRPr="007B48E9" w:rsidRDefault="00CC09AC" w:rsidP="00CC09AC">
      <w:pPr>
        <w:ind w:firstLine="540"/>
        <w:jc w:val="both"/>
        <w:rPr>
          <w:color w:val="0070C0"/>
          <w:sz w:val="8"/>
          <w:szCs w:val="8"/>
        </w:rPr>
      </w:pPr>
    </w:p>
    <w:p w14:paraId="39A5C3FA" w14:textId="77777777" w:rsidR="00CC09AC" w:rsidRPr="005D7041" w:rsidRDefault="00CC09AC" w:rsidP="005A6BC1">
      <w:pPr>
        <w:numPr>
          <w:ilvl w:val="0"/>
          <w:numId w:val="19"/>
        </w:numPr>
        <w:tabs>
          <w:tab w:val="clear" w:pos="720"/>
          <w:tab w:val="num" w:pos="360"/>
          <w:tab w:val="left" w:pos="1134"/>
          <w:tab w:val="num" w:pos="1276"/>
        </w:tabs>
        <w:ind w:left="540" w:firstLine="207"/>
        <w:rPr>
          <w:b/>
          <w:i/>
        </w:rPr>
      </w:pPr>
      <w:r w:rsidRPr="005D7041">
        <w:rPr>
          <w:b/>
          <w:i/>
        </w:rPr>
        <w:t>Пенсии по бюджета на държавното обществено осигуряване</w:t>
      </w:r>
    </w:p>
    <w:p w14:paraId="275C14EE" w14:textId="77777777" w:rsidR="00CC09AC" w:rsidRPr="00B7168F" w:rsidRDefault="00CC09AC" w:rsidP="005A6BC1">
      <w:pPr>
        <w:tabs>
          <w:tab w:val="left" w:pos="1276"/>
        </w:tabs>
        <w:ind w:firstLine="709"/>
        <w:jc w:val="both"/>
        <w:rPr>
          <w:iCs/>
        </w:rPr>
      </w:pPr>
      <w:r w:rsidRPr="00B7168F">
        <w:rPr>
          <w:iCs/>
        </w:rPr>
        <w:t xml:space="preserve">За изплащане на пенсиите по бюджета на ДОО през 2022 г. са разходвани 15 634,7 млн. лв., което е с 1 385,6 млн. лв. повече от предходната година. Увеличението на разходите се дължи на това, че през втората половина на годината беше извършено увеличение на всички пенсии от 1 юли 2022 г. с 10 %, вместо първоначално предвиденото с 6,1 %, като към размера на пенсиите беше добавена и изплащаната добавка в размер на 60 лева. Допълнително от 1 октомври 2022 г. беше направено ново преизчисляване на пенсиите в зависимост от годината на отпускането им. Тези две увеличения, заедно с увеличението от 25.12.2021 г., доведоха до значително нарастване на общия размер на разходите за пенсии. </w:t>
      </w:r>
    </w:p>
    <w:p w14:paraId="129BB067" w14:textId="77777777" w:rsidR="00CC09AC" w:rsidRPr="00B7168F" w:rsidRDefault="00CC09AC" w:rsidP="00CC09AC">
      <w:pPr>
        <w:ind w:firstLine="709"/>
        <w:jc w:val="both"/>
        <w:rPr>
          <w:iCs/>
        </w:rPr>
      </w:pPr>
      <w:r w:rsidRPr="00B7168F">
        <w:rPr>
          <w:iCs/>
        </w:rPr>
        <w:t xml:space="preserve">Освен горните промени, максималният размер на получаваните една или повече пенсии, без добавките към тях, се увеличи от 1 500,00 лв. на 2 000,00 лв. (с 33,0 на сто) от 01.07.2022 г., а от 1 октомври на 3 400,00 лв. (със 70,0 на сто).  </w:t>
      </w:r>
    </w:p>
    <w:p w14:paraId="79CB0CE5" w14:textId="77777777" w:rsidR="00CC09AC" w:rsidRPr="00B7168F" w:rsidRDefault="00CC09AC" w:rsidP="00CC09AC">
      <w:pPr>
        <w:ind w:firstLine="709"/>
        <w:jc w:val="both"/>
        <w:rPr>
          <w:iCs/>
        </w:rPr>
      </w:pPr>
      <w:r w:rsidRPr="00B7168F">
        <w:rPr>
          <w:iCs/>
        </w:rPr>
        <w:t xml:space="preserve">С ПМС № 43 от 1 април 2022 г. е одобрен допълнителен трансфер в размер на 142,9 млн. лв. по бюджета на държавното обществено осигуряване за 2022 г. за еднократно изплащане на допълнителна сума в размер на 70 лв. на всеки пенсионер през м. април 2022 г. Изразходваните средства за великденски добавки на пенсионерите са в размер на 143,5 млн. лв. </w:t>
      </w:r>
    </w:p>
    <w:p w14:paraId="7DBAB735" w14:textId="77777777" w:rsidR="00CC09AC" w:rsidRPr="00B7168F" w:rsidRDefault="00CC09AC" w:rsidP="00CC09AC">
      <w:pPr>
        <w:ind w:firstLine="709"/>
        <w:jc w:val="both"/>
        <w:rPr>
          <w:iCs/>
        </w:rPr>
      </w:pPr>
      <w:r w:rsidRPr="00B7168F">
        <w:rPr>
          <w:iCs/>
        </w:rPr>
        <w:t>С ПМС № 367 от 16 ноември 2022 г. е одобрен допълнителен трансфер в размер на 142,4 млн. лв. по бюджета на държавното обществено осигуряване за 2022 г. за еднократно изплащане на допълнителна сума в размер на 70 лв. на всеки пенсионер през м. декември 2022 г. Изразходваните средства за коледни добавки на пенсионерите са в размер на 140,3 млн. лв.</w:t>
      </w:r>
    </w:p>
    <w:p w14:paraId="7F135C91" w14:textId="77777777" w:rsidR="00CC09AC" w:rsidRPr="007B48E9" w:rsidRDefault="00CC09AC" w:rsidP="00CC09AC">
      <w:pPr>
        <w:ind w:firstLine="539"/>
        <w:jc w:val="both"/>
        <w:rPr>
          <w:iCs/>
          <w:color w:val="0070C0"/>
          <w:sz w:val="8"/>
          <w:szCs w:val="8"/>
        </w:rPr>
      </w:pPr>
    </w:p>
    <w:p w14:paraId="24D331AB" w14:textId="77777777" w:rsidR="00CC09AC" w:rsidRPr="005A6BC1" w:rsidRDefault="00CC09AC" w:rsidP="005A6BC1">
      <w:pPr>
        <w:numPr>
          <w:ilvl w:val="0"/>
          <w:numId w:val="19"/>
        </w:numPr>
        <w:tabs>
          <w:tab w:val="clear" w:pos="720"/>
          <w:tab w:val="num" w:pos="360"/>
          <w:tab w:val="left" w:pos="1134"/>
          <w:tab w:val="num" w:pos="1276"/>
        </w:tabs>
        <w:spacing w:before="120"/>
        <w:ind w:left="539" w:firstLine="210"/>
        <w:rPr>
          <w:b/>
          <w:i/>
        </w:rPr>
      </w:pPr>
      <w:r w:rsidRPr="005A6BC1">
        <w:rPr>
          <w:b/>
          <w:i/>
        </w:rPr>
        <w:t>Пенсии по бюджета на Учителския пенсионен фонд</w:t>
      </w:r>
    </w:p>
    <w:p w14:paraId="552544DC" w14:textId="77777777" w:rsidR="00CC09AC" w:rsidRPr="00E67B91" w:rsidRDefault="00CC09AC" w:rsidP="005A6BC1">
      <w:pPr>
        <w:ind w:firstLine="709"/>
        <w:jc w:val="both"/>
      </w:pPr>
      <w:r w:rsidRPr="00E67B91">
        <w:t>Разходите за изплатени пенсии през 202</w:t>
      </w:r>
      <w:r w:rsidRPr="004D5FFC">
        <w:rPr>
          <w:lang w:val="ru-RU"/>
        </w:rPr>
        <w:t>2</w:t>
      </w:r>
      <w:r w:rsidRPr="00E67B91">
        <w:t xml:space="preserve"> г. от УПФ са в размер на </w:t>
      </w:r>
      <w:r w:rsidRPr="004D5FFC">
        <w:rPr>
          <w:lang w:val="ru-RU"/>
        </w:rPr>
        <w:t>69</w:t>
      </w:r>
      <w:r w:rsidRPr="00E67B91">
        <w:t>,</w:t>
      </w:r>
      <w:r w:rsidRPr="004D5FFC">
        <w:rPr>
          <w:lang w:val="ru-RU"/>
        </w:rPr>
        <w:t>7</w:t>
      </w:r>
      <w:r w:rsidRPr="00E67B91">
        <w:t xml:space="preserve"> млн. лв.</w:t>
      </w:r>
    </w:p>
    <w:p w14:paraId="11CFA0AA" w14:textId="77777777" w:rsidR="00CC09AC" w:rsidRPr="00554466" w:rsidRDefault="00CC09AC" w:rsidP="00CC09AC">
      <w:pPr>
        <w:pStyle w:val="ListParagraph"/>
        <w:numPr>
          <w:ilvl w:val="0"/>
          <w:numId w:val="29"/>
        </w:numPr>
        <w:ind w:left="0" w:firstLine="567"/>
        <w:jc w:val="both"/>
      </w:pPr>
      <w:r w:rsidRPr="00554466">
        <w:t>Броят на лицата, получаващи срочна пенсия в намален размер от УПФ за м. декември е 1 554, със 78 пенсионери по-малко в сравнение със същия период на 2021 г. (4,8</w:t>
      </w:r>
      <w:r>
        <w:t xml:space="preserve"> </w:t>
      </w:r>
      <w:r w:rsidRPr="00554466">
        <w:t>% намаление);</w:t>
      </w:r>
    </w:p>
    <w:p w14:paraId="65534D15" w14:textId="4BA11FBF" w:rsidR="00CC09AC" w:rsidRPr="00554466" w:rsidRDefault="00CC09AC" w:rsidP="00CC09AC">
      <w:pPr>
        <w:pStyle w:val="ListParagraph"/>
        <w:numPr>
          <w:ilvl w:val="0"/>
          <w:numId w:val="29"/>
        </w:numPr>
        <w:ind w:left="0" w:firstLine="567"/>
        <w:jc w:val="both"/>
      </w:pPr>
      <w:r w:rsidRPr="00554466">
        <w:t>Средният размер на срочната пенсията за осигурителен стаж и възраст в намален размер, получавана от УПФ за 2022</w:t>
      </w:r>
      <w:r w:rsidR="0053230A" w:rsidRPr="00070E86">
        <w:rPr>
          <w:lang w:val="ru-RU"/>
        </w:rPr>
        <w:t xml:space="preserve"> г.,</w:t>
      </w:r>
      <w:r w:rsidRPr="00554466">
        <w:t xml:space="preserve"> е </w:t>
      </w:r>
      <w:r>
        <w:t>766,13</w:t>
      </w:r>
      <w:r w:rsidRPr="00554466">
        <w:t xml:space="preserve"> лв., който е с </w:t>
      </w:r>
      <w:r>
        <w:t>38</w:t>
      </w:r>
      <w:r w:rsidRPr="00554466">
        <w:t>,</w:t>
      </w:r>
      <w:r>
        <w:t>8</w:t>
      </w:r>
      <w:r w:rsidRPr="00554466">
        <w:t xml:space="preserve"> на сто по-висок от средния размер на срочната пенсия за 2021 г.;</w:t>
      </w:r>
    </w:p>
    <w:p w14:paraId="47C108BA" w14:textId="2A22BFF8" w:rsidR="00CC09AC" w:rsidRPr="00554466" w:rsidRDefault="00CC09AC" w:rsidP="00CC09AC">
      <w:pPr>
        <w:pStyle w:val="ListParagraph"/>
        <w:numPr>
          <w:ilvl w:val="0"/>
          <w:numId w:val="29"/>
        </w:numPr>
        <w:ind w:left="0" w:firstLine="567"/>
        <w:jc w:val="both"/>
      </w:pPr>
      <w:r w:rsidRPr="00554466">
        <w:t>Броят на лицата, получаващи добавка от УПФ за м. декември</w:t>
      </w:r>
      <w:r w:rsidR="0053230A">
        <w:t>,</w:t>
      </w:r>
      <w:r w:rsidRPr="00554466">
        <w:t xml:space="preserve"> е 33 194, като има увеличение от 1 525 добавки (4,8</w:t>
      </w:r>
      <w:r>
        <w:t xml:space="preserve"> </w:t>
      </w:r>
      <w:r w:rsidRPr="00554466">
        <w:t>% ръст) спрямо предходната година;</w:t>
      </w:r>
    </w:p>
    <w:p w14:paraId="5378A933" w14:textId="77777777" w:rsidR="00CC09AC" w:rsidRPr="00554466" w:rsidRDefault="00CC09AC" w:rsidP="00CC09AC">
      <w:pPr>
        <w:pStyle w:val="ListParagraph"/>
        <w:numPr>
          <w:ilvl w:val="0"/>
          <w:numId w:val="29"/>
        </w:numPr>
        <w:ind w:left="0" w:firstLine="567"/>
        <w:jc w:val="both"/>
      </w:pPr>
      <w:r w:rsidRPr="00554466">
        <w:t>Средният размер на добавките от УПФ за 2022 е 1</w:t>
      </w:r>
      <w:r>
        <w:t>28</w:t>
      </w:r>
      <w:r w:rsidRPr="00554466">
        <w:t>,</w:t>
      </w:r>
      <w:r>
        <w:t>21</w:t>
      </w:r>
      <w:r w:rsidRPr="00554466">
        <w:t xml:space="preserve"> лв., който е с </w:t>
      </w:r>
      <w:r>
        <w:t>27</w:t>
      </w:r>
      <w:r w:rsidRPr="00554466">
        <w:t>,</w:t>
      </w:r>
      <w:r>
        <w:t>4</w:t>
      </w:r>
      <w:r w:rsidRPr="00554466">
        <w:t xml:space="preserve"> на сто по-висок от средния размер на добавките за 2021 г.;</w:t>
      </w:r>
    </w:p>
    <w:p w14:paraId="56FFFD5E" w14:textId="45799307" w:rsidR="00CC09AC" w:rsidRPr="00867E44" w:rsidRDefault="00CC09AC" w:rsidP="00CC09AC">
      <w:pPr>
        <w:pStyle w:val="ListParagraph"/>
        <w:numPr>
          <w:ilvl w:val="0"/>
          <w:numId w:val="29"/>
        </w:numPr>
        <w:ind w:left="0" w:firstLine="567"/>
        <w:jc w:val="both"/>
      </w:pPr>
      <w:r w:rsidRPr="00867E44">
        <w:t>Броят на лицата, получаващи срочна пенсия в пълен размер от УПФ за м. декември</w:t>
      </w:r>
      <w:r w:rsidR="0053230A">
        <w:t>,</w:t>
      </w:r>
      <w:r w:rsidRPr="00867E44">
        <w:t xml:space="preserve"> е 163 за 2022, което е с 14 по-малко в сравнение с 2021 г. (7,9 % намаление);</w:t>
      </w:r>
    </w:p>
    <w:p w14:paraId="35A7D1F2" w14:textId="77777777" w:rsidR="00CC09AC" w:rsidRPr="00867E44" w:rsidRDefault="00CC09AC" w:rsidP="00CC09AC">
      <w:pPr>
        <w:pStyle w:val="ListParagraph"/>
        <w:numPr>
          <w:ilvl w:val="0"/>
          <w:numId w:val="29"/>
        </w:numPr>
        <w:tabs>
          <w:tab w:val="left" w:pos="709"/>
        </w:tabs>
        <w:ind w:left="0" w:firstLine="567"/>
        <w:jc w:val="both"/>
      </w:pPr>
      <w:r w:rsidRPr="00867E44">
        <w:t xml:space="preserve">Средният размер на срочната пенсия за осигурителен стаж и възраст в пълен размер от УПФ за 2022 г. е 634,78 лв., който е с 36,1 на сто по-висок от средния размер на пенсията през 2021  г. </w:t>
      </w:r>
    </w:p>
    <w:p w14:paraId="022DFFBE" w14:textId="77777777" w:rsidR="00CC09AC" w:rsidRPr="00515DE7" w:rsidRDefault="00CC09AC" w:rsidP="005A6BC1">
      <w:pPr>
        <w:spacing w:before="240"/>
        <w:ind w:firstLine="709"/>
        <w:rPr>
          <w:b/>
          <w:sz w:val="12"/>
          <w:szCs w:val="12"/>
        </w:rPr>
      </w:pPr>
      <w:r w:rsidRPr="00515DE7">
        <w:rPr>
          <w:b/>
        </w:rPr>
        <w:t xml:space="preserve">Група Б: </w:t>
      </w:r>
      <w:r w:rsidRPr="00515DE7">
        <w:rPr>
          <w:b/>
          <w:i/>
        </w:rPr>
        <w:t>„Социални помощи и обезщетения”</w:t>
      </w:r>
    </w:p>
    <w:p w14:paraId="39B8D2CC" w14:textId="77777777" w:rsidR="00CC09AC" w:rsidRPr="007B48E9" w:rsidRDefault="00CC09AC" w:rsidP="005A6BC1">
      <w:pPr>
        <w:ind w:firstLine="709"/>
        <w:jc w:val="both"/>
        <w:rPr>
          <w:iCs/>
          <w:color w:val="0070C0"/>
        </w:rPr>
      </w:pPr>
      <w:r w:rsidRPr="00515DE7">
        <w:rPr>
          <w:iCs/>
        </w:rPr>
        <w:t xml:space="preserve">Разходите в тази група включват помощите и плащанията към гражданите на основание Закона за социално подпомагане, Закона за хората с увреждания, Закона за личната помощ, Закона за семейни помощи за деца, Закона за закрила на детето, Закона за военноинвалидите и военнопострадалите, Закона за ветераните от войните, </w:t>
      </w:r>
      <w:r w:rsidRPr="00515DE7">
        <w:t>Закона за Министерството на вътрешните работи и Закона за отбраната и въоръжените сили на Република България</w:t>
      </w:r>
      <w:r w:rsidRPr="00515DE7">
        <w:rPr>
          <w:iCs/>
        </w:rPr>
        <w:t>. Общата сума на отчетените разходите по тази група на консолидирано ниво възлиза на 4 001,1 млн. лв., което представлява изпълнение 92,3 % от годишните разчети.</w:t>
      </w:r>
    </w:p>
    <w:p w14:paraId="027BAD7D" w14:textId="77777777" w:rsidR="00CC09AC" w:rsidRPr="00515DE7" w:rsidRDefault="00CC09AC" w:rsidP="00CC09AC">
      <w:pPr>
        <w:spacing w:before="120"/>
        <w:ind w:firstLine="709"/>
        <w:jc w:val="both"/>
        <w:rPr>
          <w:iCs/>
        </w:rPr>
      </w:pPr>
      <w:r w:rsidRPr="00515DE7">
        <w:rPr>
          <w:iCs/>
        </w:rPr>
        <w:t xml:space="preserve">Разходите по </w:t>
      </w:r>
      <w:r w:rsidRPr="00515DE7">
        <w:rPr>
          <w:b/>
          <w:iCs/>
        </w:rPr>
        <w:t>държавния бюджет</w:t>
      </w:r>
      <w:r w:rsidRPr="00515DE7">
        <w:rPr>
          <w:iCs/>
        </w:rPr>
        <w:t xml:space="preserve"> са в размер на 1 699,0 млн. лв., отчетени както следва:</w:t>
      </w:r>
    </w:p>
    <w:p w14:paraId="5DBB4291" w14:textId="77777777" w:rsidR="00CC09AC" w:rsidRPr="00D24D54" w:rsidRDefault="00CC09AC" w:rsidP="00CC09AC">
      <w:pPr>
        <w:numPr>
          <w:ilvl w:val="1"/>
          <w:numId w:val="20"/>
        </w:numPr>
        <w:tabs>
          <w:tab w:val="num" w:pos="540"/>
        </w:tabs>
        <w:ind w:left="0" w:firstLine="180"/>
        <w:jc w:val="both"/>
        <w:rPr>
          <w:iCs/>
        </w:rPr>
      </w:pPr>
      <w:r w:rsidRPr="00D24D54">
        <w:rPr>
          <w:iCs/>
        </w:rPr>
        <w:t>По бюджета на МТСП за 2022 г. са изразходвани 1 388,0 млн. лв., които представляват:</w:t>
      </w:r>
    </w:p>
    <w:p w14:paraId="73F58A51" w14:textId="77777777" w:rsidR="00CC09AC" w:rsidRPr="00D24D54" w:rsidRDefault="00CC09AC" w:rsidP="00CC09AC">
      <w:pPr>
        <w:numPr>
          <w:ilvl w:val="0"/>
          <w:numId w:val="20"/>
        </w:numPr>
        <w:tabs>
          <w:tab w:val="clear" w:pos="720"/>
          <w:tab w:val="num" w:pos="360"/>
          <w:tab w:val="num" w:pos="540"/>
          <w:tab w:val="left" w:pos="1620"/>
          <w:tab w:val="left" w:pos="1800"/>
          <w:tab w:val="left" w:pos="1980"/>
        </w:tabs>
        <w:ind w:left="540"/>
        <w:jc w:val="both"/>
        <w:rPr>
          <w:iCs/>
        </w:rPr>
      </w:pPr>
      <w:r w:rsidRPr="00D24D54">
        <w:rPr>
          <w:iCs/>
        </w:rPr>
        <w:t xml:space="preserve"> Изплатени помощи по Закона за семейни помощи за деца –  551,0 млн. лв.;</w:t>
      </w:r>
    </w:p>
    <w:p w14:paraId="2DC84DDF" w14:textId="77777777" w:rsidR="00CC09AC" w:rsidRPr="00D24D54" w:rsidRDefault="00CC09AC" w:rsidP="00CC09AC">
      <w:pPr>
        <w:numPr>
          <w:ilvl w:val="0"/>
          <w:numId w:val="20"/>
        </w:numPr>
        <w:tabs>
          <w:tab w:val="clear" w:pos="720"/>
          <w:tab w:val="num" w:pos="360"/>
          <w:tab w:val="left" w:pos="1620"/>
          <w:tab w:val="left" w:pos="1800"/>
          <w:tab w:val="left" w:pos="1980"/>
        </w:tabs>
        <w:ind w:left="567"/>
        <w:jc w:val="both"/>
        <w:rPr>
          <w:iCs/>
        </w:rPr>
      </w:pPr>
      <w:r w:rsidRPr="00D24D54">
        <w:rPr>
          <w:iCs/>
        </w:rPr>
        <w:t xml:space="preserve">Изплатени помощи по Закона за социално подпомагане – 60,9 млн. лв., в т. ч. месечни целеви помощи при обявено извънредно положение или обявена извънредна епидемична обстановка за семейства с деца до 14-годишна възраст – 14,7 млн. лв., както и 16,3 млн. лв. за еднократни помощи </w:t>
      </w:r>
      <w:r w:rsidRPr="00D24D54">
        <w:rPr>
          <w:bCs/>
          <w:iCs/>
        </w:rPr>
        <w:t xml:space="preserve">по реда на чл. 16 от Правилника за прилагане на Закона за социално подпомагане </w:t>
      </w:r>
      <w:r w:rsidRPr="00D24D54">
        <w:rPr>
          <w:iCs/>
        </w:rPr>
        <w:t>на разселени от Украйна лица с предоставена временна закрила, до петкратния размер на гарантирания минимален доход (375 лв.);</w:t>
      </w:r>
    </w:p>
    <w:p w14:paraId="78603502" w14:textId="77777777" w:rsidR="00CC09AC" w:rsidRPr="00D24D54" w:rsidRDefault="00CC09AC" w:rsidP="00CC09AC">
      <w:pPr>
        <w:numPr>
          <w:ilvl w:val="0"/>
          <w:numId w:val="20"/>
        </w:numPr>
        <w:tabs>
          <w:tab w:val="clear" w:pos="720"/>
          <w:tab w:val="num" w:pos="360"/>
          <w:tab w:val="num" w:pos="540"/>
          <w:tab w:val="left" w:pos="1620"/>
          <w:tab w:val="left" w:pos="1800"/>
          <w:tab w:val="left" w:pos="1980"/>
        </w:tabs>
        <w:ind w:left="567"/>
        <w:jc w:val="both"/>
        <w:rPr>
          <w:iCs/>
        </w:rPr>
      </w:pPr>
      <w:r w:rsidRPr="00D24D54">
        <w:rPr>
          <w:iCs/>
        </w:rPr>
        <w:t>Целеви помощи за отопление по Наредба № РД 07-5 от 2008 г. – 187,3 млн. лв.;</w:t>
      </w:r>
    </w:p>
    <w:p w14:paraId="1DDE7521" w14:textId="77777777" w:rsidR="00CC09AC" w:rsidRPr="00D24D54" w:rsidRDefault="00CC09AC" w:rsidP="00CC09AC">
      <w:pPr>
        <w:numPr>
          <w:ilvl w:val="0"/>
          <w:numId w:val="20"/>
        </w:numPr>
        <w:tabs>
          <w:tab w:val="clear" w:pos="720"/>
          <w:tab w:val="num" w:pos="360"/>
          <w:tab w:val="num" w:pos="540"/>
          <w:tab w:val="left" w:pos="1620"/>
          <w:tab w:val="left" w:pos="1800"/>
          <w:tab w:val="left" w:pos="1980"/>
        </w:tabs>
        <w:ind w:left="567"/>
        <w:jc w:val="both"/>
        <w:rPr>
          <w:iCs/>
        </w:rPr>
      </w:pPr>
      <w:r w:rsidRPr="00D24D54">
        <w:rPr>
          <w:iCs/>
        </w:rPr>
        <w:t>С ПМС № 349 от 27.10.2022 г. и с ПМС № 383 от 30.11.2022 г. бяха одобрени допълнителни разходи по бюджета на Министерството на труда и социалната политика за 2022 г. за изплащане на нова еднократна финансова подкрепа за отопление за компенсиране на увеличените цени на енергоизточниците. Предоставената нова еднократна финансова подкрепа за отопление възлиза на 20,6 млн. лв.;</w:t>
      </w:r>
    </w:p>
    <w:p w14:paraId="7A403FF0" w14:textId="3952DCA7" w:rsidR="00CC09AC" w:rsidRPr="00D24D54" w:rsidRDefault="00CC09AC" w:rsidP="00CC09AC">
      <w:pPr>
        <w:numPr>
          <w:ilvl w:val="0"/>
          <w:numId w:val="20"/>
        </w:numPr>
        <w:tabs>
          <w:tab w:val="clear" w:pos="720"/>
          <w:tab w:val="num" w:pos="360"/>
          <w:tab w:val="left" w:pos="1620"/>
          <w:tab w:val="left" w:pos="1800"/>
          <w:tab w:val="left" w:pos="1980"/>
        </w:tabs>
        <w:ind w:left="567"/>
        <w:jc w:val="both"/>
        <w:rPr>
          <w:b/>
          <w:i/>
          <w:iCs/>
        </w:rPr>
      </w:pPr>
      <w:r w:rsidRPr="00D24D54">
        <w:rPr>
          <w:iCs/>
        </w:rPr>
        <w:t>Изплатени помощи по Закона за хората с увреждания</w:t>
      </w:r>
      <w:r w:rsidR="005400C5">
        <w:rPr>
          <w:iCs/>
        </w:rPr>
        <w:t xml:space="preserve"> </w:t>
      </w:r>
      <w:r w:rsidRPr="00D24D54">
        <w:rPr>
          <w:iCs/>
        </w:rPr>
        <w:t>– 498,4 млн. лв., в т.ч.:</w:t>
      </w:r>
    </w:p>
    <w:p w14:paraId="0DE1C8EF" w14:textId="6893F82F" w:rsidR="00CC09AC" w:rsidRPr="00D24D54" w:rsidRDefault="005400C5" w:rsidP="00CC09AC">
      <w:pPr>
        <w:tabs>
          <w:tab w:val="num" w:pos="709"/>
          <w:tab w:val="left" w:pos="1620"/>
          <w:tab w:val="left" w:pos="1800"/>
          <w:tab w:val="left" w:pos="1980"/>
        </w:tabs>
        <w:ind w:left="567"/>
        <w:jc w:val="both"/>
        <w:rPr>
          <w:iCs/>
        </w:rPr>
      </w:pPr>
      <w:r>
        <w:rPr>
          <w:iCs/>
        </w:rPr>
        <w:t>497,7</w:t>
      </w:r>
      <w:r w:rsidR="00CC09AC" w:rsidRPr="00D24D54">
        <w:rPr>
          <w:iCs/>
        </w:rPr>
        <w:t xml:space="preserve"> млн. лв. разходи за месечна финансова подкрепа за хора с трайни увреждания и целеви помощи според вида на увреждането, както и </w:t>
      </w:r>
      <w:r w:rsidR="00D86AF0">
        <w:rPr>
          <w:iCs/>
        </w:rPr>
        <w:t>2,4</w:t>
      </w:r>
      <w:r w:rsidR="00CC09AC" w:rsidRPr="00D24D54">
        <w:rPr>
          <w:iCs/>
        </w:rPr>
        <w:t xml:space="preserve"> млн. лв. по Националната програма за достъпна жилищна среда и лична мобилност;</w:t>
      </w:r>
    </w:p>
    <w:p w14:paraId="29E63E49" w14:textId="77777777" w:rsidR="00CC09AC" w:rsidRPr="00D24D54" w:rsidRDefault="00CC09AC" w:rsidP="00CC09AC">
      <w:pPr>
        <w:numPr>
          <w:ilvl w:val="0"/>
          <w:numId w:val="20"/>
        </w:numPr>
        <w:tabs>
          <w:tab w:val="clear" w:pos="720"/>
          <w:tab w:val="num" w:pos="360"/>
          <w:tab w:val="num" w:pos="540"/>
          <w:tab w:val="left" w:pos="1620"/>
          <w:tab w:val="left" w:pos="1800"/>
          <w:tab w:val="left" w:pos="1980"/>
        </w:tabs>
        <w:ind w:left="567"/>
        <w:jc w:val="both"/>
        <w:rPr>
          <w:iCs/>
        </w:rPr>
      </w:pPr>
      <w:r w:rsidRPr="00D24D54">
        <w:rPr>
          <w:iCs/>
        </w:rPr>
        <w:t>Реализиране на програми и мерки по Закона за закрила на детето в размер на 6,3 млн. лв. за месечни и еднократни помощи;</w:t>
      </w:r>
    </w:p>
    <w:p w14:paraId="00F0389C" w14:textId="77777777" w:rsidR="00CC09AC" w:rsidRPr="00D24D54" w:rsidRDefault="00CC09AC" w:rsidP="00CC09AC">
      <w:pPr>
        <w:numPr>
          <w:ilvl w:val="0"/>
          <w:numId w:val="20"/>
        </w:numPr>
        <w:tabs>
          <w:tab w:val="clear" w:pos="720"/>
          <w:tab w:val="num" w:pos="360"/>
          <w:tab w:val="num" w:pos="540"/>
          <w:tab w:val="left" w:pos="1620"/>
          <w:tab w:val="left" w:pos="1800"/>
          <w:tab w:val="left" w:pos="1980"/>
        </w:tabs>
        <w:ind w:left="567"/>
        <w:jc w:val="both"/>
        <w:rPr>
          <w:iCs/>
        </w:rPr>
      </w:pPr>
      <w:r w:rsidRPr="00D24D54">
        <w:rPr>
          <w:iCs/>
        </w:rPr>
        <w:t>Помощи за диагностика и лечение на социално слаби лица – 4,5 млн. лв.;</w:t>
      </w:r>
    </w:p>
    <w:p w14:paraId="1AB87418" w14:textId="77777777" w:rsidR="00CC09AC" w:rsidRPr="00D24D54" w:rsidRDefault="00CC09AC" w:rsidP="00CC09AC">
      <w:pPr>
        <w:numPr>
          <w:ilvl w:val="0"/>
          <w:numId w:val="20"/>
        </w:numPr>
        <w:tabs>
          <w:tab w:val="clear" w:pos="720"/>
          <w:tab w:val="num" w:pos="360"/>
          <w:tab w:val="num" w:pos="540"/>
          <w:tab w:val="left" w:pos="1620"/>
          <w:tab w:val="left" w:pos="1800"/>
          <w:tab w:val="left" w:pos="1980"/>
        </w:tabs>
        <w:ind w:left="567"/>
        <w:jc w:val="both"/>
        <w:rPr>
          <w:iCs/>
        </w:rPr>
      </w:pPr>
      <w:r w:rsidRPr="00D24D54">
        <w:rPr>
          <w:iCs/>
        </w:rPr>
        <w:t>За лекарства по Закона за ветераните от войните и по Закона за военноинвалидите и военнопострадалите, за дентална помощ по Закона за ветераните от войните, както и за еднократна помощ при смърт на ветеран от войните по Закона за ветераните от войните – 0,8 млн. лв.;</w:t>
      </w:r>
    </w:p>
    <w:p w14:paraId="314A71C5" w14:textId="685E51A7" w:rsidR="00CC09AC" w:rsidRPr="00D24D54" w:rsidRDefault="001811C4" w:rsidP="007F720D">
      <w:pPr>
        <w:numPr>
          <w:ilvl w:val="0"/>
          <w:numId w:val="20"/>
        </w:numPr>
        <w:tabs>
          <w:tab w:val="clear" w:pos="720"/>
          <w:tab w:val="num" w:pos="360"/>
          <w:tab w:val="num" w:pos="540"/>
          <w:tab w:val="left" w:pos="1620"/>
          <w:tab w:val="left" w:pos="1800"/>
          <w:tab w:val="left" w:pos="1980"/>
        </w:tabs>
        <w:ind w:left="567"/>
        <w:jc w:val="both"/>
        <w:rPr>
          <w:iCs/>
        </w:rPr>
      </w:pPr>
      <w:r w:rsidRPr="001811C4">
        <w:rPr>
          <w:iCs/>
        </w:rPr>
        <w:t>Извън отчетените в тази група разходи са предоставени трансфери в размер на 439,4</w:t>
      </w:r>
      <w:r>
        <w:rPr>
          <w:iCs/>
        </w:rPr>
        <w:t> </w:t>
      </w:r>
      <w:r w:rsidRPr="001811C4">
        <w:rPr>
          <w:iCs/>
        </w:rPr>
        <w:t>млн. лв. от Агенцията за социално подпомагане на общините за предоставяне на механизма лична помощ.</w:t>
      </w:r>
      <w:r w:rsidR="00CC09AC" w:rsidRPr="00D24D54">
        <w:rPr>
          <w:iCs/>
        </w:rPr>
        <w:t xml:space="preserve"> </w:t>
      </w:r>
    </w:p>
    <w:p w14:paraId="0FFB68A0" w14:textId="77777777" w:rsidR="00CC09AC" w:rsidRPr="00D24D54" w:rsidRDefault="00CC09AC" w:rsidP="00CC09AC">
      <w:pPr>
        <w:tabs>
          <w:tab w:val="num" w:pos="540"/>
          <w:tab w:val="left" w:pos="1620"/>
          <w:tab w:val="left" w:pos="1800"/>
          <w:tab w:val="left" w:pos="1980"/>
        </w:tabs>
        <w:jc w:val="both"/>
        <w:rPr>
          <w:iCs/>
          <w:highlight w:val="yellow"/>
        </w:rPr>
      </w:pPr>
    </w:p>
    <w:p w14:paraId="3AE979FC" w14:textId="77777777" w:rsidR="00CC09AC" w:rsidRPr="00D24D54" w:rsidRDefault="00CC09AC" w:rsidP="00BD39E0">
      <w:pPr>
        <w:numPr>
          <w:ilvl w:val="0"/>
          <w:numId w:val="73"/>
        </w:numPr>
        <w:tabs>
          <w:tab w:val="clear" w:pos="1547"/>
          <w:tab w:val="num" w:pos="266"/>
          <w:tab w:val="num" w:pos="540"/>
          <w:tab w:val="left" w:pos="1620"/>
          <w:tab w:val="left" w:pos="1800"/>
          <w:tab w:val="left" w:pos="1980"/>
        </w:tabs>
        <w:ind w:left="0" w:firstLine="180"/>
        <w:jc w:val="both"/>
        <w:rPr>
          <w:iCs/>
        </w:rPr>
      </w:pPr>
      <w:r w:rsidRPr="00D24D54">
        <w:rPr>
          <w:iCs/>
        </w:rPr>
        <w:t>Отчетените разходи по бюджета на ММС са в размер на 7,3 млн. лв. - изплатени месечни премии на олимпийски медалисти, прекратили активна състезателна дейност и треньори, съгласно разпоредбите на Закона за физическото възпитание и спорта.</w:t>
      </w:r>
    </w:p>
    <w:p w14:paraId="29F98F0E" w14:textId="77777777" w:rsidR="00CC09AC" w:rsidRPr="00D24D54" w:rsidRDefault="00CC09AC" w:rsidP="00BD39E0">
      <w:pPr>
        <w:numPr>
          <w:ilvl w:val="0"/>
          <w:numId w:val="73"/>
        </w:numPr>
        <w:tabs>
          <w:tab w:val="num" w:pos="540"/>
          <w:tab w:val="left" w:pos="1620"/>
          <w:tab w:val="left" w:pos="1800"/>
          <w:tab w:val="left" w:pos="1980"/>
        </w:tabs>
        <w:ind w:left="0" w:firstLine="180"/>
        <w:jc w:val="both"/>
        <w:rPr>
          <w:iCs/>
        </w:rPr>
      </w:pPr>
      <w:r w:rsidRPr="00D24D54">
        <w:rPr>
          <w:iCs/>
        </w:rPr>
        <w:t>Отчетените разходи по бюджета на МС в тази група са в размер на 0,2 млн. лв. - средства по бюджета на Министерския съвет за 2022 г. се предвиждат и съответно отчитат за изплащане на обезщетения по Закона за политическа и гражданска реабилитация на репресирани лица.</w:t>
      </w:r>
    </w:p>
    <w:p w14:paraId="65F1C76D" w14:textId="77777777" w:rsidR="00CC09AC" w:rsidRPr="00D24D54" w:rsidRDefault="00CC09AC" w:rsidP="00CC09AC">
      <w:pPr>
        <w:tabs>
          <w:tab w:val="left" w:pos="1620"/>
          <w:tab w:val="left" w:pos="1800"/>
          <w:tab w:val="left" w:pos="1980"/>
        </w:tabs>
        <w:ind w:firstLine="709"/>
        <w:jc w:val="both"/>
        <w:rPr>
          <w:iCs/>
        </w:rPr>
      </w:pPr>
      <w:r w:rsidRPr="00D24D54">
        <w:rPr>
          <w:iCs/>
        </w:rPr>
        <w:t xml:space="preserve">За обезщетения по чл. 233 и за материално подпомагане по чл. 226з от Закона за отбраната и въоръжените сили на Република България и чл. 29, ал. 1 от Закона за убежището и бежанците са отчетени средства, както следва: по бюджета на Министерството на отбраната – 0,5 млн. лв.;  по бюджета на МВР – 0,2 млн. лева. </w:t>
      </w:r>
    </w:p>
    <w:p w14:paraId="077C9B69" w14:textId="77777777" w:rsidR="00CC09AC" w:rsidRPr="00D24D54" w:rsidRDefault="00CC09AC" w:rsidP="00CC09AC">
      <w:pPr>
        <w:tabs>
          <w:tab w:val="left" w:pos="1620"/>
          <w:tab w:val="left" w:pos="1800"/>
          <w:tab w:val="left" w:pos="1980"/>
        </w:tabs>
        <w:ind w:firstLine="709"/>
        <w:jc w:val="both"/>
        <w:rPr>
          <w:iCs/>
        </w:rPr>
      </w:pPr>
      <w:r w:rsidRPr="00D24D54">
        <w:rPr>
          <w:iCs/>
        </w:rPr>
        <w:t xml:space="preserve">Отчетените разходи по бюджетите на Министерството на околната среда и водите и Министерството на културата общо за 2022 г. са в размер на почти 1,0 млн. лв. </w:t>
      </w:r>
    </w:p>
    <w:p w14:paraId="5262B375" w14:textId="77777777" w:rsidR="00CC09AC" w:rsidRPr="00D24D54" w:rsidRDefault="00CC09AC" w:rsidP="00CC09AC">
      <w:pPr>
        <w:ind w:firstLine="709"/>
        <w:jc w:val="both"/>
        <w:rPr>
          <w:iCs/>
          <w:sz w:val="4"/>
          <w:szCs w:val="4"/>
          <w:highlight w:val="yellow"/>
        </w:rPr>
      </w:pPr>
    </w:p>
    <w:p w14:paraId="2F8B5EB4" w14:textId="77777777" w:rsidR="00CC09AC" w:rsidRPr="00D24D54" w:rsidRDefault="00CC09AC" w:rsidP="00190BA6">
      <w:pPr>
        <w:ind w:firstLine="706"/>
        <w:jc w:val="both"/>
      </w:pPr>
      <w:r w:rsidRPr="00D24D54">
        <w:t xml:space="preserve">Отчетените разходи за социални помощи и обезщетения по </w:t>
      </w:r>
      <w:r w:rsidRPr="00D24D54">
        <w:rPr>
          <w:b/>
        </w:rPr>
        <w:t>бюджета на ДОО</w:t>
      </w:r>
      <w:r w:rsidRPr="00D24D54">
        <w:t xml:space="preserve"> са в размер на 2 162,7 млн. лв. </w:t>
      </w:r>
    </w:p>
    <w:p w14:paraId="10BCF902" w14:textId="6C621956" w:rsidR="00CC09AC" w:rsidRPr="00D24D54" w:rsidRDefault="00CC09AC" w:rsidP="00190BA6">
      <w:pPr>
        <w:ind w:firstLine="706"/>
        <w:jc w:val="both"/>
      </w:pPr>
      <w:r w:rsidRPr="00D24D54">
        <w:t xml:space="preserve">Спрямо 2021 г. </w:t>
      </w:r>
      <w:r w:rsidRPr="00D24D54">
        <w:rPr>
          <w:b/>
        </w:rPr>
        <w:t xml:space="preserve">изплатените обезщетения по КСО </w:t>
      </w:r>
      <w:r w:rsidRPr="00D24D54">
        <w:t>са нараснали с 6</w:t>
      </w:r>
      <w:r w:rsidR="0053230A">
        <w:t>5</w:t>
      </w:r>
      <w:r w:rsidRPr="00D24D54">
        <w:t>,</w:t>
      </w:r>
      <w:r w:rsidR="0053230A">
        <w:t>9</w:t>
      </w:r>
      <w:r w:rsidRPr="00D24D54">
        <w:t xml:space="preserve"> млн. лв., или ръст от 3,1</w:t>
      </w:r>
      <w:r w:rsidR="0053230A">
        <w:t>4</w:t>
      </w:r>
      <w:r w:rsidRPr="00D24D54">
        <w:t xml:space="preserve"> %. </w:t>
      </w:r>
    </w:p>
    <w:p w14:paraId="3CA97E7E" w14:textId="120C3FA1" w:rsidR="00CC09AC" w:rsidRPr="00D24D54" w:rsidRDefault="00CC09AC" w:rsidP="00190BA6">
      <w:pPr>
        <w:ind w:firstLine="706"/>
        <w:jc w:val="both"/>
      </w:pPr>
      <w:r w:rsidRPr="00D24D54">
        <w:t>Изплатените за годината обезщетения при безработица са в размер на 412,6  млн. л</w:t>
      </w:r>
      <w:r w:rsidR="00190BA6">
        <w:t>е</w:t>
      </w:r>
      <w:r w:rsidRPr="00D24D54">
        <w:t>в</w:t>
      </w:r>
      <w:r w:rsidR="00190BA6">
        <w:t>а</w:t>
      </w:r>
      <w:r w:rsidRPr="00D24D54">
        <w:t xml:space="preserve">. </w:t>
      </w:r>
    </w:p>
    <w:p w14:paraId="4D668D87" w14:textId="77777777" w:rsidR="00CC09AC" w:rsidRPr="00D24D54" w:rsidRDefault="00CC09AC" w:rsidP="00190BA6">
      <w:pPr>
        <w:ind w:firstLine="706"/>
        <w:jc w:val="both"/>
      </w:pPr>
      <w:r w:rsidRPr="00D24D54">
        <w:t>Изплатените обезщетения за бременност и раждане през 2022 г. са в размер на 554,9</w:t>
      </w:r>
      <w:r>
        <w:t> </w:t>
      </w:r>
      <w:r w:rsidRPr="00D24D54">
        <w:t>млн. лв.</w:t>
      </w:r>
    </w:p>
    <w:p w14:paraId="72504124" w14:textId="02291632" w:rsidR="00CC09AC" w:rsidRPr="00D24D54" w:rsidRDefault="00CC09AC" w:rsidP="00190BA6">
      <w:pPr>
        <w:ind w:firstLine="706"/>
        <w:jc w:val="both"/>
      </w:pPr>
      <w:r w:rsidRPr="00D24D54">
        <w:t>Изплатените обезщетения за отглеждане на дете до 2-годишна възраст са в размер на 292,</w:t>
      </w:r>
      <w:r w:rsidR="0053230A">
        <w:t>3</w:t>
      </w:r>
      <w:r w:rsidRPr="00D24D54">
        <w:t xml:space="preserve">  млн. лв.  </w:t>
      </w:r>
    </w:p>
    <w:p w14:paraId="0BDFFEC3" w14:textId="77777777" w:rsidR="00CC09AC" w:rsidRPr="00D24D54" w:rsidRDefault="00CC09AC" w:rsidP="00190BA6">
      <w:pPr>
        <w:ind w:firstLine="706"/>
        <w:jc w:val="both"/>
      </w:pPr>
      <w:r w:rsidRPr="00D24D54">
        <w:t>Изплатените обезщетения за временна неработоспособност поради общо заболяване, гледане на болен член от семейството и карантина, и нетрудови злополуки са в размер на 864,1 млн. лв.</w:t>
      </w:r>
    </w:p>
    <w:p w14:paraId="2B3D3BE8" w14:textId="77777777" w:rsidR="00CC09AC" w:rsidRPr="007B48E9" w:rsidRDefault="00CC09AC" w:rsidP="00190BA6">
      <w:pPr>
        <w:ind w:firstLine="706"/>
        <w:jc w:val="both"/>
        <w:rPr>
          <w:color w:val="0070C0"/>
        </w:rPr>
      </w:pPr>
      <w:r w:rsidRPr="00D24D54">
        <w:t>Изплатените обезщетения за осиновяване на дете до 5-годишна възраст за 202</w:t>
      </w:r>
      <w:r>
        <w:t>2</w:t>
      </w:r>
      <w:r w:rsidRPr="00D24D54">
        <w:t xml:space="preserve"> г. са 3,0 млн. лв</w:t>
      </w:r>
    </w:p>
    <w:p w14:paraId="67300E8B" w14:textId="77777777" w:rsidR="00CC09AC" w:rsidRPr="00B22D26" w:rsidRDefault="00CC09AC" w:rsidP="00CC09AC">
      <w:pPr>
        <w:spacing w:before="240" w:after="120"/>
        <w:ind w:firstLine="709"/>
        <w:jc w:val="both"/>
        <w:rPr>
          <w:b/>
          <w:i/>
        </w:rPr>
      </w:pPr>
      <w:r w:rsidRPr="00B22D26">
        <w:rPr>
          <w:b/>
        </w:rPr>
        <w:t xml:space="preserve">Група В: </w:t>
      </w:r>
      <w:r w:rsidRPr="00B22D26">
        <w:rPr>
          <w:b/>
          <w:i/>
        </w:rPr>
        <w:t>„Програми, дейности и служби по социалното осигуряване, подпомагане и заетостта”</w:t>
      </w:r>
    </w:p>
    <w:p w14:paraId="39AACD7A" w14:textId="2F0E72C8" w:rsidR="00CC09AC" w:rsidRPr="00B22D26" w:rsidRDefault="00CC09AC" w:rsidP="00CC09AC">
      <w:pPr>
        <w:tabs>
          <w:tab w:val="left" w:pos="540"/>
          <w:tab w:val="left" w:pos="720"/>
        </w:tabs>
        <w:autoSpaceDE w:val="0"/>
        <w:autoSpaceDN w:val="0"/>
        <w:adjustRightInd w:val="0"/>
        <w:spacing w:before="120" w:after="120"/>
        <w:ind w:firstLine="709"/>
        <w:jc w:val="both"/>
      </w:pPr>
      <w:r w:rsidRPr="00B22D26">
        <w:t>Общият размер на усвоените средства на консолидирана база по тази група за 2022 г. е 2 203,</w:t>
      </w:r>
      <w:r w:rsidR="0053230A">
        <w:t>8</w:t>
      </w:r>
      <w:r w:rsidRPr="00B22D26">
        <w:t xml:space="preserve"> </w:t>
      </w:r>
      <w:r w:rsidRPr="00B22D26">
        <w:rPr>
          <w:lang w:val="ru-RU"/>
        </w:rPr>
        <w:t>мл</w:t>
      </w:r>
      <w:r w:rsidRPr="00B22D26">
        <w:t>н. лв., като основните системи, по които са извършени разходите, са държавния бюджет, бюджетите на общините, социалноосигурителните фондове и сметките за средства от ЕС.</w:t>
      </w:r>
    </w:p>
    <w:p w14:paraId="68999922" w14:textId="1EAD0E47" w:rsidR="00CC09AC" w:rsidRPr="007B48E9" w:rsidRDefault="00CC09AC" w:rsidP="00CC09AC">
      <w:pPr>
        <w:spacing w:before="120" w:after="120"/>
        <w:ind w:firstLine="709"/>
        <w:jc w:val="both"/>
        <w:rPr>
          <w:color w:val="0070C0"/>
        </w:rPr>
      </w:pPr>
      <w:r w:rsidRPr="00B22D26">
        <w:t xml:space="preserve">Размерът на отчетените разходи по </w:t>
      </w:r>
      <w:r w:rsidRPr="00B22D26">
        <w:rPr>
          <w:b/>
        </w:rPr>
        <w:t>държавния бюджет</w:t>
      </w:r>
      <w:r w:rsidRPr="00B22D26">
        <w:t xml:space="preserve"> е 222,9 млн. лв. От тях по бюджетите на министерствата и ведомствата са отчетени </w:t>
      </w:r>
      <w:r w:rsidRPr="00B22D26">
        <w:rPr>
          <w:lang w:val="ru-RU"/>
        </w:rPr>
        <w:t>213,2</w:t>
      </w:r>
      <w:r w:rsidRPr="00B22D26">
        <w:t xml:space="preserve"> млн. лв. и по централния </w:t>
      </w:r>
      <w:r w:rsidRPr="00B97325">
        <w:t xml:space="preserve">бюджет </w:t>
      </w:r>
      <w:r w:rsidRPr="00B97325">
        <w:rPr>
          <w:lang w:val="ru-RU"/>
        </w:rPr>
        <w:t>9,7</w:t>
      </w:r>
      <w:r w:rsidRPr="00B97325">
        <w:t xml:space="preserve"> млн. лв. </w:t>
      </w:r>
      <w:r w:rsidRPr="00B97325">
        <w:rPr>
          <w:bCs/>
        </w:rPr>
        <w:t>В тази група разходи са планирани</w:t>
      </w:r>
      <w:r w:rsidR="0088227C">
        <w:rPr>
          <w:bCs/>
        </w:rPr>
        <w:t>те</w:t>
      </w:r>
      <w:r w:rsidRPr="00B97325">
        <w:rPr>
          <w:bCs/>
        </w:rPr>
        <w:t xml:space="preserve"> по бюджета на МТСП средствата за активните мерки на пазара на труда, с които се осигурява запазването и развитието на политиката по намаляване на безработицата, съхраняване и поддържане на работната сила. От тази група разходи се финансира и дейността на агенциите</w:t>
      </w:r>
      <w:r w:rsidR="008C0F46">
        <w:rPr>
          <w:bCs/>
        </w:rPr>
        <w:t>,</w:t>
      </w:r>
      <w:r w:rsidRPr="00B97325">
        <w:rPr>
          <w:bCs/>
        </w:rPr>
        <w:t xml:space="preserve"> второстепенни разпоредители към министъра на труда и социалната политика, които са ангажирани с изпълнението на социалната политика като: Агенцията по заетостта, Агенцията за социално подпомагане, ИА “Главна инспекция по труда“, Държавната агенция за закрила на детето и др., както и разходи за издръжка на дейността на Дома на ветераните на културата и изкуствата към Министерство на културата. Изразходваните средства за реализиране на активната политика по заетостта са в размер на 120,3 млн. лв., от които в тази група разходи са отчетени 48,3 млн. лв., а 72 млн. лв. представляват трансфери към министерства, ведомства и общини</w:t>
      </w:r>
      <w:r w:rsidRPr="00B97325">
        <w:t>.</w:t>
      </w:r>
    </w:p>
    <w:p w14:paraId="6794A90E" w14:textId="77777777" w:rsidR="00CC09AC" w:rsidRPr="00B97325" w:rsidRDefault="00CC09AC" w:rsidP="00CC09AC">
      <w:pPr>
        <w:ind w:firstLine="709"/>
        <w:jc w:val="both"/>
      </w:pPr>
      <w:r w:rsidRPr="00B97325">
        <w:t xml:space="preserve">Отчетените разходи за програми, дейности и служби по социалното осигуряване, подпомагане и заетостта  през 2022 г. по </w:t>
      </w:r>
      <w:r w:rsidRPr="00B97325">
        <w:rPr>
          <w:b/>
        </w:rPr>
        <w:t>бюджета на ДОО</w:t>
      </w:r>
      <w:r w:rsidRPr="00B97325">
        <w:t xml:space="preserve"> са в размер на 310,8 млн. лв.  </w:t>
      </w:r>
    </w:p>
    <w:p w14:paraId="4D267A04" w14:textId="4E475D8D" w:rsidR="00CC09AC" w:rsidRPr="00FB2BF5" w:rsidRDefault="00CC09AC" w:rsidP="005A6BC1">
      <w:pPr>
        <w:spacing w:before="120"/>
        <w:ind w:firstLine="709"/>
        <w:jc w:val="both"/>
      </w:pPr>
      <w:r w:rsidRPr="00E67FF1">
        <w:t xml:space="preserve">По </w:t>
      </w:r>
      <w:r w:rsidRPr="00E67FF1">
        <w:rPr>
          <w:b/>
        </w:rPr>
        <w:t>бюджетите на общините</w:t>
      </w:r>
      <w:r w:rsidRPr="00E67FF1">
        <w:t xml:space="preserve"> с разчетите към ЗДБРБ за 2022 г. в група „Програми, дейности и служби по социалното осигуряване, подпомагане и заетостта” са предвидени средства в размер на 673,2 млн. лв. </w:t>
      </w:r>
      <w:r w:rsidRPr="005824D1">
        <w:t>Изпълнението е 1 328,</w:t>
      </w:r>
      <w:r w:rsidR="00B33F94" w:rsidRPr="005824D1">
        <w:t>1</w:t>
      </w:r>
      <w:r w:rsidRPr="005824D1">
        <w:t xml:space="preserve"> млн. лв. (от които 1 300,</w:t>
      </w:r>
      <w:r w:rsidR="00B33F94" w:rsidRPr="005824D1">
        <w:t>1</w:t>
      </w:r>
      <w:r w:rsidRPr="005824D1">
        <w:t xml:space="preserve"> млн. лв. са текущите разходи), което представлява </w:t>
      </w:r>
      <w:r w:rsidR="00B278E6" w:rsidRPr="005824D1">
        <w:t>197,3</w:t>
      </w:r>
      <w:r w:rsidRPr="005824D1">
        <w:t xml:space="preserve"> % спрямо плана. Разходите по групата </w:t>
      </w:r>
      <w:r w:rsidRPr="00FB2BF5">
        <w:t xml:space="preserve">са предназначени за обезпечаване дейностите по социалното подпомагане и заетостта. </w:t>
      </w:r>
    </w:p>
    <w:p w14:paraId="5823D5ED" w14:textId="77777777" w:rsidR="00CC09AC" w:rsidRDefault="00CC09AC" w:rsidP="00CC09AC">
      <w:pPr>
        <w:ind w:firstLine="709"/>
        <w:jc w:val="both"/>
      </w:pPr>
      <w:r w:rsidRPr="00FB2BF5">
        <w:t xml:space="preserve">В </w:t>
      </w:r>
      <w:r w:rsidRPr="00FB2BF5">
        <w:rPr>
          <w:i/>
        </w:rPr>
        <w:t>държавните дейности</w:t>
      </w:r>
      <w:r w:rsidRPr="00FB2BF5">
        <w:t xml:space="preserve"> са отчетени текущи разходи в размер на 1 114,6 млн. лв. или 208,9 % спрямо закона,</w:t>
      </w:r>
      <w:r>
        <w:t xml:space="preserve"> като 111</w:t>
      </w:r>
      <w:r>
        <w:rPr>
          <w:lang w:val="ru-RU"/>
        </w:rPr>
        <w:t>,7</w:t>
      </w:r>
      <w:r>
        <w:t xml:space="preserve"> млн. лв. от тях са във връзка с увеличение на разходите за персонал на заетите в сферата на социалните услуги</w:t>
      </w:r>
      <w:r w:rsidRPr="000755C8">
        <w:t xml:space="preserve"> във връзка с влизане в сила от 01.01.2022 г. на Наредбата за стандартите за заплащане на труда на служителите, осъществяващи дейности по предоставяне на социални услуги, които се финансират от държавния бюджет, приета с ПМС № 343 от 2020 г., съгласно която възнагражденията им са обвързани в процентно съотношение с </w:t>
      </w:r>
      <w:r>
        <w:t>минималната работна заплата за страната</w:t>
      </w:r>
      <w:r w:rsidRPr="000755C8">
        <w:t>.</w:t>
      </w:r>
      <w:r>
        <w:t xml:space="preserve"> </w:t>
      </w:r>
    </w:p>
    <w:p w14:paraId="71D2C334" w14:textId="77777777" w:rsidR="00CC09AC" w:rsidRDefault="00CC09AC" w:rsidP="00CC09AC">
      <w:pPr>
        <w:ind w:firstLine="708"/>
        <w:jc w:val="both"/>
      </w:pPr>
      <w:r>
        <w:t xml:space="preserve">Увеличението на предвидените средства спрямо закона е във връзка и с предоставените на общините трансфери от Агенцията за социално подпомагане за изплащане на възнагражденията на асистентите по Закона за личната помощ, на предоставени от централния бюджет средства за изплащане от държавата на присъдена издръжка и за компенсации на безплатни или по-намалени цени за пътувания на определени категории правоимащи лица, както и извършени социални разходи по решения на общинските съвети. Отчетени са средства и за изплащане на възнагражденията на работещите по програмите за временна заетост към Агенция по заетостта. </w:t>
      </w:r>
    </w:p>
    <w:p w14:paraId="3D97A77D" w14:textId="77777777" w:rsidR="00CC09AC" w:rsidRDefault="00CC09AC" w:rsidP="00CC09AC">
      <w:pPr>
        <w:ind w:firstLine="708"/>
        <w:jc w:val="both"/>
      </w:pPr>
      <w:r>
        <w:t>Отчетените текущи разходи в държавните дейности са за персонал и издръжка на специализираните институции за предоставяне на социални услуги (домове за възрастни хора с увреждания, домове за стари хора и домове за деца), социални услуги предоставяни в общността (дневни центрове за лица с увреждания, центрове за социална рехабилитация и интеграция, за временно настаняване, за обществена подкрепа, за работа с деца на улицата, за настаняване от семеен тип и други, защитени, преходни и наблюдавани жилища, звена „Майка и бебе”, приюти) както и за социалната услуга „Асистентска подкрепа“.</w:t>
      </w:r>
    </w:p>
    <w:p w14:paraId="7E013B27" w14:textId="1B94A15F" w:rsidR="00CC09AC" w:rsidRPr="00C51994" w:rsidRDefault="00CC09AC" w:rsidP="00CC09AC">
      <w:pPr>
        <w:ind w:firstLine="709"/>
        <w:jc w:val="both"/>
      </w:pPr>
      <w:r w:rsidRPr="00FB2BF5">
        <w:t xml:space="preserve">През 2022 г. общините са дофинансирали със собствени приходи </w:t>
      </w:r>
      <w:r w:rsidR="00FB2BF5" w:rsidRPr="00FB2BF5">
        <w:t>текущите</w:t>
      </w:r>
      <w:r w:rsidRPr="00FB2BF5">
        <w:t xml:space="preserve"> разходи </w:t>
      </w:r>
      <w:r w:rsidRPr="00C51994">
        <w:t xml:space="preserve">в размер </w:t>
      </w:r>
      <w:r w:rsidR="00FB2BF5" w:rsidRPr="00C51994">
        <w:t>4</w:t>
      </w:r>
      <w:r w:rsidRPr="00C51994">
        <w:t>,</w:t>
      </w:r>
      <w:r w:rsidR="00FB2BF5" w:rsidRPr="00C51994">
        <w:t>7</w:t>
      </w:r>
      <w:r w:rsidRPr="00C51994">
        <w:t xml:space="preserve"> млн. лева. </w:t>
      </w:r>
    </w:p>
    <w:p w14:paraId="104731B8" w14:textId="77777777" w:rsidR="00CC09AC" w:rsidRPr="00C25A1F" w:rsidRDefault="00CC09AC" w:rsidP="005A6BC1">
      <w:pPr>
        <w:ind w:firstLine="709"/>
        <w:jc w:val="both"/>
      </w:pPr>
      <w:r w:rsidRPr="00C51994">
        <w:t xml:space="preserve">Отчетените текущи разходи за </w:t>
      </w:r>
      <w:r w:rsidRPr="00C51994">
        <w:rPr>
          <w:i/>
        </w:rPr>
        <w:t>местни дейности</w:t>
      </w:r>
      <w:r w:rsidRPr="00C51994">
        <w:t xml:space="preserve"> са в размер на </w:t>
      </w:r>
      <w:r w:rsidRPr="00C51994">
        <w:rPr>
          <w:lang w:val="ru-RU"/>
        </w:rPr>
        <w:t>180</w:t>
      </w:r>
      <w:r w:rsidRPr="00C51994">
        <w:t>,</w:t>
      </w:r>
      <w:r w:rsidRPr="00C51994">
        <w:rPr>
          <w:lang w:val="ru-RU"/>
        </w:rPr>
        <w:t>7</w:t>
      </w:r>
      <w:r w:rsidRPr="00C51994">
        <w:t xml:space="preserve"> млн. лв. или 1</w:t>
      </w:r>
      <w:r w:rsidRPr="00C51994">
        <w:rPr>
          <w:lang w:val="ru-RU"/>
        </w:rPr>
        <w:t>41</w:t>
      </w:r>
      <w:r w:rsidRPr="00C51994">
        <w:t>,</w:t>
      </w:r>
      <w:r w:rsidRPr="00C51994">
        <w:rPr>
          <w:lang w:val="ru-RU"/>
        </w:rPr>
        <w:t>1</w:t>
      </w:r>
      <w:r w:rsidRPr="00C51994">
        <w:t xml:space="preserve"> % спрямо разчетените по закон и 1</w:t>
      </w:r>
      <w:r w:rsidRPr="00C51994">
        <w:rPr>
          <w:lang w:val="ru-RU"/>
        </w:rPr>
        <w:t>16</w:t>
      </w:r>
      <w:r w:rsidRPr="00C51994">
        <w:t>,</w:t>
      </w:r>
      <w:r w:rsidRPr="00C51994">
        <w:rPr>
          <w:lang w:val="ru-RU"/>
        </w:rPr>
        <w:t>6</w:t>
      </w:r>
      <w:r w:rsidRPr="00C51994">
        <w:t xml:space="preserve"> % спрямо отчетените за 202</w:t>
      </w:r>
      <w:r w:rsidRPr="00C51994">
        <w:rPr>
          <w:lang w:val="ru-RU"/>
        </w:rPr>
        <w:t>1</w:t>
      </w:r>
      <w:r w:rsidRPr="00C51994">
        <w:t xml:space="preserve"> г.</w:t>
      </w:r>
      <w:r>
        <w:t xml:space="preserve"> В местните дейности по тази група се отчитат разходите за домашен социален патронаж, трапезарии, клубове на пенсионера, инвалида, както и средства по решения на общинските съвети за обезщетения, помощи с цел подпомагане на определени категории от населението за улесняване на </w:t>
      </w:r>
      <w:r w:rsidRPr="00C25A1F">
        <w:t>достъпа им до предоставяните публични услуги.</w:t>
      </w:r>
    </w:p>
    <w:p w14:paraId="164B1EB6" w14:textId="599C1347" w:rsidR="00CC09AC" w:rsidRPr="007B48E9" w:rsidRDefault="00CC09AC" w:rsidP="005A6BC1">
      <w:pPr>
        <w:pStyle w:val="BodyTextIndent"/>
        <w:widowControl w:val="0"/>
        <w:ind w:left="0" w:firstLine="709"/>
        <w:jc w:val="both"/>
        <w:rPr>
          <w:color w:val="0070C0"/>
          <w:lang w:val="bg-BG"/>
        </w:rPr>
      </w:pPr>
      <w:r w:rsidRPr="00C25A1F">
        <w:rPr>
          <w:lang w:val="ru-RU"/>
        </w:rPr>
        <w:t xml:space="preserve">Отчетените общо за групата </w:t>
      </w:r>
      <w:r w:rsidRPr="00C25A1F">
        <w:rPr>
          <w:i/>
          <w:lang w:val="ru-RU"/>
        </w:rPr>
        <w:t>капиталови разходи</w:t>
      </w:r>
      <w:r w:rsidRPr="00C25A1F">
        <w:rPr>
          <w:lang w:val="ru-RU"/>
        </w:rPr>
        <w:t xml:space="preserve"> са в размер на 28,0 млн. лв.,</w:t>
      </w:r>
      <w:r w:rsidRPr="004D5FFC">
        <w:rPr>
          <w:lang w:val="ru-RU"/>
        </w:rPr>
        <w:t xml:space="preserve"> от които 17,3 млн. лв. за държавни дейности</w:t>
      </w:r>
      <w:r w:rsidR="00C25A1F">
        <w:rPr>
          <w:lang w:val="ru-RU"/>
        </w:rPr>
        <w:t>,</w:t>
      </w:r>
      <w:r w:rsidRPr="004D5FFC">
        <w:rPr>
          <w:lang w:val="ru-RU"/>
        </w:rPr>
        <w:t xml:space="preserve"> 8,5 млн. лв. за местни дейности</w:t>
      </w:r>
      <w:r w:rsidR="00C25A1F">
        <w:rPr>
          <w:lang w:val="ru-RU"/>
        </w:rPr>
        <w:t xml:space="preserve"> и</w:t>
      </w:r>
      <w:r w:rsidRPr="004D5FFC">
        <w:rPr>
          <w:lang w:val="ru-RU"/>
        </w:rPr>
        <w:t xml:space="preserve"> 2,1</w:t>
      </w:r>
      <w:r>
        <w:t> </w:t>
      </w:r>
      <w:r w:rsidRPr="004D5FFC">
        <w:rPr>
          <w:lang w:val="ru-RU"/>
        </w:rPr>
        <w:t>млн.</w:t>
      </w:r>
      <w:r>
        <w:t> </w:t>
      </w:r>
      <w:r w:rsidRPr="004D5FFC">
        <w:rPr>
          <w:lang w:val="ru-RU"/>
        </w:rPr>
        <w:t xml:space="preserve">лв., </w:t>
      </w:r>
      <w:r w:rsidR="00C25A1F">
        <w:rPr>
          <w:lang w:val="ru-RU"/>
        </w:rPr>
        <w:t xml:space="preserve">с </w:t>
      </w:r>
      <w:r w:rsidRPr="004D5FFC">
        <w:rPr>
          <w:lang w:val="ru-RU"/>
        </w:rPr>
        <w:t xml:space="preserve">които </w:t>
      </w:r>
      <w:r w:rsidR="00C25A1F">
        <w:rPr>
          <w:lang w:val="ru-RU"/>
        </w:rPr>
        <w:t xml:space="preserve">държавните дейности </w:t>
      </w:r>
      <w:r w:rsidRPr="004D5FFC">
        <w:rPr>
          <w:lang w:val="ru-RU"/>
        </w:rPr>
        <w:t>са дофинансирани от общините</w:t>
      </w:r>
      <w:r w:rsidRPr="007B48E9">
        <w:rPr>
          <w:color w:val="0070C0"/>
          <w:lang w:val="bg-BG"/>
        </w:rPr>
        <w:t>.</w:t>
      </w:r>
    </w:p>
    <w:p w14:paraId="5AE5EECD" w14:textId="77777777" w:rsidR="00CC09AC" w:rsidRPr="00684E52" w:rsidRDefault="00CC09AC" w:rsidP="005A6BC1">
      <w:pPr>
        <w:pStyle w:val="BodyTextIndent"/>
        <w:widowControl w:val="0"/>
        <w:spacing w:after="0"/>
        <w:ind w:left="0" w:firstLine="709"/>
        <w:jc w:val="both"/>
        <w:rPr>
          <w:lang w:val="bg-BG"/>
        </w:rPr>
      </w:pPr>
      <w:r w:rsidRPr="00684E52">
        <w:rPr>
          <w:b/>
          <w:lang w:val="bg-BG"/>
        </w:rPr>
        <w:t>Европейски средства</w:t>
      </w:r>
      <w:r w:rsidRPr="00684E52">
        <w:rPr>
          <w:lang w:val="bg-BG"/>
        </w:rPr>
        <w:t xml:space="preserve"> – в група „Програми, дейности и служби по социалното осигуряване, подпомагане и заетостта” изразходваните средства са 338,6 млн. лв., основно по следните програми:</w:t>
      </w:r>
    </w:p>
    <w:p w14:paraId="420721A3" w14:textId="7C5F8DB0" w:rsidR="00CC09AC" w:rsidRPr="00C41AB6" w:rsidRDefault="00CC09AC" w:rsidP="005A6BC1">
      <w:pPr>
        <w:autoSpaceDE w:val="0"/>
        <w:autoSpaceDN w:val="0"/>
        <w:adjustRightInd w:val="0"/>
        <w:ind w:firstLine="709"/>
        <w:jc w:val="both"/>
        <w:rPr>
          <w:szCs w:val="23"/>
        </w:rPr>
      </w:pPr>
      <w:r w:rsidRPr="00CA1052">
        <w:rPr>
          <w:b/>
          <w:i/>
        </w:rPr>
        <w:t>Оперативна програма „Развитие на човешките ресурси</w:t>
      </w:r>
      <w:r w:rsidRPr="00CA1052">
        <w:t xml:space="preserve">” (284,9 млн. лв., от които 273,4 млн. лв. са от период 2014-2021 г., 8,8 млн. лв. са от период 2007-2013 г. и 2,7 млн. лв. са по </w:t>
      </w:r>
      <w:r w:rsidR="0083785B">
        <w:t>П</w:t>
      </w:r>
      <w:r w:rsidRPr="00CA1052">
        <w:t xml:space="preserve">рограма за </w:t>
      </w:r>
      <w:r w:rsidR="0083785B">
        <w:t>Р</w:t>
      </w:r>
      <w:r w:rsidRPr="00CA1052">
        <w:t xml:space="preserve">азвитие на човешките ресурси период 2021-2027 г.). </w:t>
      </w:r>
      <w:r w:rsidRPr="007F39D6">
        <w:t xml:space="preserve">Основни цели на програмата в това функционално направление са целите в областта на трудовата заетост и борбата с бедността и социалното изключване. Стратегията на оперативната програма е свързана с по-висока и по-качествена заетост и намаляване на бедността и насърчаване на социалното включване. Част от основните приоритети на оперативна програма „Развитие на човешките ресурси” са свързани с борбата с безработицата сред уязвимите групи на пазара на труда, най-вече младежите и продължително безработните, както и постигането на по-висока заетост сред по-възрастните хора. Това се налага и с оглед смекчаване и преодоляване на негативните последствия от икономическата криза върху цялостното развитие на пазара на труда в България. Стратегията на оперативната програма се основава и на идеята за изпреварващо предвиждане на потребностите на бизнеса и пазара на труда и осигуряването на съответстващи на тях умения. Насърчаването на мобилността на работната сила – както географската, така и професионалната, също е част от стратегията на програмата за повишаване нивата на заетост и качеството на работните места, като мярка за повишаване гъвкавостта на българския пазар на труда. С изпълнение на мерките по програмата в това функционално направление се цели подобряване на съответствието между предлагането и търсенето на пазара на труда. Стратегията на програмата се фокусира и върху мерки, имащи за цел подобряване работата на институциите с оглед по-доброто прогнозиране на потребностите и развитието на пазара на труда – в сътрудничество с всички заинтересовани страни. Друга важна цел на програмата е свързана с необходимостта от постигане на значителен, осезаем и устойчив напредък в посока намаляването на високия риск от бедност и социално изключване, на които са изложени българските граждани. Безспорният приоритет в това направление е подкрепата за политиките за активно включване, съчетаващи комплекс от интегрирани мерки за улесняване достъпа до заетост на хората, отдалечени от пазара на труда. Програмата подкрепя и политиките за децата и семейството. В тази област </w:t>
      </w:r>
      <w:r w:rsidRPr="007F39D6">
        <w:rPr>
          <w:szCs w:val="23"/>
        </w:rPr>
        <w:t xml:space="preserve">стратегията на програмата е изградена на допускането, че подобряването на детското благосъстояние е фундаментът на всяка дългосрочна стратегия </w:t>
      </w:r>
      <w:r w:rsidRPr="00C41AB6">
        <w:rPr>
          <w:szCs w:val="23"/>
        </w:rPr>
        <w:t xml:space="preserve">за социално включване. </w:t>
      </w:r>
    </w:p>
    <w:p w14:paraId="3B3977F3" w14:textId="6433C731" w:rsidR="0079030F" w:rsidRPr="003E4FBF" w:rsidRDefault="0079030F" w:rsidP="005A6BC1">
      <w:pPr>
        <w:autoSpaceDE w:val="0"/>
        <w:autoSpaceDN w:val="0"/>
        <w:adjustRightInd w:val="0"/>
        <w:ind w:firstLine="709"/>
        <w:jc w:val="both"/>
        <w:rPr>
          <w:szCs w:val="23"/>
        </w:rPr>
      </w:pPr>
      <w:r w:rsidRPr="003E4FBF">
        <w:rPr>
          <w:szCs w:val="23"/>
        </w:rPr>
        <w:t>През отчетната 2022 г. оперативната програма отново оправда имиджа си на гъвкав инструмент, който е в състояние да реагира на извънредни ситуации в изключително кратки срокове. В ситуация на засилен бежански поток, още през пролетта с остатъчния ресурс по приоритетна ос 6 беше стартирана операция „Солидарност“, предлагаща комплексни услуги на лица, избягали от Украйна, в резултат на бойните действия. В операцията бяха включени над 700 лица, на които бе осигурен достъп до българския пазар на труда. В същото време следва да се отбележи, че освен в тази специална операция, бежанци от Украйна бяха включени и в други мерки по оперативната програма, предимно по приоритетна ос 2, като в рамките на договорите по компонент 2 на операция „Социално-икономическа интеграция на уязвими групи“ бяха включени още близо 50 украински граждани. По отношение на цялостното изпълнение на оперативната програма, през 2022 г. въпреки наближаващия край на програмния период, бе реализиран сериозен напредък по основните приоритетни оси, като се запази темпът на усилено изпълнение на мерките по ОП РЧР. През годината не бяха обявявани нови процедури по програмата, а усилията бяха насочени към оптимизиране на наличния ресурс и мерките в изпълнение.</w:t>
      </w:r>
    </w:p>
    <w:p w14:paraId="316D973E" w14:textId="6C0BCC87" w:rsidR="0079030F" w:rsidRPr="003E4FBF" w:rsidRDefault="0079030F" w:rsidP="005A6BC1">
      <w:pPr>
        <w:autoSpaceDE w:val="0"/>
        <w:autoSpaceDN w:val="0"/>
        <w:adjustRightInd w:val="0"/>
        <w:ind w:firstLine="709"/>
        <w:jc w:val="both"/>
        <w:rPr>
          <w:szCs w:val="23"/>
        </w:rPr>
      </w:pPr>
      <w:r w:rsidRPr="003E4FBF">
        <w:rPr>
          <w:szCs w:val="23"/>
        </w:rPr>
        <w:t>Към 31.12.2022 г. размерът на програмираните средства почти достигна 2,8 млрд. лв., което е почти 103 % от актуализирания бюджет на програмата. Стойността на стартиралите процедури в края на 2022 г. също надхвърли бюджета на програмата и достигна почти 3,1 млрд. лв. (близо 115 % от ресурса на програмата). Броят на подписаните към края на 2022 г. договори беше 4 400, с което общата им стойност доближи 2,7 млрд. лв., като следва да се отбележи, че се запазва ниският дял на прекратени договори. Общият им брой възлезе на 347, предимно по грантови схеми в рамките на приоритетна ос 1. Общият размер на извършените плащания надхвърли 2,3 млрд. лв. (над 87</w:t>
      </w:r>
      <w:r w:rsidR="00F2704B" w:rsidRPr="003E4FBF">
        <w:rPr>
          <w:szCs w:val="23"/>
        </w:rPr>
        <w:t xml:space="preserve"> </w:t>
      </w:r>
      <w:r w:rsidRPr="003E4FBF">
        <w:rPr>
          <w:szCs w:val="23"/>
        </w:rPr>
        <w:t>% от бюджета на програмата). Това от своя страна се отрази съответно и на реализираните плащания и верифицирани средства, като към края на 2022 г. средният темп на верифицираните средства надхвърли 85</w:t>
      </w:r>
      <w:r w:rsidR="00F2704B" w:rsidRPr="003E4FBF">
        <w:rPr>
          <w:szCs w:val="23"/>
        </w:rPr>
        <w:t xml:space="preserve"> </w:t>
      </w:r>
      <w:r w:rsidRPr="003E4FBF">
        <w:rPr>
          <w:szCs w:val="23"/>
        </w:rPr>
        <w:t>% по отделните оси. Общият брой на лицата, включени в дейности по операциите по програмата към 31.12.2022 г., достигна 889 217 участника. Близо 423 хил. от тях са включени в мерки по приоритетна ос 1, други над 239 хил. по ПО 2, а за малко повече от две години над 195 хил. по новата приоритетна ос 6, над 23 хил. по ПО 3 и над 7,7 хил. в мерки по транснационално сътрудничество.</w:t>
      </w:r>
    </w:p>
    <w:p w14:paraId="1BB247AA" w14:textId="4DDF8097" w:rsidR="003B28B6" w:rsidRPr="003E4FBF" w:rsidRDefault="003B28B6" w:rsidP="005A6BC1">
      <w:pPr>
        <w:autoSpaceDE w:val="0"/>
        <w:autoSpaceDN w:val="0"/>
        <w:adjustRightInd w:val="0"/>
        <w:ind w:firstLine="709"/>
        <w:jc w:val="both"/>
        <w:rPr>
          <w:szCs w:val="23"/>
        </w:rPr>
      </w:pPr>
      <w:r w:rsidRPr="003E4FBF">
        <w:rPr>
          <w:szCs w:val="23"/>
        </w:rPr>
        <w:t>Инициативата за младежка заетост</w:t>
      </w:r>
      <w:r w:rsidR="00A87552">
        <w:rPr>
          <w:szCs w:val="23"/>
        </w:rPr>
        <w:t xml:space="preserve"> (ИМЗ)</w:t>
      </w:r>
      <w:r w:rsidRPr="003E4FBF">
        <w:rPr>
          <w:szCs w:val="23"/>
        </w:rPr>
        <w:t xml:space="preserve"> е интегрирана част от ОП РЧР 2014-2020 и основен компонент от политиката за прилагане на Гаранцията за младежта. Прилагането на ИМЗ в операциите, изпълнявани от Агенция по заетостта (АЗ), е изцяло съобразено със стратегическите документи на ЕС и законодателството на Република България, каквито са Законът за насърчаване на заетостта и Националния план за изпълнение на Европейската гаранция за младежта 2014-2020. През 2022 г., в рамките на приоритетна ос 1 на ОП РЧР, от АЗ се изпълняват активно 2 договора за предоставяне на безвъзмездна финансова помощ, които са съфинансирани от ИМЗ.</w:t>
      </w:r>
    </w:p>
    <w:p w14:paraId="02639E4B" w14:textId="300DFD45" w:rsidR="003B28B6" w:rsidRPr="003E4FBF" w:rsidRDefault="003B28B6" w:rsidP="003B28B6">
      <w:pPr>
        <w:autoSpaceDE w:val="0"/>
        <w:autoSpaceDN w:val="0"/>
        <w:adjustRightInd w:val="0"/>
        <w:ind w:firstLine="709"/>
        <w:jc w:val="both"/>
        <w:rPr>
          <w:szCs w:val="23"/>
        </w:rPr>
      </w:pPr>
      <w:r w:rsidRPr="003E4FBF">
        <w:rPr>
          <w:szCs w:val="23"/>
        </w:rPr>
        <w:t xml:space="preserve">По процедурата „Младежка заетост“ </w:t>
      </w:r>
      <w:r w:rsidR="003C6DB3">
        <w:rPr>
          <w:szCs w:val="23"/>
        </w:rPr>
        <w:t xml:space="preserve">са </w:t>
      </w:r>
      <w:r w:rsidRPr="003E4FBF">
        <w:rPr>
          <w:szCs w:val="23"/>
        </w:rPr>
        <w:t xml:space="preserve">сключени 18 235 договора с 9 989 работодатели на обща стойност 144,4 млн. лв. Броят на лицата, включени в стажуване, обучение или заетост по линия на ИМЗ за целия период на изпълнение на проекта до края на 2022 г. е 26 562, като 14 111 от тях са на възраст до 24 години. Целевата стойност на този индикатор по схемата към края на 2022 г. е 30 660, което означава, че е постигнат резултат от почти 87 %. От стартирането (в началото на 2015 г.) до края на 2022 г. в схемата са включени в стажуване, обучение и заетост общо 28 006 младежи. </w:t>
      </w:r>
    </w:p>
    <w:p w14:paraId="2FE75E9E" w14:textId="64BBC8D7" w:rsidR="003B28B6" w:rsidRPr="003E4FBF" w:rsidRDefault="003B28B6" w:rsidP="003B28B6">
      <w:pPr>
        <w:autoSpaceDE w:val="0"/>
        <w:autoSpaceDN w:val="0"/>
        <w:adjustRightInd w:val="0"/>
        <w:ind w:firstLine="709"/>
        <w:jc w:val="both"/>
        <w:rPr>
          <w:szCs w:val="23"/>
        </w:rPr>
      </w:pPr>
      <w:r w:rsidRPr="003E4FBF">
        <w:rPr>
          <w:szCs w:val="23"/>
        </w:rPr>
        <w:t>По процедурата „Готови за работа“ - от началото на изпълнението до края на месец декември 2022 година са идентифицирани 35 678 неактивни младежи, от които 34 527 са активирани и са се регистрирали в бюрата по труда на територията на цялата страна. Броят на лицата, включени в проекта по линия на ИМЗ от началото на проекта до края на 2022 г., е 33 773, като 20 402 от тях са на възраст до 24 години.</w:t>
      </w:r>
    </w:p>
    <w:p w14:paraId="02C6DBFB" w14:textId="215EA2AC" w:rsidR="00CC09AC" w:rsidRDefault="00CC09AC" w:rsidP="002B4FEF">
      <w:pPr>
        <w:ind w:firstLine="709"/>
        <w:jc w:val="both"/>
        <w:rPr>
          <w:color w:val="0070C0"/>
        </w:rPr>
      </w:pPr>
      <w:r w:rsidRPr="00C41AB6">
        <w:rPr>
          <w:b/>
          <w:i/>
        </w:rPr>
        <w:t xml:space="preserve">Оперативна програма за храни и/или основно материално подпомагане </w:t>
      </w:r>
      <w:r w:rsidR="002B4FEF" w:rsidRPr="00F26A14">
        <w:rPr>
          <w:b/>
          <w:i/>
          <w:lang w:val="ru-RU"/>
        </w:rPr>
        <w:t xml:space="preserve">(ОПХОМП) </w:t>
      </w:r>
      <w:r w:rsidRPr="00C41AB6">
        <w:rPr>
          <w:b/>
          <w:i/>
        </w:rPr>
        <w:t>от „Фонда за европейско подпомагане на най-нуждаещите се лица“</w:t>
      </w:r>
      <w:r w:rsidR="007B3702" w:rsidRPr="00F26A14">
        <w:rPr>
          <w:b/>
          <w:i/>
          <w:lang w:val="ru-RU"/>
        </w:rPr>
        <w:t xml:space="preserve"> (ФЕПНЛ)</w:t>
      </w:r>
      <w:r w:rsidRPr="00C41AB6">
        <w:rPr>
          <w:b/>
          <w:i/>
        </w:rPr>
        <w:t xml:space="preserve"> </w:t>
      </w:r>
      <w:r w:rsidRPr="00C41AB6">
        <w:t xml:space="preserve">(23,9 млн. лв.) – </w:t>
      </w:r>
      <w:r w:rsidRPr="007F39D6">
        <w:t>Дейностите на този фонд са насочени към най-тежките и социално най-разрушителни форми на бедността и недоимъка на храна, към бездомността и материалните лишения, засягащи децата, като същевременно се оказва подкрепа за съпътстващи мерки, насочени към социалната реинтеграция на най-нуждаещите се лица. Основна цел на Фонда за европейско подпомагане на най-нуждаещите се лица е намаляването на бедността с крайна цел премахване на най-тежките форми на бедност. С подкрепата на Фонда се подпомагат националните програми, които предоставят нефинансова помощ на най-нуждаещите се лица за облекчаване на хранителния недоимък и тежките материални лишения с цел подпомагане на социалното приобщаване на най-нуждаещите се лица. Фондът също така оказва подкрепа на съпътстващи мерки, които допълват материалната подкрепа и допринасят за социалната реинтеграция на най-нуждаещите се лица.</w:t>
      </w:r>
      <w:r w:rsidRPr="007B48E9">
        <w:rPr>
          <w:color w:val="0070C0"/>
        </w:rPr>
        <w:t xml:space="preserve"> </w:t>
      </w:r>
    </w:p>
    <w:p w14:paraId="12699A5E" w14:textId="1F74ED9E" w:rsidR="00301309" w:rsidRPr="001A35F6" w:rsidRDefault="00301309" w:rsidP="00301309">
      <w:pPr>
        <w:ind w:firstLine="709"/>
        <w:jc w:val="both"/>
        <w:rPr>
          <w:lang w:val="ru-RU"/>
        </w:rPr>
      </w:pPr>
      <w:r w:rsidRPr="001A35F6">
        <w:rPr>
          <w:lang w:val="ru-RU"/>
        </w:rPr>
        <w:t xml:space="preserve">В резултат на допълнително обявените срокове за кандидатстване по процедура </w:t>
      </w:r>
      <w:r w:rsidRPr="00D009D1">
        <w:t>Операция „3.1 – Топъл обяд в условия на пандемията от COVID-19</w:t>
      </w:r>
      <w:r w:rsidRPr="001A35F6">
        <w:rPr>
          <w:lang w:val="ru-RU"/>
        </w:rPr>
        <w:t>, през 2022 г. бяха сключени нови осем договора за директно предоставяне на БФП, чрез които към общия брой лица от целевите групи по сключените пре</w:t>
      </w:r>
      <w:r>
        <w:rPr>
          <w:lang w:val="ru-RU"/>
        </w:rPr>
        <w:t xml:space="preserve">з </w:t>
      </w:r>
      <w:r w:rsidRPr="001A35F6">
        <w:rPr>
          <w:lang w:val="ru-RU"/>
        </w:rPr>
        <w:t>2021 г. договори за предоставяне на БФП се добавиха 3</w:t>
      </w:r>
      <w:r>
        <w:rPr>
          <w:lang w:val="ru-RU"/>
        </w:rPr>
        <w:t xml:space="preserve"> </w:t>
      </w:r>
      <w:r w:rsidRPr="001A35F6">
        <w:rPr>
          <w:lang w:val="ru-RU"/>
        </w:rPr>
        <w:t>190 лица. По този начин общият брой общини и райони на общини, които предоставяха топъл обяд от 01.01.2021 г. до 30.09.2022 т. бяха 223 и обхващаха общо 62 483 лица от допустимите целеви групи. Реално подкрепените лица по Операцията не се отчитат с натрупване в ГД 2022 г., но трябва да се има предвид, че в началото на отчетния период /01.01.2022г./ броят на потребителите на топъл обяд е 53 279 лица, към който прибавяйки броя</w:t>
      </w:r>
      <w:r>
        <w:rPr>
          <w:lang w:val="ru-RU"/>
        </w:rPr>
        <w:t xml:space="preserve"> </w:t>
      </w:r>
      <w:r w:rsidRPr="001A35F6">
        <w:rPr>
          <w:lang w:val="ru-RU"/>
        </w:rPr>
        <w:t>на новите включени потребители през 2022 г. – 14 828, общият брой на получилите подкрепа по Операция „3.1 – Топъл обяд в условия на пандемията от COVID-19“ през 2022</w:t>
      </w:r>
      <w:r>
        <w:rPr>
          <w:lang w:val="ru-RU"/>
        </w:rPr>
        <w:t> </w:t>
      </w:r>
      <w:r w:rsidRPr="001A35F6">
        <w:rPr>
          <w:lang w:val="ru-RU"/>
        </w:rPr>
        <w:t>г. е 68 107 лица.</w:t>
      </w:r>
    </w:p>
    <w:p w14:paraId="7853D46C" w14:textId="4624AEDE" w:rsidR="00301309" w:rsidRPr="001A35F6" w:rsidRDefault="00301309" w:rsidP="00301309">
      <w:pPr>
        <w:jc w:val="both"/>
        <w:rPr>
          <w:lang w:val="ru-RU"/>
        </w:rPr>
      </w:pPr>
      <w:r w:rsidRPr="001A35F6">
        <w:rPr>
          <w:lang w:val="ru-RU"/>
        </w:rPr>
        <w:t xml:space="preserve">Допълняемост между </w:t>
      </w:r>
      <w:r>
        <w:rPr>
          <w:lang w:val="ru-RU"/>
        </w:rPr>
        <w:t>ОПХОМП</w:t>
      </w:r>
      <w:r w:rsidRPr="001A35F6">
        <w:rPr>
          <w:lang w:val="ru-RU"/>
        </w:rPr>
        <w:t xml:space="preserve"> и дейностите, реализирани от Фонд „Социална закрила“</w:t>
      </w:r>
      <w:r w:rsidR="000A0429" w:rsidRPr="00F26A14">
        <w:rPr>
          <w:lang w:val="ru-RU"/>
        </w:rPr>
        <w:t xml:space="preserve"> (</w:t>
      </w:r>
      <w:r w:rsidR="000A0429">
        <w:t>ФСЗ</w:t>
      </w:r>
      <w:r w:rsidR="000A0429" w:rsidRPr="00F26A14">
        <w:rPr>
          <w:lang w:val="ru-RU"/>
        </w:rPr>
        <w:t>)</w:t>
      </w:r>
      <w:r w:rsidRPr="001A35F6">
        <w:rPr>
          <w:lang w:val="ru-RU"/>
        </w:rPr>
        <w:t>.</w:t>
      </w:r>
    </w:p>
    <w:p w14:paraId="43092FFD" w14:textId="77777777" w:rsidR="00301309" w:rsidRPr="001A35F6" w:rsidRDefault="00301309" w:rsidP="00301309">
      <w:pPr>
        <w:ind w:firstLine="709"/>
        <w:jc w:val="both"/>
        <w:rPr>
          <w:lang w:val="ru-RU"/>
        </w:rPr>
      </w:pPr>
      <w:r w:rsidRPr="001A35F6">
        <w:rPr>
          <w:lang w:val="ru-RU"/>
        </w:rPr>
        <w:t>Операция тип 3 „Осигуряване на топъл обяд“ по ОПХ ФЕПНЛ се реализира в контекста на допълване и надграждане на действащата национална програма за подпомагане на обществените трапезарии, финансирана със средства от държавния бюджет чрез фонд „Социална закрила“ към Министерството на труда и социалната политика. Допълняемостта между двата източника на финансиране се реализира като елемент от общата система за социално управление в страната и се изразява в подкрепа за разширяване на създадената от Фонда мрежа от социални трапезарии. Оперативната програме се стреми дейността да се припознае от общините като част от местните мерки за справяне с бедността и да се осигури възможност топъл обяд да се предоставя и в онези общини, в които дейността не е развивана.</w:t>
      </w:r>
    </w:p>
    <w:p w14:paraId="5282E762" w14:textId="77777777" w:rsidR="00301309" w:rsidRPr="001A35F6" w:rsidRDefault="00301309" w:rsidP="00301309">
      <w:pPr>
        <w:ind w:firstLine="709"/>
        <w:jc w:val="both"/>
        <w:rPr>
          <w:lang w:val="ru-RU"/>
        </w:rPr>
      </w:pPr>
      <w:r w:rsidRPr="001A35F6">
        <w:rPr>
          <w:lang w:val="ru-RU"/>
        </w:rPr>
        <w:t>През 2022 г. от Фонд „Социална закрила“ бяха финансирани 28 обществени трапезарии в страната, като за сравнение по ОПХ бяха финансирани трапезарии по 223 проекта. В хода на реализация на операция „3.1 - Топъл обяд в условия на пандемията от COVID-19“ стриктно се следи недопускане на двойно финансиране между двата източника на финансиране.</w:t>
      </w:r>
    </w:p>
    <w:p w14:paraId="516ABD5A" w14:textId="74DB705F" w:rsidR="00301309" w:rsidRPr="001A35F6" w:rsidRDefault="00301309" w:rsidP="00301309">
      <w:pPr>
        <w:ind w:firstLine="709"/>
        <w:jc w:val="both"/>
        <w:rPr>
          <w:lang w:val="ru-RU"/>
        </w:rPr>
      </w:pPr>
      <w:r w:rsidRPr="001A35F6">
        <w:rPr>
          <w:lang w:val="ru-RU"/>
        </w:rPr>
        <w:t>Фонд „Социална закрила“ осигурява и средства за реконструкция и модернизация на</w:t>
      </w:r>
      <w:r>
        <w:rPr>
          <w:lang w:val="ru-RU"/>
        </w:rPr>
        <w:t xml:space="preserve">  </w:t>
      </w:r>
      <w:r w:rsidRPr="001A35F6">
        <w:rPr>
          <w:lang w:val="ru-RU"/>
        </w:rPr>
        <w:t>съществуваща материална база на общинските домашни социални патронажи и трапезарии, в BG 27 BG които най–често се приготвя и топъл обяд по Оперативната програма. В резултат на това много общини могат да развиват дейност и да предоставят топъл обяд на все повече бедни лица в помещения отговарящи на хигиенните норми и изисквания, съгласно националното законодателство.</w:t>
      </w:r>
    </w:p>
    <w:p w14:paraId="06EEFA5F" w14:textId="1B1E152F" w:rsidR="00301309" w:rsidRPr="001A35F6" w:rsidRDefault="00301309" w:rsidP="00301309">
      <w:pPr>
        <w:ind w:firstLine="709"/>
        <w:jc w:val="both"/>
        <w:rPr>
          <w:lang w:val="ru-RU"/>
        </w:rPr>
      </w:pPr>
      <w:r w:rsidRPr="001A35F6">
        <w:rPr>
          <w:lang w:val="ru-RU"/>
        </w:rPr>
        <w:t>За 2022 г. по ФСЗ са финансирани 35 проекта на общини, свързани с ремонт и оборудване на кухни, като 24 (68,</w:t>
      </w:r>
      <w:r>
        <w:rPr>
          <w:lang w:val="ru-RU"/>
        </w:rPr>
        <w:t>6</w:t>
      </w:r>
      <w:r w:rsidRPr="001A35F6">
        <w:rPr>
          <w:lang w:val="ru-RU"/>
        </w:rPr>
        <w:t xml:space="preserve"> %) от тях предоставят топъл обяд по Операция тип 3 по </w:t>
      </w:r>
      <w:r w:rsidR="00261C6F" w:rsidRPr="00FB4590">
        <w:rPr>
          <w:lang w:val="ru-RU"/>
        </w:rPr>
        <w:t>ОПХ ФЕПНЛ</w:t>
      </w:r>
      <w:r w:rsidRPr="001A35F6">
        <w:rPr>
          <w:lang w:val="ru-RU"/>
        </w:rPr>
        <w:t>.</w:t>
      </w:r>
    </w:p>
    <w:p w14:paraId="21F1E668" w14:textId="77777777" w:rsidR="00CC09AC" w:rsidRPr="00C430F7" w:rsidRDefault="00CC09AC" w:rsidP="005A6BC1">
      <w:pPr>
        <w:autoSpaceDE w:val="0"/>
        <w:autoSpaceDN w:val="0"/>
        <w:adjustRightInd w:val="0"/>
        <w:ind w:firstLine="709"/>
        <w:jc w:val="both"/>
      </w:pPr>
      <w:r w:rsidRPr="00C430F7">
        <w:rPr>
          <w:b/>
          <w:i/>
        </w:rPr>
        <w:t xml:space="preserve">Оперативна програма „Региони в растеж </w:t>
      </w:r>
      <w:r w:rsidRPr="00C430F7">
        <w:t>(13,6 млн. лв.</w:t>
      </w:r>
      <w:r>
        <w:t>, като изразходваните средства са основно от програмен период 2014-2020 г.</w:t>
      </w:r>
      <w:r w:rsidRPr="00C430F7">
        <w:t xml:space="preserve">) – </w:t>
      </w:r>
      <w:r w:rsidRPr="00C430F7">
        <w:rPr>
          <w:bCs/>
        </w:rPr>
        <w:t xml:space="preserve">един от основните приоритети на програмата в това  функционално направление е свързан с регионалната социална инфраструктура и е </w:t>
      </w:r>
      <w:r w:rsidRPr="00C430F7">
        <w:rPr>
          <w:rFonts w:hint="eastAsia"/>
        </w:rPr>
        <w:t>насочен</w:t>
      </w:r>
      <w:r w:rsidRPr="00C430F7">
        <w:t xml:space="preserve"> </w:t>
      </w:r>
      <w:r w:rsidRPr="00C430F7">
        <w:rPr>
          <w:rFonts w:hint="eastAsia"/>
        </w:rPr>
        <w:t>към</w:t>
      </w:r>
      <w:r w:rsidRPr="00C430F7">
        <w:t xml:space="preserve"> </w:t>
      </w:r>
      <w:r w:rsidRPr="00C430F7">
        <w:rPr>
          <w:rFonts w:hint="eastAsia"/>
        </w:rPr>
        <w:t>продължаване</w:t>
      </w:r>
      <w:r w:rsidRPr="00C430F7">
        <w:t xml:space="preserve"> </w:t>
      </w:r>
      <w:r w:rsidRPr="00C430F7">
        <w:rPr>
          <w:rFonts w:hint="eastAsia"/>
        </w:rPr>
        <w:t>и</w:t>
      </w:r>
      <w:r w:rsidRPr="00C430F7">
        <w:t xml:space="preserve"> </w:t>
      </w:r>
      <w:r w:rsidRPr="00C430F7">
        <w:rPr>
          <w:rFonts w:hint="eastAsia"/>
        </w:rPr>
        <w:t>доразвиване</w:t>
      </w:r>
      <w:r w:rsidRPr="00C430F7">
        <w:t xml:space="preserve"> </w:t>
      </w:r>
      <w:r w:rsidRPr="00C430F7">
        <w:rPr>
          <w:rFonts w:hint="eastAsia"/>
        </w:rPr>
        <w:t>на</w:t>
      </w:r>
      <w:r w:rsidRPr="00C430F7">
        <w:t xml:space="preserve"> </w:t>
      </w:r>
      <w:r w:rsidRPr="00C430F7">
        <w:rPr>
          <w:rFonts w:hint="eastAsia"/>
        </w:rPr>
        <w:t>процеса</w:t>
      </w:r>
      <w:r w:rsidRPr="00C430F7">
        <w:t xml:space="preserve"> </w:t>
      </w:r>
      <w:r w:rsidRPr="00C430F7">
        <w:rPr>
          <w:rFonts w:hint="eastAsia"/>
        </w:rPr>
        <w:t>на</w:t>
      </w:r>
      <w:r w:rsidRPr="00C430F7">
        <w:t xml:space="preserve"> </w:t>
      </w:r>
      <w:r w:rsidRPr="00C430F7">
        <w:rPr>
          <w:rFonts w:hint="eastAsia"/>
        </w:rPr>
        <w:t>деинституционализация</w:t>
      </w:r>
      <w:r w:rsidRPr="00C430F7">
        <w:t xml:space="preserve"> </w:t>
      </w:r>
      <w:r w:rsidRPr="00C430F7">
        <w:rPr>
          <w:rFonts w:hint="eastAsia"/>
        </w:rPr>
        <w:t>на</w:t>
      </w:r>
      <w:r w:rsidRPr="00C430F7">
        <w:t xml:space="preserve"> </w:t>
      </w:r>
      <w:r w:rsidRPr="00C430F7">
        <w:rPr>
          <w:rFonts w:hint="eastAsia"/>
        </w:rPr>
        <w:t>социалните</w:t>
      </w:r>
      <w:r w:rsidRPr="00C430F7">
        <w:t xml:space="preserve"> </w:t>
      </w:r>
      <w:r w:rsidRPr="00C430F7">
        <w:rPr>
          <w:rFonts w:hint="eastAsia"/>
        </w:rPr>
        <w:t>услуги</w:t>
      </w:r>
      <w:r w:rsidRPr="00C430F7">
        <w:t xml:space="preserve"> </w:t>
      </w:r>
      <w:r w:rsidRPr="00C430F7">
        <w:rPr>
          <w:rFonts w:hint="eastAsia"/>
        </w:rPr>
        <w:t>за</w:t>
      </w:r>
      <w:r w:rsidRPr="00C430F7">
        <w:t xml:space="preserve"> </w:t>
      </w:r>
      <w:r w:rsidRPr="00C430F7">
        <w:rPr>
          <w:rFonts w:hint="eastAsia"/>
        </w:rPr>
        <w:t>децата</w:t>
      </w:r>
      <w:r w:rsidRPr="00C430F7">
        <w:t xml:space="preserve"> </w:t>
      </w:r>
      <w:r w:rsidRPr="00C430F7">
        <w:rPr>
          <w:rFonts w:hint="eastAsia"/>
        </w:rPr>
        <w:t>и</w:t>
      </w:r>
      <w:r w:rsidRPr="00C430F7">
        <w:t xml:space="preserve"> </w:t>
      </w:r>
      <w:r w:rsidRPr="00C430F7">
        <w:rPr>
          <w:rFonts w:hint="eastAsia"/>
        </w:rPr>
        <w:t>възрастните</w:t>
      </w:r>
      <w:r w:rsidRPr="00C430F7">
        <w:t xml:space="preserve"> </w:t>
      </w:r>
      <w:r w:rsidRPr="00C430F7">
        <w:rPr>
          <w:rFonts w:hint="eastAsia"/>
        </w:rPr>
        <w:t>хора</w:t>
      </w:r>
      <w:r w:rsidRPr="00C430F7">
        <w:t xml:space="preserve">. Дейностите са насочени към осигуряване на </w:t>
      </w:r>
      <w:r w:rsidRPr="00C430F7">
        <w:rPr>
          <w:rFonts w:hint="eastAsia"/>
        </w:rPr>
        <w:t>заетост</w:t>
      </w:r>
      <w:r w:rsidRPr="00C430F7">
        <w:t xml:space="preserve"> и </w:t>
      </w:r>
      <w:r w:rsidRPr="00C430F7">
        <w:rPr>
          <w:rFonts w:hint="eastAsia"/>
        </w:rPr>
        <w:t>социално</w:t>
      </w:r>
      <w:r w:rsidRPr="00C430F7">
        <w:t xml:space="preserve"> </w:t>
      </w:r>
      <w:r w:rsidRPr="00C430F7">
        <w:rPr>
          <w:rFonts w:hint="eastAsia"/>
        </w:rPr>
        <w:t>включване</w:t>
      </w:r>
      <w:r w:rsidRPr="00C430F7">
        <w:t xml:space="preserve"> </w:t>
      </w:r>
      <w:r w:rsidRPr="00C430F7">
        <w:rPr>
          <w:rFonts w:hint="eastAsia"/>
        </w:rPr>
        <w:t>в</w:t>
      </w:r>
      <w:r w:rsidRPr="00C430F7">
        <w:t xml:space="preserve"> </w:t>
      </w:r>
      <w:r w:rsidRPr="00C430F7">
        <w:rPr>
          <w:rFonts w:hint="eastAsia"/>
        </w:rPr>
        <w:t>частта</w:t>
      </w:r>
      <w:r w:rsidRPr="00C430F7">
        <w:t xml:space="preserve"> </w:t>
      </w:r>
      <w:r w:rsidRPr="00C430F7">
        <w:rPr>
          <w:rFonts w:hint="eastAsia"/>
        </w:rPr>
        <w:t>относно</w:t>
      </w:r>
      <w:r w:rsidRPr="00C430F7">
        <w:t xml:space="preserve"> </w:t>
      </w:r>
      <w:r w:rsidRPr="00C430F7">
        <w:rPr>
          <w:rFonts w:hint="eastAsia"/>
        </w:rPr>
        <w:t>премахване</w:t>
      </w:r>
      <w:r w:rsidRPr="00C430F7">
        <w:t xml:space="preserve"> </w:t>
      </w:r>
      <w:r w:rsidRPr="00C430F7">
        <w:rPr>
          <w:rFonts w:hint="eastAsia"/>
        </w:rPr>
        <w:t>на</w:t>
      </w:r>
      <w:r w:rsidRPr="00C430F7">
        <w:t xml:space="preserve"> </w:t>
      </w:r>
      <w:r w:rsidRPr="00C430F7">
        <w:rPr>
          <w:rFonts w:hint="eastAsia"/>
        </w:rPr>
        <w:t>институционалния</w:t>
      </w:r>
      <w:r w:rsidRPr="00C430F7">
        <w:t xml:space="preserve"> </w:t>
      </w:r>
      <w:r w:rsidRPr="00C430F7">
        <w:rPr>
          <w:rFonts w:hint="eastAsia"/>
        </w:rPr>
        <w:t>модел</w:t>
      </w:r>
      <w:r w:rsidRPr="00C430F7">
        <w:t xml:space="preserve"> </w:t>
      </w:r>
      <w:r w:rsidRPr="00C430F7">
        <w:rPr>
          <w:rFonts w:hint="eastAsia"/>
        </w:rPr>
        <w:t>на</w:t>
      </w:r>
      <w:r w:rsidRPr="00C430F7">
        <w:t xml:space="preserve"> </w:t>
      </w:r>
      <w:r w:rsidRPr="00C430F7">
        <w:rPr>
          <w:rFonts w:hint="eastAsia"/>
        </w:rPr>
        <w:t>грижа</w:t>
      </w:r>
      <w:r w:rsidRPr="00C430F7">
        <w:t xml:space="preserve"> </w:t>
      </w:r>
      <w:r w:rsidRPr="00C430F7">
        <w:rPr>
          <w:rFonts w:hint="eastAsia"/>
        </w:rPr>
        <w:t>и</w:t>
      </w:r>
      <w:r w:rsidRPr="00C430F7">
        <w:t xml:space="preserve"> </w:t>
      </w:r>
      <w:r w:rsidRPr="00C430F7">
        <w:rPr>
          <w:rFonts w:hint="eastAsia"/>
        </w:rPr>
        <w:t>развитие</w:t>
      </w:r>
      <w:r w:rsidRPr="00C430F7">
        <w:t xml:space="preserve"> </w:t>
      </w:r>
      <w:r w:rsidRPr="00C430F7">
        <w:rPr>
          <w:rFonts w:hint="eastAsia"/>
        </w:rPr>
        <w:t>на</w:t>
      </w:r>
      <w:r w:rsidRPr="00C430F7">
        <w:t xml:space="preserve"> </w:t>
      </w:r>
      <w:r w:rsidRPr="00C430F7">
        <w:rPr>
          <w:rFonts w:hint="eastAsia"/>
        </w:rPr>
        <w:t>интегрирани</w:t>
      </w:r>
      <w:r w:rsidRPr="00C430F7">
        <w:t xml:space="preserve"> </w:t>
      </w:r>
      <w:r w:rsidRPr="00C430F7">
        <w:rPr>
          <w:rFonts w:hint="eastAsia"/>
        </w:rPr>
        <w:t>междусекторни</w:t>
      </w:r>
      <w:r w:rsidRPr="00C430F7">
        <w:t xml:space="preserve"> </w:t>
      </w:r>
      <w:r w:rsidRPr="00C430F7">
        <w:rPr>
          <w:rFonts w:hint="eastAsia"/>
        </w:rPr>
        <w:t>услуги</w:t>
      </w:r>
      <w:r w:rsidRPr="00C430F7">
        <w:t xml:space="preserve"> </w:t>
      </w:r>
      <w:r w:rsidRPr="00C430F7">
        <w:rPr>
          <w:rFonts w:hint="eastAsia"/>
        </w:rPr>
        <w:t>за</w:t>
      </w:r>
      <w:r w:rsidRPr="00C430F7">
        <w:t xml:space="preserve"> </w:t>
      </w:r>
      <w:r w:rsidRPr="00C430F7">
        <w:rPr>
          <w:rFonts w:hint="eastAsia"/>
        </w:rPr>
        <w:t>социално</w:t>
      </w:r>
      <w:r w:rsidRPr="00C430F7">
        <w:t xml:space="preserve"> </w:t>
      </w:r>
      <w:r w:rsidRPr="00C430F7">
        <w:rPr>
          <w:rFonts w:hint="eastAsia"/>
        </w:rPr>
        <w:t>включване</w:t>
      </w:r>
      <w:r w:rsidRPr="00C430F7">
        <w:t xml:space="preserve">: </w:t>
      </w:r>
      <w:r w:rsidRPr="00C430F7">
        <w:rPr>
          <w:rFonts w:hint="eastAsia"/>
        </w:rPr>
        <w:t>деинституционализация</w:t>
      </w:r>
      <w:r w:rsidRPr="00C430F7">
        <w:t xml:space="preserve"> </w:t>
      </w:r>
      <w:r w:rsidRPr="00C430F7">
        <w:rPr>
          <w:rFonts w:hint="eastAsia"/>
        </w:rPr>
        <w:t>на</w:t>
      </w:r>
      <w:r w:rsidRPr="00C430F7">
        <w:t xml:space="preserve"> </w:t>
      </w:r>
      <w:r w:rsidRPr="00C430F7">
        <w:rPr>
          <w:rFonts w:hint="eastAsia"/>
        </w:rPr>
        <w:t>грижата</w:t>
      </w:r>
      <w:r w:rsidRPr="00C430F7">
        <w:t xml:space="preserve"> </w:t>
      </w:r>
      <w:r w:rsidRPr="00C430F7">
        <w:rPr>
          <w:rFonts w:hint="eastAsia"/>
        </w:rPr>
        <w:t>за</w:t>
      </w:r>
      <w:r w:rsidRPr="00C430F7">
        <w:t xml:space="preserve"> </w:t>
      </w:r>
      <w:r w:rsidRPr="00C430F7">
        <w:rPr>
          <w:rFonts w:hint="eastAsia"/>
        </w:rPr>
        <w:t>деца</w:t>
      </w:r>
      <w:r w:rsidRPr="00C430F7">
        <w:t xml:space="preserve"> </w:t>
      </w:r>
      <w:r w:rsidRPr="00C430F7">
        <w:rPr>
          <w:rFonts w:hint="eastAsia"/>
        </w:rPr>
        <w:t>чрез</w:t>
      </w:r>
      <w:r w:rsidRPr="00C430F7">
        <w:t xml:space="preserve"> </w:t>
      </w:r>
      <w:r w:rsidRPr="00C430F7">
        <w:rPr>
          <w:rFonts w:hint="eastAsia"/>
        </w:rPr>
        <w:t>закриване</w:t>
      </w:r>
      <w:r w:rsidRPr="00C430F7">
        <w:t xml:space="preserve"> </w:t>
      </w:r>
      <w:r w:rsidRPr="00C430F7">
        <w:rPr>
          <w:rFonts w:hint="eastAsia"/>
        </w:rPr>
        <w:t>на</w:t>
      </w:r>
      <w:r w:rsidRPr="00C430F7">
        <w:t xml:space="preserve"> </w:t>
      </w:r>
      <w:r w:rsidRPr="00C430F7">
        <w:rPr>
          <w:rFonts w:hint="eastAsia"/>
        </w:rPr>
        <w:t>съществуващите</w:t>
      </w:r>
      <w:r w:rsidRPr="00C430F7">
        <w:t xml:space="preserve"> </w:t>
      </w:r>
      <w:r w:rsidRPr="00C430F7">
        <w:rPr>
          <w:rFonts w:hint="eastAsia"/>
        </w:rPr>
        <w:t>специализирани</w:t>
      </w:r>
      <w:r w:rsidRPr="00C430F7">
        <w:t xml:space="preserve"> </w:t>
      </w:r>
      <w:r w:rsidRPr="00C430F7">
        <w:rPr>
          <w:rFonts w:hint="eastAsia"/>
        </w:rPr>
        <w:t>институции</w:t>
      </w:r>
      <w:r w:rsidRPr="00C430F7">
        <w:t xml:space="preserve"> </w:t>
      </w:r>
      <w:r w:rsidRPr="00C430F7">
        <w:rPr>
          <w:rFonts w:hint="eastAsia"/>
        </w:rPr>
        <w:t>и</w:t>
      </w:r>
      <w:r w:rsidRPr="00C430F7">
        <w:t xml:space="preserve"> </w:t>
      </w:r>
      <w:r w:rsidRPr="00C430F7">
        <w:rPr>
          <w:rFonts w:hint="eastAsia"/>
        </w:rPr>
        <w:t>развитие</w:t>
      </w:r>
      <w:r w:rsidRPr="00C430F7">
        <w:t xml:space="preserve"> </w:t>
      </w:r>
      <w:r w:rsidRPr="00C430F7">
        <w:rPr>
          <w:rFonts w:hint="eastAsia"/>
        </w:rPr>
        <w:t>на</w:t>
      </w:r>
      <w:r w:rsidRPr="00C430F7">
        <w:t xml:space="preserve"> </w:t>
      </w:r>
      <w:r w:rsidRPr="00C430F7">
        <w:rPr>
          <w:rFonts w:hint="eastAsia"/>
        </w:rPr>
        <w:t>превантивни</w:t>
      </w:r>
      <w:r w:rsidRPr="00C430F7">
        <w:t xml:space="preserve"> </w:t>
      </w:r>
      <w:r w:rsidRPr="00C430F7">
        <w:rPr>
          <w:rFonts w:hint="eastAsia"/>
        </w:rPr>
        <w:t>и</w:t>
      </w:r>
      <w:r w:rsidRPr="00C430F7">
        <w:t xml:space="preserve"> </w:t>
      </w:r>
      <w:r w:rsidRPr="00C430F7">
        <w:rPr>
          <w:rFonts w:hint="eastAsia"/>
        </w:rPr>
        <w:t>алтернативни</w:t>
      </w:r>
      <w:r w:rsidRPr="00C430F7">
        <w:t xml:space="preserve"> </w:t>
      </w:r>
      <w:r w:rsidRPr="00C430F7">
        <w:rPr>
          <w:rFonts w:hint="eastAsia"/>
        </w:rPr>
        <w:t>форми</w:t>
      </w:r>
      <w:r w:rsidRPr="00C430F7">
        <w:t xml:space="preserve"> </w:t>
      </w:r>
      <w:r w:rsidRPr="00C430F7">
        <w:rPr>
          <w:rFonts w:hint="eastAsia"/>
        </w:rPr>
        <w:t>на</w:t>
      </w:r>
      <w:r w:rsidRPr="00C430F7">
        <w:t xml:space="preserve"> </w:t>
      </w:r>
      <w:r w:rsidRPr="00C430F7">
        <w:rPr>
          <w:rFonts w:hint="eastAsia"/>
        </w:rPr>
        <w:t>грижа</w:t>
      </w:r>
      <w:r w:rsidRPr="00C430F7">
        <w:t xml:space="preserve"> </w:t>
      </w:r>
      <w:r w:rsidRPr="00C430F7">
        <w:rPr>
          <w:rFonts w:hint="eastAsia"/>
        </w:rPr>
        <w:t>и</w:t>
      </w:r>
      <w:r w:rsidRPr="00C430F7">
        <w:t xml:space="preserve"> </w:t>
      </w:r>
      <w:r w:rsidRPr="00C430F7">
        <w:rPr>
          <w:rFonts w:hint="eastAsia"/>
        </w:rPr>
        <w:t>услуги</w:t>
      </w:r>
      <w:r w:rsidRPr="00C430F7">
        <w:t xml:space="preserve">; </w:t>
      </w:r>
      <w:r w:rsidRPr="00C430F7">
        <w:rPr>
          <w:rFonts w:hint="eastAsia"/>
        </w:rPr>
        <w:t>премахване</w:t>
      </w:r>
      <w:r w:rsidRPr="00C430F7">
        <w:t xml:space="preserve"> </w:t>
      </w:r>
      <w:r w:rsidRPr="00C430F7">
        <w:rPr>
          <w:rFonts w:hint="eastAsia"/>
        </w:rPr>
        <w:t>на</w:t>
      </w:r>
      <w:r w:rsidRPr="00C430F7">
        <w:t xml:space="preserve"> </w:t>
      </w:r>
      <w:r w:rsidRPr="00C430F7">
        <w:rPr>
          <w:rFonts w:hint="eastAsia"/>
        </w:rPr>
        <w:t>институционалния</w:t>
      </w:r>
      <w:r w:rsidRPr="00C430F7">
        <w:t xml:space="preserve"> </w:t>
      </w:r>
      <w:r w:rsidRPr="00C430F7">
        <w:rPr>
          <w:rFonts w:hint="eastAsia"/>
        </w:rPr>
        <w:t>модел</w:t>
      </w:r>
      <w:r w:rsidRPr="00C430F7">
        <w:t xml:space="preserve"> </w:t>
      </w:r>
      <w:r w:rsidRPr="00C430F7">
        <w:rPr>
          <w:rFonts w:hint="eastAsia"/>
        </w:rPr>
        <w:t>на</w:t>
      </w:r>
      <w:r w:rsidRPr="00C430F7">
        <w:t xml:space="preserve"> </w:t>
      </w:r>
      <w:r w:rsidRPr="00C430F7">
        <w:rPr>
          <w:rFonts w:hint="eastAsia"/>
        </w:rPr>
        <w:t>грижа</w:t>
      </w:r>
      <w:r w:rsidRPr="00C430F7">
        <w:t xml:space="preserve"> </w:t>
      </w:r>
      <w:r w:rsidRPr="00C430F7">
        <w:rPr>
          <w:rFonts w:hint="eastAsia"/>
        </w:rPr>
        <w:t>за</w:t>
      </w:r>
      <w:r w:rsidRPr="00C430F7">
        <w:t xml:space="preserve"> </w:t>
      </w:r>
      <w:r w:rsidRPr="00C430F7">
        <w:rPr>
          <w:rFonts w:hint="eastAsia"/>
        </w:rPr>
        <w:t>възрастните</w:t>
      </w:r>
      <w:r w:rsidRPr="00C430F7">
        <w:t xml:space="preserve"> </w:t>
      </w:r>
      <w:r w:rsidRPr="00C430F7">
        <w:rPr>
          <w:rFonts w:hint="eastAsia"/>
        </w:rPr>
        <w:t>хора</w:t>
      </w:r>
      <w:r w:rsidRPr="00C430F7">
        <w:t xml:space="preserve"> </w:t>
      </w:r>
      <w:r w:rsidRPr="00C430F7">
        <w:rPr>
          <w:rFonts w:hint="eastAsia"/>
        </w:rPr>
        <w:t>и</w:t>
      </w:r>
      <w:r w:rsidRPr="00C430F7">
        <w:t xml:space="preserve"> </w:t>
      </w:r>
      <w:r w:rsidRPr="00C430F7">
        <w:rPr>
          <w:rFonts w:hint="eastAsia"/>
        </w:rPr>
        <w:t>хората</w:t>
      </w:r>
      <w:r w:rsidRPr="00C430F7">
        <w:t xml:space="preserve"> </w:t>
      </w:r>
      <w:r w:rsidRPr="00C430F7">
        <w:rPr>
          <w:rFonts w:hint="eastAsia"/>
        </w:rPr>
        <w:t>с</w:t>
      </w:r>
      <w:r w:rsidRPr="00C430F7">
        <w:t xml:space="preserve"> </w:t>
      </w:r>
      <w:r w:rsidRPr="00C430F7">
        <w:rPr>
          <w:rFonts w:hint="eastAsia"/>
        </w:rPr>
        <w:t>увреждания</w:t>
      </w:r>
      <w:r w:rsidRPr="00C430F7">
        <w:t xml:space="preserve"> </w:t>
      </w:r>
      <w:r w:rsidRPr="00C430F7">
        <w:rPr>
          <w:rFonts w:hint="eastAsia"/>
        </w:rPr>
        <w:t>чрез</w:t>
      </w:r>
      <w:r w:rsidRPr="00C430F7">
        <w:t xml:space="preserve"> </w:t>
      </w:r>
      <w:r w:rsidRPr="00C430F7">
        <w:rPr>
          <w:rFonts w:hint="eastAsia"/>
        </w:rPr>
        <w:t>развитие</w:t>
      </w:r>
      <w:r w:rsidRPr="00C430F7">
        <w:t xml:space="preserve"> </w:t>
      </w:r>
      <w:r w:rsidRPr="00C430F7">
        <w:rPr>
          <w:rFonts w:hint="eastAsia"/>
        </w:rPr>
        <w:t>на</w:t>
      </w:r>
      <w:r w:rsidRPr="00C430F7">
        <w:t xml:space="preserve"> </w:t>
      </w:r>
      <w:r w:rsidRPr="00C430F7">
        <w:rPr>
          <w:rFonts w:hint="eastAsia"/>
        </w:rPr>
        <w:t>услуги</w:t>
      </w:r>
      <w:r w:rsidRPr="00C430F7">
        <w:t xml:space="preserve"> </w:t>
      </w:r>
      <w:r w:rsidRPr="00C430F7">
        <w:rPr>
          <w:rFonts w:hint="eastAsia"/>
        </w:rPr>
        <w:t>за</w:t>
      </w:r>
      <w:r w:rsidRPr="00C430F7">
        <w:t xml:space="preserve"> </w:t>
      </w:r>
      <w:r w:rsidRPr="00C430F7">
        <w:rPr>
          <w:rFonts w:hint="eastAsia"/>
        </w:rPr>
        <w:t>дългосрочна</w:t>
      </w:r>
      <w:r w:rsidRPr="00C430F7">
        <w:t xml:space="preserve"> </w:t>
      </w:r>
      <w:r w:rsidRPr="00C430F7">
        <w:rPr>
          <w:rFonts w:hint="eastAsia"/>
        </w:rPr>
        <w:t>грижа</w:t>
      </w:r>
      <w:r w:rsidRPr="00C430F7">
        <w:t xml:space="preserve"> </w:t>
      </w:r>
      <w:r w:rsidRPr="00C430F7">
        <w:rPr>
          <w:rFonts w:hint="eastAsia"/>
        </w:rPr>
        <w:t>и</w:t>
      </w:r>
      <w:r w:rsidRPr="00C430F7">
        <w:t xml:space="preserve"> </w:t>
      </w:r>
      <w:r w:rsidRPr="00C430F7">
        <w:rPr>
          <w:rFonts w:hint="eastAsia"/>
        </w:rPr>
        <w:t>междусекторни</w:t>
      </w:r>
      <w:r w:rsidRPr="00C430F7">
        <w:t xml:space="preserve"> </w:t>
      </w:r>
      <w:r w:rsidRPr="00C430F7">
        <w:rPr>
          <w:rFonts w:hint="eastAsia"/>
        </w:rPr>
        <w:t>услуги</w:t>
      </w:r>
      <w:r w:rsidRPr="00C430F7">
        <w:t xml:space="preserve">; </w:t>
      </w:r>
      <w:r w:rsidRPr="00C430F7">
        <w:rPr>
          <w:rFonts w:hint="eastAsia"/>
        </w:rPr>
        <w:t>предоставяне</w:t>
      </w:r>
      <w:r w:rsidRPr="00C430F7">
        <w:t xml:space="preserve"> </w:t>
      </w:r>
      <w:r w:rsidRPr="00C430F7">
        <w:rPr>
          <w:rFonts w:hint="eastAsia"/>
        </w:rPr>
        <w:t>на</w:t>
      </w:r>
      <w:r w:rsidRPr="00C430F7">
        <w:t xml:space="preserve"> </w:t>
      </w:r>
      <w:r w:rsidRPr="00C430F7">
        <w:rPr>
          <w:rFonts w:hint="eastAsia"/>
        </w:rPr>
        <w:t>устойчиви</w:t>
      </w:r>
      <w:r w:rsidRPr="00C430F7">
        <w:t xml:space="preserve">, </w:t>
      </w:r>
      <w:r w:rsidRPr="00C430F7">
        <w:rPr>
          <w:rFonts w:hint="eastAsia"/>
        </w:rPr>
        <w:t>качествени</w:t>
      </w:r>
      <w:r w:rsidRPr="00C430F7">
        <w:t xml:space="preserve"> </w:t>
      </w:r>
      <w:r w:rsidRPr="00C430F7">
        <w:rPr>
          <w:rFonts w:hint="eastAsia"/>
        </w:rPr>
        <w:t>и</w:t>
      </w:r>
      <w:r w:rsidRPr="00C430F7">
        <w:t xml:space="preserve"> </w:t>
      </w:r>
      <w:r w:rsidRPr="00C430F7">
        <w:rPr>
          <w:rFonts w:hint="eastAsia"/>
        </w:rPr>
        <w:t>достъпни</w:t>
      </w:r>
      <w:r w:rsidRPr="00C430F7">
        <w:t xml:space="preserve"> </w:t>
      </w:r>
      <w:r w:rsidRPr="00C430F7">
        <w:rPr>
          <w:rFonts w:hint="eastAsia"/>
        </w:rPr>
        <w:t>социални</w:t>
      </w:r>
      <w:r w:rsidRPr="00C430F7">
        <w:t xml:space="preserve"> </w:t>
      </w:r>
      <w:r w:rsidRPr="00C430F7">
        <w:rPr>
          <w:rFonts w:hint="eastAsia"/>
        </w:rPr>
        <w:t>услуги</w:t>
      </w:r>
      <w:r w:rsidRPr="00C430F7">
        <w:t xml:space="preserve"> </w:t>
      </w:r>
      <w:r w:rsidRPr="00C430F7">
        <w:rPr>
          <w:rFonts w:hint="eastAsia"/>
        </w:rPr>
        <w:t>в</w:t>
      </w:r>
      <w:r w:rsidRPr="00C430F7">
        <w:t xml:space="preserve"> </w:t>
      </w:r>
      <w:r w:rsidRPr="00C430F7">
        <w:rPr>
          <w:rFonts w:hint="eastAsia"/>
        </w:rPr>
        <w:t>общността</w:t>
      </w:r>
      <w:r w:rsidRPr="00C430F7">
        <w:t xml:space="preserve">, </w:t>
      </w:r>
      <w:r w:rsidRPr="00C430F7">
        <w:rPr>
          <w:rFonts w:hint="eastAsia"/>
        </w:rPr>
        <w:t>отговарящи</w:t>
      </w:r>
      <w:r w:rsidRPr="00C430F7">
        <w:t xml:space="preserve"> </w:t>
      </w:r>
      <w:r w:rsidRPr="00C430F7">
        <w:rPr>
          <w:rFonts w:hint="eastAsia"/>
        </w:rPr>
        <w:t>на</w:t>
      </w:r>
      <w:r w:rsidRPr="00C430F7">
        <w:t xml:space="preserve"> </w:t>
      </w:r>
      <w:r w:rsidRPr="00C430F7">
        <w:rPr>
          <w:rFonts w:hint="eastAsia"/>
        </w:rPr>
        <w:t>индивидуалните</w:t>
      </w:r>
      <w:r w:rsidRPr="00C430F7">
        <w:t xml:space="preserve"> </w:t>
      </w:r>
      <w:r w:rsidRPr="00C430F7">
        <w:rPr>
          <w:rFonts w:hint="eastAsia"/>
        </w:rPr>
        <w:t>потребности</w:t>
      </w:r>
      <w:r w:rsidRPr="00C430F7">
        <w:t xml:space="preserve">; </w:t>
      </w:r>
      <w:r w:rsidRPr="00C430F7">
        <w:rPr>
          <w:rFonts w:hint="eastAsia"/>
        </w:rPr>
        <w:t>развитие</w:t>
      </w:r>
      <w:r w:rsidRPr="00C430F7">
        <w:t xml:space="preserve"> </w:t>
      </w:r>
      <w:r w:rsidRPr="00C430F7">
        <w:rPr>
          <w:rFonts w:hint="eastAsia"/>
        </w:rPr>
        <w:t>на</w:t>
      </w:r>
      <w:r w:rsidRPr="00C430F7">
        <w:t xml:space="preserve"> </w:t>
      </w:r>
      <w:r w:rsidRPr="00C430F7">
        <w:rPr>
          <w:rFonts w:hint="eastAsia"/>
        </w:rPr>
        <w:t>мрежа</w:t>
      </w:r>
      <w:r w:rsidRPr="00C430F7">
        <w:t xml:space="preserve"> </w:t>
      </w:r>
      <w:r w:rsidRPr="00C430F7">
        <w:rPr>
          <w:rFonts w:hint="eastAsia"/>
        </w:rPr>
        <w:t>от</w:t>
      </w:r>
      <w:r w:rsidRPr="00C430F7">
        <w:t xml:space="preserve"> </w:t>
      </w:r>
      <w:r w:rsidRPr="00C430F7">
        <w:rPr>
          <w:rFonts w:hint="eastAsia"/>
        </w:rPr>
        <w:t>услуги</w:t>
      </w:r>
      <w:r w:rsidRPr="00C430F7">
        <w:t xml:space="preserve"> </w:t>
      </w:r>
      <w:r w:rsidRPr="00C430F7">
        <w:rPr>
          <w:rFonts w:hint="eastAsia"/>
        </w:rPr>
        <w:t>в</w:t>
      </w:r>
      <w:r w:rsidRPr="00C430F7">
        <w:t xml:space="preserve"> </w:t>
      </w:r>
      <w:r w:rsidRPr="00C430F7">
        <w:rPr>
          <w:rFonts w:hint="eastAsia"/>
        </w:rPr>
        <w:t>семейна</w:t>
      </w:r>
      <w:r w:rsidRPr="00C430F7">
        <w:t xml:space="preserve"> </w:t>
      </w:r>
      <w:r w:rsidRPr="00C430F7">
        <w:rPr>
          <w:rFonts w:hint="eastAsia"/>
        </w:rPr>
        <w:t>или</w:t>
      </w:r>
      <w:r w:rsidRPr="00C430F7">
        <w:t xml:space="preserve"> </w:t>
      </w:r>
      <w:r w:rsidRPr="00C430F7">
        <w:rPr>
          <w:rFonts w:hint="eastAsia"/>
        </w:rPr>
        <w:t>близка</w:t>
      </w:r>
      <w:r w:rsidRPr="00C430F7">
        <w:t xml:space="preserve"> </w:t>
      </w:r>
      <w:r w:rsidRPr="00C430F7">
        <w:rPr>
          <w:rFonts w:hint="eastAsia"/>
        </w:rPr>
        <w:t>до</w:t>
      </w:r>
      <w:r w:rsidRPr="00C430F7">
        <w:t xml:space="preserve"> </w:t>
      </w:r>
      <w:r w:rsidRPr="00C430F7">
        <w:rPr>
          <w:rFonts w:hint="eastAsia"/>
        </w:rPr>
        <w:t>семейната</w:t>
      </w:r>
      <w:r w:rsidRPr="00C430F7">
        <w:t xml:space="preserve"> </w:t>
      </w:r>
      <w:r w:rsidRPr="00C430F7">
        <w:rPr>
          <w:rFonts w:hint="eastAsia"/>
        </w:rPr>
        <w:t>среда</w:t>
      </w:r>
      <w:r w:rsidRPr="00C430F7">
        <w:t xml:space="preserve"> </w:t>
      </w:r>
      <w:r w:rsidRPr="00C430F7">
        <w:rPr>
          <w:rFonts w:hint="eastAsia"/>
        </w:rPr>
        <w:t>за</w:t>
      </w:r>
      <w:r w:rsidRPr="00C430F7">
        <w:t xml:space="preserve"> </w:t>
      </w:r>
      <w:r w:rsidRPr="00C430F7">
        <w:rPr>
          <w:rFonts w:hint="eastAsia"/>
        </w:rPr>
        <w:t>деца</w:t>
      </w:r>
      <w:r w:rsidRPr="00C430F7">
        <w:t xml:space="preserve">, </w:t>
      </w:r>
      <w:r w:rsidRPr="00C430F7">
        <w:rPr>
          <w:rFonts w:hint="eastAsia"/>
        </w:rPr>
        <w:t>хора</w:t>
      </w:r>
      <w:r w:rsidRPr="00C430F7">
        <w:t xml:space="preserve"> </w:t>
      </w:r>
      <w:r w:rsidRPr="00C430F7">
        <w:rPr>
          <w:rFonts w:hint="eastAsia"/>
        </w:rPr>
        <w:t>с</w:t>
      </w:r>
      <w:r w:rsidRPr="00C430F7">
        <w:t xml:space="preserve"> </w:t>
      </w:r>
      <w:r w:rsidRPr="00C430F7">
        <w:rPr>
          <w:rFonts w:hint="eastAsia"/>
        </w:rPr>
        <w:t>увреждания</w:t>
      </w:r>
      <w:r w:rsidRPr="00C430F7">
        <w:t xml:space="preserve"> </w:t>
      </w:r>
      <w:r w:rsidRPr="00C430F7">
        <w:rPr>
          <w:rFonts w:hint="eastAsia"/>
        </w:rPr>
        <w:t>и</w:t>
      </w:r>
      <w:r w:rsidRPr="00C430F7">
        <w:t xml:space="preserve"> </w:t>
      </w:r>
      <w:r w:rsidRPr="00C430F7">
        <w:rPr>
          <w:rFonts w:hint="eastAsia"/>
        </w:rPr>
        <w:t>възрастни</w:t>
      </w:r>
      <w:r w:rsidRPr="00C430F7">
        <w:t xml:space="preserve"> </w:t>
      </w:r>
      <w:r w:rsidRPr="00C430F7">
        <w:rPr>
          <w:rFonts w:hint="eastAsia"/>
        </w:rPr>
        <w:t>хора</w:t>
      </w:r>
      <w:r w:rsidRPr="00C430F7">
        <w:t xml:space="preserve">, </w:t>
      </w:r>
      <w:r w:rsidRPr="00C430F7">
        <w:rPr>
          <w:rFonts w:hint="eastAsia"/>
        </w:rPr>
        <w:t>зависими</w:t>
      </w:r>
      <w:r w:rsidRPr="00C430F7">
        <w:t xml:space="preserve"> </w:t>
      </w:r>
      <w:r w:rsidRPr="00C430F7">
        <w:rPr>
          <w:rFonts w:hint="eastAsia"/>
        </w:rPr>
        <w:t>от</w:t>
      </w:r>
      <w:r w:rsidRPr="00C430F7">
        <w:t xml:space="preserve"> </w:t>
      </w:r>
      <w:r w:rsidRPr="00C430F7">
        <w:rPr>
          <w:rFonts w:hint="eastAsia"/>
        </w:rPr>
        <w:t>грижите</w:t>
      </w:r>
      <w:r w:rsidRPr="00C430F7">
        <w:t xml:space="preserve"> </w:t>
      </w:r>
      <w:r w:rsidRPr="00C430F7">
        <w:rPr>
          <w:rFonts w:hint="eastAsia"/>
        </w:rPr>
        <w:t>на</w:t>
      </w:r>
      <w:r w:rsidRPr="00C430F7">
        <w:t xml:space="preserve"> </w:t>
      </w:r>
      <w:r w:rsidRPr="00C430F7">
        <w:rPr>
          <w:rFonts w:hint="eastAsia"/>
        </w:rPr>
        <w:t>професионалисти</w:t>
      </w:r>
      <w:r w:rsidRPr="00C430F7">
        <w:t xml:space="preserve">; </w:t>
      </w:r>
      <w:r w:rsidRPr="00C430F7">
        <w:rPr>
          <w:rFonts w:hint="eastAsia"/>
        </w:rPr>
        <w:t>развитие</w:t>
      </w:r>
      <w:r w:rsidRPr="00C430F7">
        <w:t xml:space="preserve"> </w:t>
      </w:r>
      <w:r w:rsidRPr="00C430F7">
        <w:rPr>
          <w:rFonts w:hint="eastAsia"/>
        </w:rPr>
        <w:t>на</w:t>
      </w:r>
      <w:r w:rsidRPr="00C430F7">
        <w:t xml:space="preserve"> </w:t>
      </w:r>
      <w:r w:rsidRPr="00C430F7">
        <w:rPr>
          <w:rFonts w:hint="eastAsia"/>
        </w:rPr>
        <w:t>иновативни</w:t>
      </w:r>
      <w:r w:rsidRPr="00C430F7">
        <w:t xml:space="preserve"> </w:t>
      </w:r>
      <w:r w:rsidRPr="00C430F7">
        <w:rPr>
          <w:rFonts w:hint="eastAsia"/>
        </w:rPr>
        <w:t>междусекторни</w:t>
      </w:r>
      <w:r w:rsidRPr="00C430F7">
        <w:t xml:space="preserve"> </w:t>
      </w:r>
      <w:r w:rsidRPr="00C430F7">
        <w:rPr>
          <w:rFonts w:hint="eastAsia"/>
        </w:rPr>
        <w:t>услуги</w:t>
      </w:r>
      <w:r w:rsidRPr="00C430F7">
        <w:t xml:space="preserve"> </w:t>
      </w:r>
      <w:r w:rsidRPr="00C430F7">
        <w:rPr>
          <w:rFonts w:hint="eastAsia"/>
        </w:rPr>
        <w:t>за</w:t>
      </w:r>
      <w:r w:rsidRPr="00C430F7">
        <w:t xml:space="preserve"> </w:t>
      </w:r>
      <w:r w:rsidRPr="00C430F7">
        <w:rPr>
          <w:rFonts w:hint="eastAsia"/>
        </w:rPr>
        <w:t>деца</w:t>
      </w:r>
      <w:r w:rsidRPr="00C430F7">
        <w:t xml:space="preserve"> </w:t>
      </w:r>
      <w:r w:rsidRPr="00C430F7">
        <w:rPr>
          <w:rFonts w:hint="eastAsia"/>
        </w:rPr>
        <w:t>и</w:t>
      </w:r>
      <w:r w:rsidRPr="00C430F7">
        <w:t xml:space="preserve"> </w:t>
      </w:r>
      <w:r w:rsidRPr="00C430F7">
        <w:rPr>
          <w:rFonts w:hint="eastAsia"/>
        </w:rPr>
        <w:t>семейства</w:t>
      </w:r>
      <w:r w:rsidRPr="00C430F7">
        <w:t xml:space="preserve"> </w:t>
      </w:r>
      <w:r w:rsidRPr="00C430F7">
        <w:rPr>
          <w:rFonts w:hint="eastAsia"/>
        </w:rPr>
        <w:t>и</w:t>
      </w:r>
      <w:r w:rsidRPr="00C430F7">
        <w:t xml:space="preserve"> </w:t>
      </w:r>
      <w:r w:rsidRPr="00C430F7">
        <w:rPr>
          <w:rFonts w:hint="eastAsia"/>
        </w:rPr>
        <w:t>други</w:t>
      </w:r>
      <w:r w:rsidRPr="00C430F7">
        <w:t xml:space="preserve"> </w:t>
      </w:r>
      <w:r w:rsidRPr="00C430F7">
        <w:rPr>
          <w:rFonts w:hint="eastAsia"/>
        </w:rPr>
        <w:t>уязвими</w:t>
      </w:r>
      <w:r w:rsidRPr="00C430F7">
        <w:t xml:space="preserve"> </w:t>
      </w:r>
      <w:r w:rsidRPr="00C430F7">
        <w:rPr>
          <w:rFonts w:hint="eastAsia"/>
        </w:rPr>
        <w:t>групи</w:t>
      </w:r>
      <w:r w:rsidRPr="00C430F7">
        <w:t xml:space="preserve">; </w:t>
      </w:r>
      <w:r w:rsidRPr="00C430F7">
        <w:rPr>
          <w:rFonts w:hint="eastAsia"/>
        </w:rPr>
        <w:t>развитие</w:t>
      </w:r>
      <w:r w:rsidRPr="00C430F7">
        <w:t xml:space="preserve"> </w:t>
      </w:r>
      <w:r w:rsidRPr="00C430F7">
        <w:rPr>
          <w:rFonts w:hint="eastAsia"/>
        </w:rPr>
        <w:t>на</w:t>
      </w:r>
      <w:r w:rsidRPr="00C430F7">
        <w:t xml:space="preserve"> </w:t>
      </w:r>
      <w:r w:rsidRPr="00C430F7">
        <w:rPr>
          <w:rFonts w:hint="eastAsia"/>
        </w:rPr>
        <w:t>интегрирани</w:t>
      </w:r>
      <w:r w:rsidRPr="00C430F7">
        <w:t xml:space="preserve"> </w:t>
      </w:r>
      <w:r w:rsidRPr="00C430F7">
        <w:rPr>
          <w:rFonts w:hint="eastAsia"/>
        </w:rPr>
        <w:t>услуги</w:t>
      </w:r>
      <w:r w:rsidRPr="00C430F7">
        <w:t xml:space="preserve"> </w:t>
      </w:r>
      <w:r w:rsidRPr="00C430F7">
        <w:rPr>
          <w:rFonts w:hint="eastAsia"/>
        </w:rPr>
        <w:t>за</w:t>
      </w:r>
      <w:r w:rsidRPr="00C430F7">
        <w:t xml:space="preserve"> </w:t>
      </w:r>
      <w:r w:rsidRPr="00C430F7">
        <w:rPr>
          <w:rFonts w:hint="eastAsia"/>
        </w:rPr>
        <w:t>ранно</w:t>
      </w:r>
      <w:r w:rsidRPr="00C430F7">
        <w:t xml:space="preserve"> </w:t>
      </w:r>
      <w:r w:rsidRPr="00C430F7">
        <w:rPr>
          <w:rFonts w:hint="eastAsia"/>
        </w:rPr>
        <w:t>детско</w:t>
      </w:r>
      <w:r w:rsidRPr="00C430F7">
        <w:t xml:space="preserve"> </w:t>
      </w:r>
      <w:r w:rsidRPr="00C430F7">
        <w:rPr>
          <w:rFonts w:hint="eastAsia"/>
        </w:rPr>
        <w:t>развитие</w:t>
      </w:r>
      <w:r w:rsidRPr="00C430F7">
        <w:t xml:space="preserve"> </w:t>
      </w:r>
      <w:r w:rsidRPr="00C430F7">
        <w:rPr>
          <w:rFonts w:hint="eastAsia"/>
        </w:rPr>
        <w:t>за</w:t>
      </w:r>
      <w:r w:rsidRPr="00C430F7">
        <w:t xml:space="preserve"> </w:t>
      </w:r>
      <w:r w:rsidRPr="00C430F7">
        <w:rPr>
          <w:rFonts w:hint="eastAsia"/>
        </w:rPr>
        <w:t>деца</w:t>
      </w:r>
      <w:r w:rsidRPr="00C430F7">
        <w:t xml:space="preserve"> </w:t>
      </w:r>
      <w:r w:rsidRPr="00C430F7">
        <w:rPr>
          <w:rFonts w:hint="eastAsia"/>
        </w:rPr>
        <w:t>от</w:t>
      </w:r>
      <w:r w:rsidRPr="00C430F7">
        <w:t xml:space="preserve"> 0 </w:t>
      </w:r>
      <w:r w:rsidRPr="00C430F7">
        <w:rPr>
          <w:rFonts w:hint="eastAsia"/>
        </w:rPr>
        <w:t>до</w:t>
      </w:r>
      <w:r w:rsidRPr="00C430F7">
        <w:t xml:space="preserve"> 7 </w:t>
      </w:r>
      <w:r w:rsidRPr="00C430F7">
        <w:rPr>
          <w:rFonts w:hint="eastAsia"/>
        </w:rPr>
        <w:t>г</w:t>
      </w:r>
      <w:r w:rsidRPr="00C430F7">
        <w:t xml:space="preserve">. </w:t>
      </w:r>
      <w:r w:rsidRPr="00C430F7">
        <w:rPr>
          <w:rFonts w:hint="eastAsia"/>
        </w:rPr>
        <w:t>възраст</w:t>
      </w:r>
      <w:r w:rsidRPr="00C430F7">
        <w:t xml:space="preserve"> </w:t>
      </w:r>
      <w:r w:rsidRPr="00C430F7">
        <w:rPr>
          <w:rFonts w:hint="eastAsia"/>
        </w:rPr>
        <w:t>и</w:t>
      </w:r>
      <w:r w:rsidRPr="00C430F7">
        <w:t xml:space="preserve"> </w:t>
      </w:r>
      <w:r w:rsidRPr="00C430F7">
        <w:rPr>
          <w:rFonts w:hint="eastAsia"/>
        </w:rPr>
        <w:t>техните</w:t>
      </w:r>
      <w:r w:rsidRPr="00C430F7">
        <w:t xml:space="preserve"> </w:t>
      </w:r>
      <w:r w:rsidRPr="00C430F7">
        <w:rPr>
          <w:rFonts w:hint="eastAsia"/>
        </w:rPr>
        <w:t>семейства</w:t>
      </w:r>
      <w:r w:rsidRPr="00C430F7">
        <w:t xml:space="preserve">. Оперативна програма „Региони в растеж“ цели и подпомагане за насърчаване на активния живот на възрастните хора в България. Част от дейностите по оперативната програма в това функционално направление са свързани със стимулиране на икономическото развитие на районите чрез подобряване на достъпа до производствените зони и инфраструктурата им. </w:t>
      </w:r>
    </w:p>
    <w:p w14:paraId="5820DC6E" w14:textId="77777777" w:rsidR="00CC09AC" w:rsidRPr="007B48E9" w:rsidRDefault="00CC09AC" w:rsidP="00CC09AC">
      <w:pPr>
        <w:spacing w:after="120"/>
        <w:ind w:firstLine="709"/>
        <w:jc w:val="both"/>
        <w:rPr>
          <w:color w:val="0070C0"/>
        </w:rPr>
      </w:pPr>
    </w:p>
    <w:p w14:paraId="7FB53EB9" w14:textId="77777777" w:rsidR="00CC09AC" w:rsidRPr="00C56B2D" w:rsidRDefault="00CC09AC" w:rsidP="00CC09AC">
      <w:pPr>
        <w:pStyle w:val="Heading3"/>
        <w:numPr>
          <w:ilvl w:val="2"/>
          <w:numId w:val="8"/>
        </w:numPr>
        <w:spacing w:after="360"/>
        <w:rPr>
          <w:rFonts w:ascii="Times New Roman" w:hAnsi="Times New Roman"/>
          <w:sz w:val="24"/>
          <w:lang w:val="bg-BG"/>
        </w:rPr>
      </w:pPr>
      <w:bookmarkStart w:id="341" w:name="_Toc326315919"/>
      <w:bookmarkStart w:id="342" w:name="_Toc324863427"/>
      <w:bookmarkStart w:id="343" w:name="_Toc261276591"/>
      <w:bookmarkStart w:id="344" w:name="_Toc483234291"/>
      <w:bookmarkStart w:id="345" w:name="_Toc494102645"/>
      <w:bookmarkStart w:id="346" w:name="_Toc525125603"/>
      <w:bookmarkStart w:id="347" w:name="_Toc18316959"/>
      <w:bookmarkStart w:id="348" w:name="_Toc136361874"/>
      <w:bookmarkStart w:id="349" w:name="_Toc146037914"/>
      <w:r w:rsidRPr="00C56B2D">
        <w:rPr>
          <w:rFonts w:ascii="Times New Roman" w:hAnsi="Times New Roman"/>
          <w:sz w:val="24"/>
          <w:lang w:val="bg-BG"/>
        </w:rPr>
        <w:t>Жилищно строителство, благоустройство, комунално стопанство и опазване на околната среда</w:t>
      </w:r>
      <w:bookmarkEnd w:id="341"/>
      <w:bookmarkEnd w:id="342"/>
      <w:bookmarkEnd w:id="343"/>
      <w:bookmarkEnd w:id="344"/>
      <w:bookmarkEnd w:id="345"/>
      <w:bookmarkEnd w:id="346"/>
      <w:bookmarkEnd w:id="347"/>
      <w:bookmarkEnd w:id="348"/>
      <w:bookmarkEnd w:id="349"/>
    </w:p>
    <w:p w14:paraId="67344C72" w14:textId="77777777" w:rsidR="00CC09AC" w:rsidRPr="00E70CCD" w:rsidRDefault="00CC09AC" w:rsidP="00CC09AC">
      <w:pPr>
        <w:ind w:firstLine="709"/>
        <w:jc w:val="both"/>
      </w:pPr>
      <w:r w:rsidRPr="00E70CCD">
        <w:t xml:space="preserve">Основната част от разходите във функцията са </w:t>
      </w:r>
      <w:r w:rsidRPr="00E70CCD">
        <w:rPr>
          <w:iCs/>
        </w:rPr>
        <w:t>предназначени за поддържане и изграждане на техническата инфраструктура и предоставяне на публични услуги на населението, свързани с дейностите по опазване на чистотата, водоснабдяване и канализация, озеленяване и други дейности от обществен интерес</w:t>
      </w:r>
      <w:r w:rsidRPr="00E70CCD">
        <w:t>.</w:t>
      </w:r>
    </w:p>
    <w:p w14:paraId="5C659A63" w14:textId="77777777" w:rsidR="00CC09AC" w:rsidRPr="00E70CCD" w:rsidRDefault="00CC09AC" w:rsidP="00CC09AC">
      <w:pPr>
        <w:ind w:firstLine="8505"/>
        <w:rPr>
          <w:b/>
          <w:sz w:val="18"/>
          <w:szCs w:val="18"/>
        </w:rPr>
      </w:pPr>
      <w:r w:rsidRPr="00E70CCD">
        <w:rPr>
          <w:b/>
          <w:sz w:val="18"/>
          <w:szCs w:val="18"/>
        </w:rPr>
        <w:t>(млн. лв.)</w:t>
      </w:r>
    </w:p>
    <w:tbl>
      <w:tblPr>
        <w:tblW w:w="10131" w:type="dxa"/>
        <w:jc w:val="center"/>
        <w:tblCellMar>
          <w:left w:w="70" w:type="dxa"/>
          <w:right w:w="70" w:type="dxa"/>
        </w:tblCellMar>
        <w:tblLook w:val="04A0" w:firstRow="1" w:lastRow="0" w:firstColumn="1" w:lastColumn="0" w:noHBand="0" w:noVBand="1"/>
      </w:tblPr>
      <w:tblGrid>
        <w:gridCol w:w="4853"/>
        <w:gridCol w:w="850"/>
        <w:gridCol w:w="851"/>
        <w:gridCol w:w="850"/>
        <w:gridCol w:w="842"/>
        <w:gridCol w:w="939"/>
        <w:gridCol w:w="946"/>
      </w:tblGrid>
      <w:tr w:rsidR="00CC09AC" w:rsidRPr="007B48E9" w14:paraId="394C839D" w14:textId="77777777" w:rsidTr="003B085A">
        <w:trPr>
          <w:trHeight w:val="660"/>
          <w:jc w:val="center"/>
        </w:trPr>
        <w:tc>
          <w:tcPr>
            <w:tcW w:w="4853"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40E0B429" w14:textId="77777777" w:rsidR="00CC09AC" w:rsidRPr="00E70CCD" w:rsidRDefault="00CC09AC" w:rsidP="003B085A">
            <w:pPr>
              <w:jc w:val="center"/>
              <w:rPr>
                <w:b/>
                <w:bCs/>
                <w:color w:val="FFFFFF" w:themeColor="background1"/>
                <w:sz w:val="18"/>
                <w:szCs w:val="18"/>
              </w:rPr>
            </w:pPr>
            <w:r w:rsidRPr="00E70CCD">
              <w:rPr>
                <w:b/>
                <w:bCs/>
                <w:color w:val="FFFFFF" w:themeColor="background1"/>
                <w:sz w:val="18"/>
                <w:szCs w:val="18"/>
              </w:rPr>
              <w:t>ОТЧЕТ 20</w:t>
            </w:r>
            <w:r w:rsidRPr="00E70CCD">
              <w:rPr>
                <w:b/>
                <w:bCs/>
                <w:color w:val="FFFFFF" w:themeColor="background1"/>
                <w:sz w:val="18"/>
                <w:szCs w:val="18"/>
                <w:lang w:val="en-US"/>
              </w:rPr>
              <w:t>2</w:t>
            </w:r>
            <w:r>
              <w:rPr>
                <w:b/>
                <w:bCs/>
                <w:color w:val="FFFFFF" w:themeColor="background1"/>
                <w:sz w:val="18"/>
                <w:szCs w:val="18"/>
              </w:rPr>
              <w:t>2</w:t>
            </w:r>
            <w:r w:rsidRPr="00E70CCD">
              <w:rPr>
                <w:b/>
                <w:bCs/>
                <w:color w:val="FFFFFF" w:themeColor="background1"/>
                <w:sz w:val="18"/>
                <w:szCs w:val="18"/>
              </w:rPr>
              <w:t xml:space="preserve"> г.</w:t>
            </w:r>
          </w:p>
        </w:tc>
        <w:tc>
          <w:tcPr>
            <w:tcW w:w="850" w:type="dxa"/>
            <w:tcBorders>
              <w:top w:val="double" w:sz="6" w:space="0" w:color="800000"/>
              <w:left w:val="nil"/>
              <w:bottom w:val="double" w:sz="6" w:space="0" w:color="800000"/>
              <w:right w:val="single" w:sz="4" w:space="0" w:color="FFFFFF"/>
            </w:tcBorders>
            <w:shd w:val="clear" w:color="auto" w:fill="800000"/>
            <w:noWrap/>
            <w:vAlign w:val="center"/>
            <w:hideMark/>
          </w:tcPr>
          <w:p w14:paraId="076C6DD4" w14:textId="77777777" w:rsidR="00CC09AC" w:rsidRPr="00E70CCD" w:rsidRDefault="00CC09AC" w:rsidP="003B085A">
            <w:pPr>
              <w:jc w:val="center"/>
              <w:rPr>
                <w:b/>
                <w:bCs/>
                <w:color w:val="FFFFFF" w:themeColor="background1"/>
                <w:sz w:val="18"/>
                <w:szCs w:val="18"/>
              </w:rPr>
            </w:pPr>
            <w:r w:rsidRPr="00E70CCD">
              <w:rPr>
                <w:b/>
                <w:bCs/>
                <w:color w:val="FFFFFF" w:themeColor="background1"/>
                <w:sz w:val="18"/>
                <w:szCs w:val="18"/>
              </w:rPr>
              <w:t>КФП</w:t>
            </w:r>
          </w:p>
        </w:tc>
        <w:tc>
          <w:tcPr>
            <w:tcW w:w="851" w:type="dxa"/>
            <w:tcBorders>
              <w:top w:val="double" w:sz="6" w:space="0" w:color="800000"/>
              <w:left w:val="nil"/>
              <w:bottom w:val="double" w:sz="6" w:space="0" w:color="800000"/>
              <w:right w:val="single" w:sz="4" w:space="0" w:color="FFFFFF"/>
            </w:tcBorders>
            <w:shd w:val="clear" w:color="auto" w:fill="800000"/>
            <w:vAlign w:val="center"/>
            <w:hideMark/>
          </w:tcPr>
          <w:p w14:paraId="65BE04D4" w14:textId="77777777" w:rsidR="00CC09AC" w:rsidRPr="00E70CCD" w:rsidRDefault="00CC09AC" w:rsidP="003B085A">
            <w:pPr>
              <w:jc w:val="center"/>
              <w:rPr>
                <w:b/>
                <w:bCs/>
                <w:color w:val="FFFFFF" w:themeColor="background1"/>
                <w:sz w:val="18"/>
                <w:szCs w:val="18"/>
              </w:rPr>
            </w:pPr>
            <w:r w:rsidRPr="00E70CCD">
              <w:rPr>
                <w:b/>
                <w:bCs/>
                <w:color w:val="FFFFFF" w:themeColor="background1"/>
                <w:sz w:val="18"/>
                <w:szCs w:val="18"/>
              </w:rPr>
              <w:t>ДБ</w:t>
            </w:r>
          </w:p>
        </w:tc>
        <w:tc>
          <w:tcPr>
            <w:tcW w:w="850" w:type="dxa"/>
            <w:tcBorders>
              <w:top w:val="double" w:sz="6" w:space="0" w:color="800000"/>
              <w:left w:val="nil"/>
              <w:bottom w:val="double" w:sz="6" w:space="0" w:color="800000"/>
              <w:right w:val="single" w:sz="4" w:space="0" w:color="FFFFFF"/>
            </w:tcBorders>
            <w:shd w:val="clear" w:color="auto" w:fill="800000"/>
            <w:noWrap/>
            <w:vAlign w:val="center"/>
            <w:hideMark/>
          </w:tcPr>
          <w:p w14:paraId="45CC164D" w14:textId="77777777" w:rsidR="00CC09AC" w:rsidRPr="00E70CCD" w:rsidRDefault="00CC09AC" w:rsidP="003B085A">
            <w:pPr>
              <w:jc w:val="center"/>
              <w:rPr>
                <w:b/>
                <w:bCs/>
                <w:color w:val="FFFFFF" w:themeColor="background1"/>
                <w:sz w:val="18"/>
                <w:szCs w:val="18"/>
              </w:rPr>
            </w:pPr>
            <w:r w:rsidRPr="00E70CCD">
              <w:rPr>
                <w:b/>
                <w:bCs/>
                <w:color w:val="FFFFFF" w:themeColor="background1"/>
                <w:sz w:val="18"/>
                <w:szCs w:val="18"/>
              </w:rPr>
              <w:t>Общини</w:t>
            </w:r>
          </w:p>
        </w:tc>
        <w:tc>
          <w:tcPr>
            <w:tcW w:w="842" w:type="dxa"/>
            <w:tcBorders>
              <w:top w:val="double" w:sz="6" w:space="0" w:color="800000"/>
              <w:left w:val="nil"/>
              <w:bottom w:val="double" w:sz="6" w:space="0" w:color="800000"/>
              <w:right w:val="single" w:sz="4" w:space="0" w:color="FFFFFF"/>
            </w:tcBorders>
            <w:shd w:val="clear" w:color="auto" w:fill="800000"/>
            <w:vAlign w:val="center"/>
            <w:hideMark/>
          </w:tcPr>
          <w:p w14:paraId="41806748" w14:textId="77777777" w:rsidR="00CC09AC" w:rsidRPr="00E70CCD" w:rsidRDefault="00CC09AC" w:rsidP="003B085A">
            <w:pPr>
              <w:jc w:val="center"/>
              <w:rPr>
                <w:b/>
                <w:bCs/>
                <w:color w:val="FFFFFF" w:themeColor="background1"/>
                <w:sz w:val="16"/>
                <w:szCs w:val="16"/>
              </w:rPr>
            </w:pPr>
            <w:r w:rsidRPr="00E70CCD">
              <w:rPr>
                <w:b/>
                <w:bCs/>
                <w:color w:val="FFFFFF" w:themeColor="background1"/>
                <w:sz w:val="16"/>
                <w:szCs w:val="16"/>
              </w:rPr>
              <w:t>ДМП</w:t>
            </w:r>
          </w:p>
        </w:tc>
        <w:tc>
          <w:tcPr>
            <w:tcW w:w="939" w:type="dxa"/>
            <w:tcBorders>
              <w:top w:val="double" w:sz="6" w:space="0" w:color="800000"/>
              <w:left w:val="nil"/>
              <w:bottom w:val="double" w:sz="6" w:space="0" w:color="800000"/>
              <w:right w:val="single" w:sz="4" w:space="0" w:color="FFFFFF"/>
            </w:tcBorders>
            <w:shd w:val="clear" w:color="auto" w:fill="800000"/>
            <w:vAlign w:val="center"/>
            <w:hideMark/>
          </w:tcPr>
          <w:p w14:paraId="760710CA" w14:textId="77777777" w:rsidR="00CC09AC" w:rsidRPr="00E70CCD" w:rsidRDefault="00CC09AC" w:rsidP="003B085A">
            <w:pPr>
              <w:jc w:val="center"/>
              <w:rPr>
                <w:b/>
                <w:bCs/>
                <w:color w:val="FFFFFF" w:themeColor="background1"/>
                <w:sz w:val="18"/>
                <w:szCs w:val="18"/>
              </w:rPr>
            </w:pPr>
            <w:r w:rsidRPr="00E70CCD">
              <w:rPr>
                <w:b/>
                <w:bCs/>
                <w:color w:val="FFFFFF" w:themeColor="background1"/>
                <w:sz w:val="18"/>
                <w:szCs w:val="18"/>
              </w:rPr>
              <w:t>ЕВРОП. СР/ВА</w:t>
            </w:r>
          </w:p>
        </w:tc>
        <w:tc>
          <w:tcPr>
            <w:tcW w:w="946" w:type="dxa"/>
            <w:tcBorders>
              <w:top w:val="double" w:sz="6" w:space="0" w:color="800000"/>
              <w:left w:val="nil"/>
              <w:bottom w:val="double" w:sz="6" w:space="0" w:color="800000"/>
              <w:right w:val="double" w:sz="6" w:space="0" w:color="800000"/>
            </w:tcBorders>
            <w:shd w:val="clear" w:color="auto" w:fill="800000"/>
            <w:vAlign w:val="center"/>
          </w:tcPr>
          <w:p w14:paraId="081C1B35" w14:textId="77777777" w:rsidR="00CC09AC" w:rsidRPr="00E70CCD" w:rsidRDefault="00CC09AC" w:rsidP="003B085A">
            <w:pPr>
              <w:jc w:val="center"/>
              <w:rPr>
                <w:b/>
                <w:bCs/>
                <w:color w:val="FFFFFF" w:themeColor="background1"/>
                <w:sz w:val="18"/>
                <w:szCs w:val="18"/>
              </w:rPr>
            </w:pPr>
            <w:r w:rsidRPr="00E70CCD">
              <w:rPr>
                <w:b/>
                <w:bCs/>
                <w:color w:val="FFFFFF" w:themeColor="background1"/>
                <w:sz w:val="18"/>
                <w:szCs w:val="18"/>
              </w:rPr>
              <w:t>ПУДООС</w:t>
            </w:r>
          </w:p>
        </w:tc>
      </w:tr>
      <w:tr w:rsidR="002C403D" w:rsidRPr="007B48E9" w14:paraId="06B6A22C" w14:textId="77777777" w:rsidTr="003B085A">
        <w:trPr>
          <w:trHeight w:val="270"/>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47620330" w14:textId="77777777" w:rsidR="002C403D" w:rsidRPr="00E70CCD" w:rsidRDefault="002C403D" w:rsidP="002C403D">
            <w:pPr>
              <w:rPr>
                <w:b/>
                <w:bCs/>
                <w:sz w:val="18"/>
                <w:szCs w:val="18"/>
              </w:rPr>
            </w:pPr>
            <w:r w:rsidRPr="00E70CCD">
              <w:rPr>
                <w:b/>
                <w:bCs/>
                <w:sz w:val="18"/>
                <w:szCs w:val="18"/>
              </w:rPr>
              <w:t>VІ. ЖИЛИЩНО СТРОИТЕЛСТВО, БЛАГОУСТРОЙСТВО, КОМУНАЛНО СТОПАНСТВО И ОПАЗВАНЕ НА ОКОЛНАТА СРЕДА</w:t>
            </w:r>
          </w:p>
        </w:tc>
        <w:tc>
          <w:tcPr>
            <w:tcW w:w="850" w:type="dxa"/>
            <w:tcBorders>
              <w:top w:val="double" w:sz="6" w:space="0" w:color="800000"/>
              <w:left w:val="single" w:sz="4" w:space="0" w:color="800000"/>
              <w:bottom w:val="nil"/>
              <w:right w:val="single" w:sz="4" w:space="0" w:color="800000"/>
            </w:tcBorders>
            <w:shd w:val="clear" w:color="000000" w:fill="FFFFCC"/>
            <w:noWrap/>
            <w:vAlign w:val="bottom"/>
            <w:hideMark/>
          </w:tcPr>
          <w:p w14:paraId="16212A86" w14:textId="4F816BC2" w:rsidR="002C403D" w:rsidRPr="007B48E9" w:rsidRDefault="002C403D" w:rsidP="002C403D">
            <w:pPr>
              <w:jc w:val="right"/>
              <w:rPr>
                <w:b/>
                <w:bCs/>
                <w:color w:val="0070C0"/>
                <w:sz w:val="18"/>
                <w:szCs w:val="18"/>
              </w:rPr>
            </w:pPr>
            <w:r>
              <w:rPr>
                <w:b/>
                <w:bCs/>
                <w:color w:val="000000"/>
                <w:sz w:val="18"/>
                <w:szCs w:val="18"/>
              </w:rPr>
              <w:t>2 732,1</w:t>
            </w:r>
          </w:p>
        </w:tc>
        <w:tc>
          <w:tcPr>
            <w:tcW w:w="851" w:type="dxa"/>
            <w:tcBorders>
              <w:top w:val="double" w:sz="6" w:space="0" w:color="800000"/>
              <w:left w:val="nil"/>
              <w:bottom w:val="nil"/>
              <w:right w:val="single" w:sz="4" w:space="0" w:color="800000"/>
            </w:tcBorders>
            <w:shd w:val="clear" w:color="000000" w:fill="FFFFCC"/>
            <w:noWrap/>
            <w:vAlign w:val="bottom"/>
            <w:hideMark/>
          </w:tcPr>
          <w:p w14:paraId="1169013E" w14:textId="011B7703" w:rsidR="002C403D" w:rsidRPr="007B48E9" w:rsidRDefault="002C403D" w:rsidP="002C403D">
            <w:pPr>
              <w:jc w:val="right"/>
              <w:rPr>
                <w:b/>
                <w:bCs/>
                <w:color w:val="0070C0"/>
                <w:sz w:val="18"/>
                <w:szCs w:val="18"/>
              </w:rPr>
            </w:pPr>
            <w:r>
              <w:rPr>
                <w:b/>
                <w:bCs/>
                <w:color w:val="000000"/>
                <w:sz w:val="18"/>
                <w:szCs w:val="18"/>
              </w:rPr>
              <w:t>123,6</w:t>
            </w:r>
          </w:p>
        </w:tc>
        <w:tc>
          <w:tcPr>
            <w:tcW w:w="850" w:type="dxa"/>
            <w:tcBorders>
              <w:top w:val="double" w:sz="6" w:space="0" w:color="800000"/>
              <w:left w:val="nil"/>
              <w:bottom w:val="nil"/>
              <w:right w:val="single" w:sz="4" w:space="0" w:color="800000"/>
            </w:tcBorders>
            <w:shd w:val="clear" w:color="000000" w:fill="FFFFCC"/>
            <w:noWrap/>
            <w:vAlign w:val="bottom"/>
            <w:hideMark/>
          </w:tcPr>
          <w:p w14:paraId="04616199" w14:textId="51FB7DB5" w:rsidR="002C403D" w:rsidRPr="007B48E9" w:rsidRDefault="002C403D" w:rsidP="002C403D">
            <w:pPr>
              <w:jc w:val="right"/>
              <w:rPr>
                <w:b/>
                <w:bCs/>
                <w:color w:val="0070C0"/>
                <w:sz w:val="18"/>
                <w:szCs w:val="18"/>
              </w:rPr>
            </w:pPr>
            <w:r>
              <w:rPr>
                <w:b/>
                <w:bCs/>
                <w:color w:val="000000"/>
                <w:sz w:val="18"/>
                <w:szCs w:val="18"/>
              </w:rPr>
              <w:t>1 933,3</w:t>
            </w:r>
          </w:p>
        </w:tc>
        <w:tc>
          <w:tcPr>
            <w:tcW w:w="842" w:type="dxa"/>
            <w:tcBorders>
              <w:top w:val="double" w:sz="6" w:space="0" w:color="800000"/>
              <w:left w:val="nil"/>
              <w:bottom w:val="nil"/>
              <w:right w:val="single" w:sz="4" w:space="0" w:color="800000"/>
            </w:tcBorders>
            <w:shd w:val="clear" w:color="000000" w:fill="FFFFCC"/>
            <w:noWrap/>
            <w:vAlign w:val="bottom"/>
            <w:hideMark/>
          </w:tcPr>
          <w:p w14:paraId="26E9D54B" w14:textId="37EDD9DE" w:rsidR="002C403D" w:rsidRPr="007B48E9" w:rsidRDefault="002C403D" w:rsidP="002C403D">
            <w:pPr>
              <w:jc w:val="right"/>
              <w:rPr>
                <w:b/>
                <w:bCs/>
                <w:color w:val="0070C0"/>
                <w:sz w:val="18"/>
                <w:szCs w:val="18"/>
              </w:rPr>
            </w:pPr>
            <w:r>
              <w:rPr>
                <w:b/>
                <w:bCs/>
                <w:color w:val="000000"/>
                <w:sz w:val="18"/>
                <w:szCs w:val="18"/>
              </w:rPr>
              <w:t>13,8</w:t>
            </w:r>
          </w:p>
        </w:tc>
        <w:tc>
          <w:tcPr>
            <w:tcW w:w="939" w:type="dxa"/>
            <w:tcBorders>
              <w:top w:val="double" w:sz="6" w:space="0" w:color="800000"/>
              <w:left w:val="nil"/>
              <w:bottom w:val="nil"/>
              <w:right w:val="single" w:sz="4" w:space="0" w:color="800000"/>
            </w:tcBorders>
            <w:shd w:val="clear" w:color="000000" w:fill="FFFFCC"/>
            <w:noWrap/>
            <w:vAlign w:val="bottom"/>
            <w:hideMark/>
          </w:tcPr>
          <w:p w14:paraId="73A86640" w14:textId="3D2095E5" w:rsidR="002C403D" w:rsidRPr="007B48E9" w:rsidRDefault="002C403D" w:rsidP="002C403D">
            <w:pPr>
              <w:jc w:val="right"/>
              <w:rPr>
                <w:b/>
                <w:bCs/>
                <w:color w:val="0070C0"/>
                <w:sz w:val="18"/>
                <w:szCs w:val="18"/>
              </w:rPr>
            </w:pPr>
            <w:r>
              <w:rPr>
                <w:b/>
                <w:bCs/>
                <w:color w:val="000000"/>
                <w:sz w:val="18"/>
                <w:szCs w:val="18"/>
              </w:rPr>
              <w:t>642,7</w:t>
            </w:r>
          </w:p>
        </w:tc>
        <w:tc>
          <w:tcPr>
            <w:tcW w:w="946" w:type="dxa"/>
            <w:tcBorders>
              <w:top w:val="double" w:sz="6" w:space="0" w:color="800000"/>
              <w:left w:val="nil"/>
              <w:bottom w:val="nil"/>
              <w:right w:val="single" w:sz="4" w:space="0" w:color="800000"/>
            </w:tcBorders>
            <w:shd w:val="clear" w:color="000000" w:fill="FFFFCC"/>
            <w:vAlign w:val="bottom"/>
          </w:tcPr>
          <w:p w14:paraId="1E679472" w14:textId="303D4234" w:rsidR="002C403D" w:rsidRPr="007B48E9" w:rsidRDefault="002C403D" w:rsidP="002C403D">
            <w:pPr>
              <w:jc w:val="right"/>
              <w:rPr>
                <w:b/>
                <w:bCs/>
                <w:color w:val="0070C0"/>
                <w:sz w:val="18"/>
                <w:szCs w:val="18"/>
              </w:rPr>
            </w:pPr>
            <w:r>
              <w:rPr>
                <w:b/>
                <w:bCs/>
                <w:color w:val="000000"/>
                <w:sz w:val="18"/>
                <w:szCs w:val="18"/>
              </w:rPr>
              <w:t>18,7</w:t>
            </w:r>
          </w:p>
        </w:tc>
      </w:tr>
      <w:tr w:rsidR="002C403D" w:rsidRPr="007B48E9" w14:paraId="4C0CAE66" w14:textId="77777777" w:rsidTr="003B085A">
        <w:trPr>
          <w:trHeight w:val="255"/>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277833C6" w14:textId="77777777" w:rsidR="002C403D" w:rsidRPr="00E70CCD" w:rsidRDefault="002C403D" w:rsidP="002C403D">
            <w:pPr>
              <w:rPr>
                <w:b/>
                <w:bCs/>
                <w:sz w:val="18"/>
                <w:szCs w:val="18"/>
              </w:rPr>
            </w:pPr>
            <w:r w:rsidRPr="00E70CCD">
              <w:rPr>
                <w:b/>
                <w:bCs/>
                <w:sz w:val="18"/>
                <w:szCs w:val="18"/>
              </w:rPr>
              <w:t xml:space="preserve">   А. ЖИЛИЩНО СТРОИТЕЛСТВО, БЛАГОУСТРОЙСТВО, КОМУНАЛНО СТОПАНСТВО</w:t>
            </w:r>
          </w:p>
        </w:tc>
        <w:tc>
          <w:tcPr>
            <w:tcW w:w="850" w:type="dxa"/>
            <w:tcBorders>
              <w:top w:val="nil"/>
              <w:left w:val="single" w:sz="4" w:space="0" w:color="800000"/>
              <w:bottom w:val="nil"/>
              <w:right w:val="single" w:sz="4" w:space="0" w:color="800000"/>
            </w:tcBorders>
            <w:shd w:val="clear" w:color="000000" w:fill="FFFFCC"/>
            <w:noWrap/>
            <w:vAlign w:val="bottom"/>
            <w:hideMark/>
          </w:tcPr>
          <w:p w14:paraId="4966F8D6" w14:textId="595A8309" w:rsidR="002C403D" w:rsidRPr="007B48E9" w:rsidRDefault="002C403D" w:rsidP="002C403D">
            <w:pPr>
              <w:jc w:val="right"/>
              <w:rPr>
                <w:b/>
                <w:bCs/>
                <w:color w:val="0070C0"/>
                <w:sz w:val="18"/>
                <w:szCs w:val="18"/>
              </w:rPr>
            </w:pPr>
            <w:r>
              <w:rPr>
                <w:b/>
                <w:bCs/>
                <w:color w:val="000000"/>
                <w:sz w:val="18"/>
                <w:szCs w:val="18"/>
              </w:rPr>
              <w:t>1 306,8</w:t>
            </w:r>
          </w:p>
        </w:tc>
        <w:tc>
          <w:tcPr>
            <w:tcW w:w="851" w:type="dxa"/>
            <w:tcBorders>
              <w:top w:val="nil"/>
              <w:left w:val="nil"/>
              <w:bottom w:val="nil"/>
              <w:right w:val="single" w:sz="4" w:space="0" w:color="800000"/>
            </w:tcBorders>
            <w:shd w:val="clear" w:color="000000" w:fill="FFFFCC"/>
            <w:noWrap/>
            <w:vAlign w:val="bottom"/>
            <w:hideMark/>
          </w:tcPr>
          <w:p w14:paraId="0E6515A4" w14:textId="457344BC" w:rsidR="002C403D" w:rsidRPr="007B48E9" w:rsidRDefault="002C403D" w:rsidP="002C403D">
            <w:pPr>
              <w:jc w:val="right"/>
              <w:rPr>
                <w:b/>
                <w:bCs/>
                <w:color w:val="0070C0"/>
                <w:sz w:val="18"/>
                <w:szCs w:val="18"/>
              </w:rPr>
            </w:pPr>
            <w:r>
              <w:rPr>
                <w:b/>
                <w:bCs/>
                <w:color w:val="000000"/>
                <w:sz w:val="18"/>
                <w:szCs w:val="18"/>
              </w:rPr>
              <w:t>45,4</w:t>
            </w:r>
          </w:p>
        </w:tc>
        <w:tc>
          <w:tcPr>
            <w:tcW w:w="850" w:type="dxa"/>
            <w:tcBorders>
              <w:top w:val="nil"/>
              <w:left w:val="nil"/>
              <w:bottom w:val="nil"/>
              <w:right w:val="single" w:sz="4" w:space="0" w:color="800000"/>
            </w:tcBorders>
            <w:shd w:val="clear" w:color="000000" w:fill="FFFFCC"/>
            <w:noWrap/>
            <w:vAlign w:val="bottom"/>
            <w:hideMark/>
          </w:tcPr>
          <w:p w14:paraId="56FBFDA2" w14:textId="6F605070" w:rsidR="002C403D" w:rsidRPr="007B48E9" w:rsidRDefault="002C403D" w:rsidP="002C403D">
            <w:pPr>
              <w:jc w:val="right"/>
              <w:rPr>
                <w:b/>
                <w:bCs/>
                <w:color w:val="0070C0"/>
                <w:sz w:val="18"/>
                <w:szCs w:val="18"/>
              </w:rPr>
            </w:pPr>
            <w:r>
              <w:rPr>
                <w:b/>
                <w:bCs/>
                <w:color w:val="000000"/>
                <w:sz w:val="18"/>
                <w:szCs w:val="18"/>
              </w:rPr>
              <w:t>1 022,2</w:t>
            </w:r>
          </w:p>
        </w:tc>
        <w:tc>
          <w:tcPr>
            <w:tcW w:w="842" w:type="dxa"/>
            <w:tcBorders>
              <w:top w:val="nil"/>
              <w:left w:val="nil"/>
              <w:bottom w:val="nil"/>
              <w:right w:val="single" w:sz="4" w:space="0" w:color="800000"/>
            </w:tcBorders>
            <w:shd w:val="clear" w:color="000000" w:fill="FFFFCC"/>
            <w:noWrap/>
            <w:vAlign w:val="bottom"/>
          </w:tcPr>
          <w:p w14:paraId="1C3E0D84" w14:textId="1E6AF40F" w:rsidR="002C403D" w:rsidRPr="007B48E9" w:rsidRDefault="002C403D" w:rsidP="002C403D">
            <w:pPr>
              <w:jc w:val="right"/>
              <w:rPr>
                <w:b/>
                <w:bCs/>
                <w:color w:val="0070C0"/>
                <w:sz w:val="18"/>
                <w:szCs w:val="18"/>
              </w:rPr>
            </w:pPr>
            <w:r>
              <w:rPr>
                <w:b/>
                <w:bCs/>
                <w:color w:val="000000"/>
                <w:sz w:val="18"/>
                <w:szCs w:val="18"/>
              </w:rPr>
              <w:t>10,9</w:t>
            </w:r>
          </w:p>
        </w:tc>
        <w:tc>
          <w:tcPr>
            <w:tcW w:w="939" w:type="dxa"/>
            <w:tcBorders>
              <w:top w:val="nil"/>
              <w:left w:val="nil"/>
              <w:bottom w:val="nil"/>
              <w:right w:val="single" w:sz="4" w:space="0" w:color="800000"/>
            </w:tcBorders>
            <w:shd w:val="clear" w:color="000000" w:fill="FFFFCC"/>
            <w:noWrap/>
            <w:vAlign w:val="bottom"/>
            <w:hideMark/>
          </w:tcPr>
          <w:p w14:paraId="13993661" w14:textId="0FE942C2" w:rsidR="002C403D" w:rsidRPr="007B48E9" w:rsidRDefault="002C403D" w:rsidP="002C403D">
            <w:pPr>
              <w:jc w:val="right"/>
              <w:rPr>
                <w:b/>
                <w:bCs/>
                <w:color w:val="0070C0"/>
                <w:sz w:val="18"/>
                <w:szCs w:val="18"/>
              </w:rPr>
            </w:pPr>
            <w:r>
              <w:rPr>
                <w:b/>
                <w:bCs/>
                <w:color w:val="000000"/>
                <w:sz w:val="18"/>
                <w:szCs w:val="18"/>
              </w:rPr>
              <w:t>228,3</w:t>
            </w:r>
          </w:p>
        </w:tc>
        <w:tc>
          <w:tcPr>
            <w:tcW w:w="946" w:type="dxa"/>
            <w:tcBorders>
              <w:top w:val="nil"/>
              <w:left w:val="nil"/>
              <w:bottom w:val="nil"/>
              <w:right w:val="single" w:sz="4" w:space="0" w:color="800000"/>
            </w:tcBorders>
            <w:shd w:val="clear" w:color="000000" w:fill="FFFFCC"/>
            <w:vAlign w:val="bottom"/>
          </w:tcPr>
          <w:p w14:paraId="77C7EE44" w14:textId="20101314" w:rsidR="002C403D" w:rsidRPr="007B48E9" w:rsidRDefault="002C403D" w:rsidP="002C403D">
            <w:pPr>
              <w:jc w:val="right"/>
              <w:rPr>
                <w:b/>
                <w:bCs/>
                <w:color w:val="0070C0"/>
                <w:sz w:val="18"/>
                <w:szCs w:val="18"/>
              </w:rPr>
            </w:pPr>
            <w:r>
              <w:rPr>
                <w:b/>
                <w:bCs/>
                <w:color w:val="000000"/>
                <w:sz w:val="18"/>
                <w:szCs w:val="18"/>
              </w:rPr>
              <w:t> </w:t>
            </w:r>
          </w:p>
        </w:tc>
      </w:tr>
      <w:tr w:rsidR="002C403D" w:rsidRPr="007B48E9" w14:paraId="4B1B56ED" w14:textId="77777777" w:rsidTr="003B085A">
        <w:trPr>
          <w:trHeight w:val="270"/>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1D8B5719" w14:textId="77777777" w:rsidR="002C403D" w:rsidRPr="00E70CCD" w:rsidRDefault="002C403D" w:rsidP="002C403D">
            <w:pPr>
              <w:rPr>
                <w:sz w:val="18"/>
                <w:szCs w:val="18"/>
              </w:rPr>
            </w:pPr>
            <w:r w:rsidRPr="00E70CCD">
              <w:rPr>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hideMark/>
          </w:tcPr>
          <w:p w14:paraId="05991DF9" w14:textId="00C5DEF7" w:rsidR="002C403D" w:rsidRPr="007B48E9" w:rsidRDefault="002C403D" w:rsidP="002C403D">
            <w:pPr>
              <w:jc w:val="right"/>
              <w:rPr>
                <w:color w:val="0070C0"/>
                <w:sz w:val="18"/>
                <w:szCs w:val="18"/>
              </w:rPr>
            </w:pPr>
            <w:r>
              <w:rPr>
                <w:color w:val="000000"/>
                <w:sz w:val="18"/>
                <w:szCs w:val="18"/>
              </w:rPr>
              <w:t>550,8</w:t>
            </w:r>
          </w:p>
        </w:tc>
        <w:tc>
          <w:tcPr>
            <w:tcW w:w="851" w:type="dxa"/>
            <w:tcBorders>
              <w:top w:val="nil"/>
              <w:left w:val="nil"/>
              <w:bottom w:val="nil"/>
              <w:right w:val="single" w:sz="4" w:space="0" w:color="800000"/>
            </w:tcBorders>
            <w:shd w:val="clear" w:color="000000" w:fill="FFFFCC"/>
            <w:noWrap/>
            <w:vAlign w:val="bottom"/>
            <w:hideMark/>
          </w:tcPr>
          <w:p w14:paraId="5E1F7C4C" w14:textId="2C6AB024" w:rsidR="002C403D" w:rsidRPr="007B48E9" w:rsidRDefault="002C403D" w:rsidP="002C403D">
            <w:pPr>
              <w:jc w:val="right"/>
              <w:rPr>
                <w:color w:val="0070C0"/>
                <w:sz w:val="18"/>
                <w:szCs w:val="18"/>
              </w:rPr>
            </w:pPr>
            <w:r>
              <w:rPr>
                <w:color w:val="000000"/>
                <w:sz w:val="18"/>
                <w:szCs w:val="18"/>
              </w:rPr>
              <w:t>33,6</w:t>
            </w:r>
          </w:p>
        </w:tc>
        <w:tc>
          <w:tcPr>
            <w:tcW w:w="850" w:type="dxa"/>
            <w:tcBorders>
              <w:top w:val="nil"/>
              <w:left w:val="nil"/>
              <w:bottom w:val="nil"/>
              <w:right w:val="single" w:sz="4" w:space="0" w:color="800000"/>
            </w:tcBorders>
            <w:shd w:val="clear" w:color="000000" w:fill="FFFFCC"/>
            <w:noWrap/>
            <w:vAlign w:val="bottom"/>
            <w:hideMark/>
          </w:tcPr>
          <w:p w14:paraId="78F05B34" w14:textId="16128914" w:rsidR="002C403D" w:rsidRPr="007B48E9" w:rsidRDefault="002C403D" w:rsidP="002C403D">
            <w:pPr>
              <w:jc w:val="right"/>
              <w:rPr>
                <w:color w:val="0070C0"/>
                <w:sz w:val="18"/>
                <w:szCs w:val="18"/>
              </w:rPr>
            </w:pPr>
            <w:r>
              <w:rPr>
                <w:color w:val="000000"/>
                <w:sz w:val="18"/>
                <w:szCs w:val="18"/>
              </w:rPr>
              <w:t>498,2</w:t>
            </w:r>
          </w:p>
        </w:tc>
        <w:tc>
          <w:tcPr>
            <w:tcW w:w="842" w:type="dxa"/>
            <w:tcBorders>
              <w:top w:val="nil"/>
              <w:left w:val="nil"/>
              <w:bottom w:val="nil"/>
              <w:right w:val="single" w:sz="4" w:space="0" w:color="800000"/>
            </w:tcBorders>
            <w:shd w:val="clear" w:color="000000" w:fill="FFFFCC"/>
            <w:noWrap/>
            <w:vAlign w:val="bottom"/>
          </w:tcPr>
          <w:p w14:paraId="37E7D3CD" w14:textId="7E68EC4A" w:rsidR="002C403D" w:rsidRPr="007B48E9" w:rsidRDefault="002C403D" w:rsidP="002C403D">
            <w:pPr>
              <w:jc w:val="right"/>
              <w:rPr>
                <w:color w:val="0070C0"/>
                <w:sz w:val="18"/>
                <w:szCs w:val="18"/>
              </w:rPr>
            </w:pPr>
            <w:r>
              <w:rPr>
                <w:color w:val="000000"/>
                <w:sz w:val="18"/>
                <w:szCs w:val="18"/>
              </w:rPr>
              <w:t>3,1</w:t>
            </w:r>
          </w:p>
        </w:tc>
        <w:tc>
          <w:tcPr>
            <w:tcW w:w="939" w:type="dxa"/>
            <w:tcBorders>
              <w:top w:val="nil"/>
              <w:left w:val="nil"/>
              <w:bottom w:val="nil"/>
              <w:right w:val="single" w:sz="4" w:space="0" w:color="800000"/>
            </w:tcBorders>
            <w:shd w:val="clear" w:color="000000" w:fill="FFFFCC"/>
            <w:noWrap/>
            <w:vAlign w:val="bottom"/>
            <w:hideMark/>
          </w:tcPr>
          <w:p w14:paraId="53B52754" w14:textId="4DC7081F" w:rsidR="002C403D" w:rsidRPr="007B48E9" w:rsidRDefault="002C403D" w:rsidP="002C403D">
            <w:pPr>
              <w:jc w:val="right"/>
              <w:rPr>
                <w:color w:val="0070C0"/>
                <w:sz w:val="18"/>
                <w:szCs w:val="18"/>
              </w:rPr>
            </w:pPr>
            <w:r>
              <w:rPr>
                <w:color w:val="000000"/>
                <w:sz w:val="18"/>
                <w:szCs w:val="18"/>
              </w:rPr>
              <w:t>15,9</w:t>
            </w:r>
          </w:p>
        </w:tc>
        <w:tc>
          <w:tcPr>
            <w:tcW w:w="946" w:type="dxa"/>
            <w:tcBorders>
              <w:top w:val="nil"/>
              <w:left w:val="nil"/>
              <w:bottom w:val="nil"/>
              <w:right w:val="single" w:sz="4" w:space="0" w:color="800000"/>
            </w:tcBorders>
            <w:shd w:val="clear" w:color="000000" w:fill="FFFFCC"/>
            <w:vAlign w:val="bottom"/>
          </w:tcPr>
          <w:p w14:paraId="67B2A2C5" w14:textId="0198D776" w:rsidR="002C403D" w:rsidRPr="007B48E9" w:rsidRDefault="002C403D" w:rsidP="002C403D">
            <w:pPr>
              <w:jc w:val="right"/>
              <w:rPr>
                <w:color w:val="0070C0"/>
                <w:sz w:val="18"/>
                <w:szCs w:val="18"/>
              </w:rPr>
            </w:pPr>
            <w:r>
              <w:rPr>
                <w:color w:val="000000"/>
                <w:sz w:val="18"/>
                <w:szCs w:val="18"/>
              </w:rPr>
              <w:t> </w:t>
            </w:r>
          </w:p>
        </w:tc>
      </w:tr>
      <w:tr w:rsidR="002C403D" w:rsidRPr="007B48E9" w14:paraId="7DC26572" w14:textId="77777777" w:rsidTr="003B085A">
        <w:trPr>
          <w:trHeight w:val="270"/>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72E2A97F" w14:textId="77777777" w:rsidR="002C403D" w:rsidRPr="00E70CCD" w:rsidRDefault="002C403D" w:rsidP="002C403D">
            <w:pPr>
              <w:rPr>
                <w:sz w:val="18"/>
                <w:szCs w:val="18"/>
              </w:rPr>
            </w:pPr>
            <w:r w:rsidRPr="00E70CCD">
              <w:rPr>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hideMark/>
          </w:tcPr>
          <w:p w14:paraId="7C8D6073" w14:textId="76C4DDA6" w:rsidR="002C403D" w:rsidRPr="007B48E9" w:rsidRDefault="002C403D" w:rsidP="002C403D">
            <w:pPr>
              <w:jc w:val="right"/>
              <w:rPr>
                <w:color w:val="0070C0"/>
                <w:sz w:val="18"/>
                <w:szCs w:val="18"/>
              </w:rPr>
            </w:pPr>
            <w:r>
              <w:rPr>
                <w:color w:val="000000"/>
                <w:sz w:val="18"/>
                <w:szCs w:val="18"/>
              </w:rPr>
              <w:t>754,7</w:t>
            </w:r>
          </w:p>
        </w:tc>
        <w:tc>
          <w:tcPr>
            <w:tcW w:w="851" w:type="dxa"/>
            <w:tcBorders>
              <w:top w:val="nil"/>
              <w:left w:val="nil"/>
              <w:bottom w:val="nil"/>
              <w:right w:val="single" w:sz="4" w:space="0" w:color="800000"/>
            </w:tcBorders>
            <w:shd w:val="clear" w:color="000000" w:fill="FFFFCC"/>
            <w:noWrap/>
            <w:vAlign w:val="bottom"/>
            <w:hideMark/>
          </w:tcPr>
          <w:p w14:paraId="56BA0A98" w14:textId="12502CCE" w:rsidR="002C403D" w:rsidRPr="007B48E9" w:rsidRDefault="002C403D" w:rsidP="002C403D">
            <w:pPr>
              <w:jc w:val="right"/>
              <w:rPr>
                <w:color w:val="0070C0"/>
                <w:sz w:val="18"/>
                <w:szCs w:val="18"/>
              </w:rPr>
            </w:pPr>
            <w:r>
              <w:rPr>
                <w:color w:val="000000"/>
                <w:sz w:val="18"/>
                <w:szCs w:val="18"/>
              </w:rPr>
              <w:t>11,8</w:t>
            </w:r>
          </w:p>
        </w:tc>
        <w:tc>
          <w:tcPr>
            <w:tcW w:w="850" w:type="dxa"/>
            <w:tcBorders>
              <w:top w:val="nil"/>
              <w:left w:val="nil"/>
              <w:bottom w:val="nil"/>
              <w:right w:val="single" w:sz="4" w:space="0" w:color="800000"/>
            </w:tcBorders>
            <w:shd w:val="clear" w:color="000000" w:fill="FFFFCC"/>
            <w:noWrap/>
            <w:vAlign w:val="bottom"/>
            <w:hideMark/>
          </w:tcPr>
          <w:p w14:paraId="3A355BEF" w14:textId="564F6D03" w:rsidR="002C403D" w:rsidRPr="007B48E9" w:rsidRDefault="002C403D" w:rsidP="002C403D">
            <w:pPr>
              <w:jc w:val="right"/>
              <w:rPr>
                <w:color w:val="0070C0"/>
                <w:sz w:val="18"/>
                <w:szCs w:val="18"/>
              </w:rPr>
            </w:pPr>
            <w:r>
              <w:rPr>
                <w:color w:val="000000"/>
                <w:sz w:val="18"/>
                <w:szCs w:val="18"/>
              </w:rPr>
              <w:t>524,0</w:t>
            </w:r>
          </w:p>
        </w:tc>
        <w:tc>
          <w:tcPr>
            <w:tcW w:w="842" w:type="dxa"/>
            <w:tcBorders>
              <w:top w:val="nil"/>
              <w:left w:val="nil"/>
              <w:bottom w:val="nil"/>
              <w:right w:val="single" w:sz="4" w:space="0" w:color="800000"/>
            </w:tcBorders>
            <w:shd w:val="clear" w:color="000000" w:fill="FFFFCC"/>
            <w:noWrap/>
            <w:vAlign w:val="bottom"/>
          </w:tcPr>
          <w:p w14:paraId="2C14BD30" w14:textId="22597630" w:rsidR="002C403D" w:rsidRPr="007B48E9" w:rsidRDefault="002C403D" w:rsidP="002C403D">
            <w:pPr>
              <w:jc w:val="right"/>
              <w:rPr>
                <w:color w:val="0070C0"/>
                <w:sz w:val="18"/>
                <w:szCs w:val="18"/>
              </w:rPr>
            </w:pPr>
            <w:r>
              <w:rPr>
                <w:color w:val="000000"/>
                <w:sz w:val="18"/>
                <w:szCs w:val="18"/>
              </w:rPr>
              <w:t>7,5</w:t>
            </w:r>
          </w:p>
        </w:tc>
        <w:tc>
          <w:tcPr>
            <w:tcW w:w="939" w:type="dxa"/>
            <w:tcBorders>
              <w:top w:val="nil"/>
              <w:left w:val="nil"/>
              <w:bottom w:val="nil"/>
              <w:right w:val="single" w:sz="4" w:space="0" w:color="800000"/>
            </w:tcBorders>
            <w:shd w:val="clear" w:color="000000" w:fill="FFFFCC"/>
            <w:noWrap/>
            <w:vAlign w:val="bottom"/>
            <w:hideMark/>
          </w:tcPr>
          <w:p w14:paraId="32AA9A5A" w14:textId="7688BB0D" w:rsidR="002C403D" w:rsidRPr="007B48E9" w:rsidRDefault="002C403D" w:rsidP="002C403D">
            <w:pPr>
              <w:jc w:val="right"/>
              <w:rPr>
                <w:color w:val="0070C0"/>
                <w:sz w:val="18"/>
                <w:szCs w:val="18"/>
              </w:rPr>
            </w:pPr>
            <w:r>
              <w:rPr>
                <w:color w:val="000000"/>
                <w:sz w:val="18"/>
                <w:szCs w:val="18"/>
              </w:rPr>
              <w:t>211,3</w:t>
            </w:r>
          </w:p>
        </w:tc>
        <w:tc>
          <w:tcPr>
            <w:tcW w:w="946" w:type="dxa"/>
            <w:tcBorders>
              <w:top w:val="nil"/>
              <w:left w:val="nil"/>
              <w:bottom w:val="nil"/>
              <w:right w:val="single" w:sz="4" w:space="0" w:color="800000"/>
            </w:tcBorders>
            <w:shd w:val="clear" w:color="000000" w:fill="FFFFCC"/>
            <w:vAlign w:val="bottom"/>
          </w:tcPr>
          <w:p w14:paraId="55F04636" w14:textId="304A4EF7" w:rsidR="002C403D" w:rsidRPr="007B48E9" w:rsidRDefault="002C403D" w:rsidP="002C403D">
            <w:pPr>
              <w:jc w:val="right"/>
              <w:rPr>
                <w:color w:val="0070C0"/>
                <w:sz w:val="18"/>
                <w:szCs w:val="18"/>
              </w:rPr>
            </w:pPr>
            <w:r>
              <w:rPr>
                <w:color w:val="000000"/>
                <w:sz w:val="18"/>
                <w:szCs w:val="18"/>
              </w:rPr>
              <w:t> </w:t>
            </w:r>
          </w:p>
        </w:tc>
      </w:tr>
      <w:tr w:rsidR="002C403D" w:rsidRPr="007B48E9" w14:paraId="73B1D524" w14:textId="77777777" w:rsidTr="003B085A">
        <w:trPr>
          <w:trHeight w:val="255"/>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25BAD2D5" w14:textId="77777777" w:rsidR="002C403D" w:rsidRPr="00E70CCD" w:rsidRDefault="002C403D" w:rsidP="002C403D">
            <w:pPr>
              <w:rPr>
                <w:sz w:val="18"/>
                <w:szCs w:val="18"/>
              </w:rPr>
            </w:pPr>
            <w:r w:rsidRPr="00E70CCD">
              <w:rPr>
                <w:sz w:val="18"/>
                <w:szCs w:val="18"/>
              </w:rPr>
              <w:t xml:space="preserve">   Пред. тек. и кап. тр/ри за чужбина</w:t>
            </w:r>
          </w:p>
        </w:tc>
        <w:tc>
          <w:tcPr>
            <w:tcW w:w="850" w:type="dxa"/>
            <w:tcBorders>
              <w:top w:val="nil"/>
              <w:left w:val="single" w:sz="4" w:space="0" w:color="800000"/>
              <w:bottom w:val="nil"/>
              <w:right w:val="single" w:sz="4" w:space="0" w:color="800000"/>
            </w:tcBorders>
            <w:shd w:val="clear" w:color="000000" w:fill="FFFFCC"/>
            <w:noWrap/>
            <w:vAlign w:val="bottom"/>
            <w:hideMark/>
          </w:tcPr>
          <w:p w14:paraId="0B36F825" w14:textId="5AB07D12" w:rsidR="002C403D" w:rsidRPr="007B48E9" w:rsidRDefault="002C403D" w:rsidP="002C403D">
            <w:pPr>
              <w:jc w:val="right"/>
              <w:rPr>
                <w:color w:val="0070C0"/>
                <w:sz w:val="18"/>
                <w:szCs w:val="18"/>
              </w:rPr>
            </w:pPr>
            <w:r>
              <w:rPr>
                <w:color w:val="000000"/>
                <w:sz w:val="18"/>
                <w:szCs w:val="18"/>
              </w:rPr>
              <w:t>1,3</w:t>
            </w:r>
          </w:p>
        </w:tc>
        <w:tc>
          <w:tcPr>
            <w:tcW w:w="851" w:type="dxa"/>
            <w:tcBorders>
              <w:top w:val="nil"/>
              <w:left w:val="nil"/>
              <w:bottom w:val="nil"/>
              <w:right w:val="single" w:sz="4" w:space="0" w:color="800000"/>
            </w:tcBorders>
            <w:shd w:val="clear" w:color="000000" w:fill="FFFFCC"/>
            <w:noWrap/>
            <w:vAlign w:val="bottom"/>
            <w:hideMark/>
          </w:tcPr>
          <w:p w14:paraId="56DA50D9" w14:textId="06E2282F" w:rsidR="002C403D" w:rsidRPr="007B48E9" w:rsidRDefault="002C403D" w:rsidP="002C403D">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105C7186" w14:textId="16B81F9B" w:rsidR="002C403D" w:rsidRPr="007B48E9" w:rsidRDefault="002C403D" w:rsidP="002C403D">
            <w:pPr>
              <w:jc w:val="right"/>
              <w:rPr>
                <w:color w:val="0070C0"/>
                <w:sz w:val="18"/>
                <w:szCs w:val="18"/>
              </w:rPr>
            </w:pPr>
            <w:r>
              <w:rPr>
                <w:color w:val="000000"/>
                <w:sz w:val="18"/>
                <w:szCs w:val="18"/>
              </w:rPr>
              <w:t> </w:t>
            </w:r>
          </w:p>
        </w:tc>
        <w:tc>
          <w:tcPr>
            <w:tcW w:w="842" w:type="dxa"/>
            <w:tcBorders>
              <w:top w:val="nil"/>
              <w:left w:val="nil"/>
              <w:bottom w:val="nil"/>
              <w:right w:val="single" w:sz="4" w:space="0" w:color="800000"/>
            </w:tcBorders>
            <w:shd w:val="clear" w:color="000000" w:fill="FFFFCC"/>
            <w:noWrap/>
            <w:vAlign w:val="bottom"/>
            <w:hideMark/>
          </w:tcPr>
          <w:p w14:paraId="457BC93E" w14:textId="325AE662" w:rsidR="002C403D" w:rsidRPr="007B48E9" w:rsidRDefault="002C403D" w:rsidP="002C403D">
            <w:pPr>
              <w:jc w:val="right"/>
              <w:rPr>
                <w:color w:val="0070C0"/>
                <w:sz w:val="18"/>
                <w:szCs w:val="18"/>
              </w:rPr>
            </w:pPr>
            <w:r>
              <w:rPr>
                <w:color w:val="000000"/>
                <w:sz w:val="18"/>
                <w:szCs w:val="18"/>
              </w:rPr>
              <w:t>0,2</w:t>
            </w:r>
          </w:p>
        </w:tc>
        <w:tc>
          <w:tcPr>
            <w:tcW w:w="939" w:type="dxa"/>
            <w:tcBorders>
              <w:top w:val="nil"/>
              <w:left w:val="nil"/>
              <w:bottom w:val="nil"/>
              <w:right w:val="single" w:sz="4" w:space="0" w:color="800000"/>
            </w:tcBorders>
            <w:shd w:val="clear" w:color="000000" w:fill="FFFFCC"/>
            <w:noWrap/>
            <w:vAlign w:val="bottom"/>
            <w:hideMark/>
          </w:tcPr>
          <w:p w14:paraId="38E425C4" w14:textId="47FD6E9B" w:rsidR="002C403D" w:rsidRPr="007B48E9" w:rsidRDefault="002C403D" w:rsidP="002C403D">
            <w:pPr>
              <w:jc w:val="right"/>
              <w:rPr>
                <w:color w:val="0070C0"/>
                <w:sz w:val="18"/>
                <w:szCs w:val="18"/>
              </w:rPr>
            </w:pPr>
            <w:r>
              <w:rPr>
                <w:color w:val="000000"/>
                <w:sz w:val="18"/>
                <w:szCs w:val="18"/>
              </w:rPr>
              <w:t>1,1</w:t>
            </w:r>
          </w:p>
        </w:tc>
        <w:tc>
          <w:tcPr>
            <w:tcW w:w="946" w:type="dxa"/>
            <w:tcBorders>
              <w:top w:val="nil"/>
              <w:left w:val="nil"/>
              <w:bottom w:val="nil"/>
              <w:right w:val="single" w:sz="4" w:space="0" w:color="800000"/>
            </w:tcBorders>
            <w:shd w:val="clear" w:color="000000" w:fill="FFFFCC"/>
            <w:vAlign w:val="bottom"/>
          </w:tcPr>
          <w:p w14:paraId="2389ACAB" w14:textId="02743B35" w:rsidR="002C403D" w:rsidRPr="007B48E9" w:rsidRDefault="002C403D" w:rsidP="002C403D">
            <w:pPr>
              <w:jc w:val="right"/>
              <w:rPr>
                <w:color w:val="0070C0"/>
                <w:sz w:val="18"/>
                <w:szCs w:val="18"/>
              </w:rPr>
            </w:pPr>
            <w:r>
              <w:rPr>
                <w:color w:val="000000"/>
                <w:sz w:val="18"/>
                <w:szCs w:val="18"/>
              </w:rPr>
              <w:t> </w:t>
            </w:r>
          </w:p>
        </w:tc>
      </w:tr>
      <w:tr w:rsidR="002C403D" w:rsidRPr="007B48E9" w14:paraId="7615B88E" w14:textId="77777777" w:rsidTr="003B085A">
        <w:trPr>
          <w:trHeight w:val="255"/>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084AA8B0" w14:textId="77777777" w:rsidR="002C403D" w:rsidRPr="00E70CCD" w:rsidRDefault="002C403D" w:rsidP="002C403D">
            <w:pPr>
              <w:rPr>
                <w:b/>
                <w:bCs/>
                <w:sz w:val="18"/>
                <w:szCs w:val="18"/>
              </w:rPr>
            </w:pPr>
            <w:r w:rsidRPr="00E70CCD">
              <w:rPr>
                <w:b/>
                <w:bCs/>
                <w:sz w:val="18"/>
                <w:szCs w:val="18"/>
              </w:rPr>
              <w:t xml:space="preserve">  Б. ОПАЗВАНЕ НА ОКОЛНАТА СРЕДА</w:t>
            </w:r>
          </w:p>
        </w:tc>
        <w:tc>
          <w:tcPr>
            <w:tcW w:w="850" w:type="dxa"/>
            <w:tcBorders>
              <w:top w:val="nil"/>
              <w:left w:val="single" w:sz="4" w:space="0" w:color="800000"/>
              <w:bottom w:val="nil"/>
              <w:right w:val="single" w:sz="4" w:space="0" w:color="800000"/>
            </w:tcBorders>
            <w:shd w:val="clear" w:color="000000" w:fill="FFFFCC"/>
            <w:noWrap/>
            <w:vAlign w:val="bottom"/>
            <w:hideMark/>
          </w:tcPr>
          <w:p w14:paraId="33361CEA" w14:textId="44057C48" w:rsidR="002C403D" w:rsidRPr="007B48E9" w:rsidRDefault="002C403D" w:rsidP="002C403D">
            <w:pPr>
              <w:jc w:val="right"/>
              <w:rPr>
                <w:b/>
                <w:bCs/>
                <w:color w:val="0070C0"/>
                <w:sz w:val="18"/>
                <w:szCs w:val="18"/>
              </w:rPr>
            </w:pPr>
            <w:r>
              <w:rPr>
                <w:b/>
                <w:bCs/>
                <w:color w:val="000000"/>
                <w:sz w:val="18"/>
                <w:szCs w:val="18"/>
              </w:rPr>
              <w:t>1 425,3</w:t>
            </w:r>
          </w:p>
        </w:tc>
        <w:tc>
          <w:tcPr>
            <w:tcW w:w="851" w:type="dxa"/>
            <w:tcBorders>
              <w:top w:val="nil"/>
              <w:left w:val="nil"/>
              <w:bottom w:val="nil"/>
              <w:right w:val="single" w:sz="4" w:space="0" w:color="800000"/>
            </w:tcBorders>
            <w:shd w:val="clear" w:color="000000" w:fill="FFFFCC"/>
            <w:noWrap/>
            <w:vAlign w:val="bottom"/>
            <w:hideMark/>
          </w:tcPr>
          <w:p w14:paraId="3E000098" w14:textId="6BD8D232" w:rsidR="002C403D" w:rsidRPr="007B48E9" w:rsidRDefault="002C403D" w:rsidP="002C403D">
            <w:pPr>
              <w:jc w:val="right"/>
              <w:rPr>
                <w:b/>
                <w:bCs/>
                <w:color w:val="0070C0"/>
                <w:sz w:val="18"/>
                <w:szCs w:val="18"/>
              </w:rPr>
            </w:pPr>
            <w:r>
              <w:rPr>
                <w:b/>
                <w:bCs/>
                <w:color w:val="000000"/>
                <w:sz w:val="18"/>
                <w:szCs w:val="18"/>
              </w:rPr>
              <w:t>78,2</w:t>
            </w:r>
          </w:p>
        </w:tc>
        <w:tc>
          <w:tcPr>
            <w:tcW w:w="850" w:type="dxa"/>
            <w:tcBorders>
              <w:top w:val="nil"/>
              <w:left w:val="nil"/>
              <w:bottom w:val="nil"/>
              <w:right w:val="single" w:sz="4" w:space="0" w:color="800000"/>
            </w:tcBorders>
            <w:shd w:val="clear" w:color="000000" w:fill="FFFFCC"/>
            <w:noWrap/>
            <w:vAlign w:val="bottom"/>
            <w:hideMark/>
          </w:tcPr>
          <w:p w14:paraId="21239AEA" w14:textId="6A8A6FB0" w:rsidR="002C403D" w:rsidRPr="007B48E9" w:rsidRDefault="002C403D" w:rsidP="002C403D">
            <w:pPr>
              <w:jc w:val="right"/>
              <w:rPr>
                <w:b/>
                <w:bCs/>
                <w:color w:val="0070C0"/>
                <w:sz w:val="18"/>
                <w:szCs w:val="18"/>
              </w:rPr>
            </w:pPr>
            <w:r>
              <w:rPr>
                <w:b/>
                <w:bCs/>
                <w:color w:val="000000"/>
                <w:sz w:val="18"/>
                <w:szCs w:val="18"/>
              </w:rPr>
              <w:t>911,0</w:t>
            </w:r>
          </w:p>
        </w:tc>
        <w:tc>
          <w:tcPr>
            <w:tcW w:w="842" w:type="dxa"/>
            <w:tcBorders>
              <w:top w:val="nil"/>
              <w:left w:val="nil"/>
              <w:bottom w:val="nil"/>
              <w:right w:val="single" w:sz="4" w:space="0" w:color="800000"/>
            </w:tcBorders>
            <w:shd w:val="clear" w:color="000000" w:fill="FFFFCC"/>
            <w:noWrap/>
            <w:vAlign w:val="bottom"/>
            <w:hideMark/>
          </w:tcPr>
          <w:p w14:paraId="6DFAD8B9" w14:textId="7B97C582" w:rsidR="002C403D" w:rsidRPr="007B48E9" w:rsidRDefault="002C403D" w:rsidP="002C403D">
            <w:pPr>
              <w:jc w:val="right"/>
              <w:rPr>
                <w:b/>
                <w:bCs/>
                <w:color w:val="0070C0"/>
                <w:sz w:val="18"/>
                <w:szCs w:val="18"/>
              </w:rPr>
            </w:pPr>
            <w:r>
              <w:rPr>
                <w:b/>
                <w:bCs/>
                <w:color w:val="000000"/>
                <w:sz w:val="18"/>
                <w:szCs w:val="18"/>
              </w:rPr>
              <w:t>3,0</w:t>
            </w:r>
          </w:p>
        </w:tc>
        <w:tc>
          <w:tcPr>
            <w:tcW w:w="939" w:type="dxa"/>
            <w:tcBorders>
              <w:top w:val="nil"/>
              <w:left w:val="nil"/>
              <w:bottom w:val="nil"/>
              <w:right w:val="single" w:sz="4" w:space="0" w:color="800000"/>
            </w:tcBorders>
            <w:shd w:val="clear" w:color="000000" w:fill="FFFFCC"/>
            <w:noWrap/>
            <w:vAlign w:val="bottom"/>
            <w:hideMark/>
          </w:tcPr>
          <w:p w14:paraId="4B59299E" w14:textId="56850F36" w:rsidR="002C403D" w:rsidRPr="007B48E9" w:rsidRDefault="002C403D" w:rsidP="002C403D">
            <w:pPr>
              <w:jc w:val="right"/>
              <w:rPr>
                <w:b/>
                <w:bCs/>
                <w:color w:val="0070C0"/>
                <w:sz w:val="18"/>
                <w:szCs w:val="18"/>
              </w:rPr>
            </w:pPr>
            <w:r>
              <w:rPr>
                <w:b/>
                <w:bCs/>
                <w:color w:val="000000"/>
                <w:sz w:val="18"/>
                <w:szCs w:val="18"/>
              </w:rPr>
              <w:t>414,4</w:t>
            </w:r>
          </w:p>
        </w:tc>
        <w:tc>
          <w:tcPr>
            <w:tcW w:w="946" w:type="dxa"/>
            <w:tcBorders>
              <w:top w:val="nil"/>
              <w:left w:val="nil"/>
              <w:bottom w:val="nil"/>
              <w:right w:val="single" w:sz="4" w:space="0" w:color="800000"/>
            </w:tcBorders>
            <w:shd w:val="clear" w:color="000000" w:fill="FFFFCC"/>
            <w:vAlign w:val="bottom"/>
          </w:tcPr>
          <w:p w14:paraId="369E6858" w14:textId="6AE5F8D6" w:rsidR="002C403D" w:rsidRPr="007B48E9" w:rsidRDefault="002C403D" w:rsidP="002C403D">
            <w:pPr>
              <w:jc w:val="right"/>
              <w:rPr>
                <w:b/>
                <w:bCs/>
                <w:color w:val="0070C0"/>
                <w:sz w:val="18"/>
                <w:szCs w:val="18"/>
              </w:rPr>
            </w:pPr>
            <w:r>
              <w:rPr>
                <w:b/>
                <w:bCs/>
                <w:color w:val="000000"/>
                <w:sz w:val="18"/>
                <w:szCs w:val="18"/>
              </w:rPr>
              <w:t>18,7</w:t>
            </w:r>
          </w:p>
        </w:tc>
      </w:tr>
      <w:tr w:rsidR="002C403D" w:rsidRPr="007B48E9" w14:paraId="08D7EE1A" w14:textId="77777777" w:rsidTr="003B085A">
        <w:trPr>
          <w:trHeight w:val="270"/>
          <w:jc w:val="center"/>
        </w:trPr>
        <w:tc>
          <w:tcPr>
            <w:tcW w:w="4853" w:type="dxa"/>
            <w:tcBorders>
              <w:top w:val="nil"/>
              <w:left w:val="double" w:sz="6" w:space="0" w:color="800000"/>
              <w:bottom w:val="nil"/>
              <w:right w:val="single" w:sz="4" w:space="0" w:color="800000"/>
            </w:tcBorders>
            <w:shd w:val="clear" w:color="auto" w:fill="FFFFCC"/>
            <w:noWrap/>
            <w:vAlign w:val="bottom"/>
            <w:hideMark/>
          </w:tcPr>
          <w:p w14:paraId="3A560F74" w14:textId="77777777" w:rsidR="002C403D" w:rsidRPr="00E70CCD" w:rsidRDefault="002C403D" w:rsidP="002C403D">
            <w:pPr>
              <w:rPr>
                <w:sz w:val="18"/>
                <w:szCs w:val="18"/>
              </w:rPr>
            </w:pPr>
            <w:r w:rsidRPr="00E70CCD">
              <w:rPr>
                <w:sz w:val="18"/>
                <w:szCs w:val="18"/>
              </w:rPr>
              <w:t xml:space="preserve">   Текущи нелихвени разходи</w:t>
            </w:r>
          </w:p>
        </w:tc>
        <w:tc>
          <w:tcPr>
            <w:tcW w:w="850" w:type="dxa"/>
            <w:tcBorders>
              <w:top w:val="nil"/>
              <w:left w:val="single" w:sz="4" w:space="0" w:color="800000"/>
              <w:bottom w:val="nil"/>
              <w:right w:val="single" w:sz="4" w:space="0" w:color="800000"/>
            </w:tcBorders>
            <w:shd w:val="clear" w:color="000000" w:fill="FFFFCC"/>
            <w:noWrap/>
            <w:vAlign w:val="bottom"/>
            <w:hideMark/>
          </w:tcPr>
          <w:p w14:paraId="129BB653" w14:textId="65824B7D" w:rsidR="002C403D" w:rsidRPr="007B48E9" w:rsidRDefault="002C403D" w:rsidP="002C403D">
            <w:pPr>
              <w:jc w:val="right"/>
              <w:rPr>
                <w:color w:val="0070C0"/>
                <w:sz w:val="18"/>
                <w:szCs w:val="18"/>
              </w:rPr>
            </w:pPr>
            <w:r>
              <w:rPr>
                <w:color w:val="000000"/>
                <w:sz w:val="18"/>
                <w:szCs w:val="18"/>
              </w:rPr>
              <w:t>919,7</w:t>
            </w:r>
          </w:p>
        </w:tc>
        <w:tc>
          <w:tcPr>
            <w:tcW w:w="851" w:type="dxa"/>
            <w:tcBorders>
              <w:top w:val="nil"/>
              <w:left w:val="nil"/>
              <w:bottom w:val="nil"/>
              <w:right w:val="single" w:sz="4" w:space="0" w:color="800000"/>
            </w:tcBorders>
            <w:shd w:val="clear" w:color="000000" w:fill="FFFFCC"/>
            <w:noWrap/>
            <w:vAlign w:val="bottom"/>
            <w:hideMark/>
          </w:tcPr>
          <w:p w14:paraId="7AAE582E" w14:textId="043BD4AB" w:rsidR="002C403D" w:rsidRPr="007B48E9" w:rsidRDefault="002C403D" w:rsidP="002C403D">
            <w:pPr>
              <w:jc w:val="right"/>
              <w:rPr>
                <w:color w:val="0070C0"/>
                <w:sz w:val="18"/>
                <w:szCs w:val="18"/>
              </w:rPr>
            </w:pPr>
            <w:r>
              <w:rPr>
                <w:color w:val="000000"/>
                <w:sz w:val="18"/>
                <w:szCs w:val="18"/>
              </w:rPr>
              <w:t>63,7</w:t>
            </w:r>
          </w:p>
        </w:tc>
        <w:tc>
          <w:tcPr>
            <w:tcW w:w="850" w:type="dxa"/>
            <w:tcBorders>
              <w:top w:val="nil"/>
              <w:left w:val="nil"/>
              <w:bottom w:val="nil"/>
              <w:right w:val="single" w:sz="4" w:space="0" w:color="800000"/>
            </w:tcBorders>
            <w:shd w:val="clear" w:color="000000" w:fill="FFFFCC"/>
            <w:noWrap/>
            <w:vAlign w:val="bottom"/>
            <w:hideMark/>
          </w:tcPr>
          <w:p w14:paraId="0D79C83D" w14:textId="545DA90D" w:rsidR="002C403D" w:rsidRPr="007B48E9" w:rsidRDefault="002C403D" w:rsidP="002C403D">
            <w:pPr>
              <w:jc w:val="right"/>
              <w:rPr>
                <w:color w:val="0070C0"/>
                <w:sz w:val="18"/>
                <w:szCs w:val="18"/>
              </w:rPr>
            </w:pPr>
            <w:r>
              <w:rPr>
                <w:color w:val="000000"/>
                <w:sz w:val="18"/>
                <w:szCs w:val="18"/>
              </w:rPr>
              <w:t>804,3</w:t>
            </w:r>
          </w:p>
        </w:tc>
        <w:tc>
          <w:tcPr>
            <w:tcW w:w="842" w:type="dxa"/>
            <w:tcBorders>
              <w:top w:val="nil"/>
              <w:left w:val="nil"/>
              <w:bottom w:val="nil"/>
              <w:right w:val="single" w:sz="4" w:space="0" w:color="800000"/>
            </w:tcBorders>
            <w:shd w:val="clear" w:color="000000" w:fill="FFFFCC"/>
            <w:noWrap/>
            <w:vAlign w:val="bottom"/>
            <w:hideMark/>
          </w:tcPr>
          <w:p w14:paraId="14037274" w14:textId="2021248F" w:rsidR="002C403D" w:rsidRPr="007B48E9" w:rsidRDefault="002C403D" w:rsidP="002C403D">
            <w:pPr>
              <w:jc w:val="right"/>
              <w:rPr>
                <w:color w:val="0070C0"/>
                <w:sz w:val="18"/>
                <w:szCs w:val="18"/>
              </w:rPr>
            </w:pPr>
            <w:r>
              <w:rPr>
                <w:color w:val="000000"/>
                <w:sz w:val="18"/>
                <w:szCs w:val="18"/>
              </w:rPr>
              <w:t>1,8</w:t>
            </w:r>
          </w:p>
        </w:tc>
        <w:tc>
          <w:tcPr>
            <w:tcW w:w="939" w:type="dxa"/>
            <w:tcBorders>
              <w:top w:val="nil"/>
              <w:left w:val="nil"/>
              <w:bottom w:val="nil"/>
              <w:right w:val="single" w:sz="4" w:space="0" w:color="800000"/>
            </w:tcBorders>
            <w:shd w:val="clear" w:color="000000" w:fill="FFFFCC"/>
            <w:noWrap/>
            <w:vAlign w:val="bottom"/>
            <w:hideMark/>
          </w:tcPr>
          <w:p w14:paraId="634A78A5" w14:textId="17722C35" w:rsidR="002C403D" w:rsidRPr="007B48E9" w:rsidRDefault="002C403D" w:rsidP="002C403D">
            <w:pPr>
              <w:jc w:val="right"/>
              <w:rPr>
                <w:color w:val="0070C0"/>
                <w:sz w:val="18"/>
                <w:szCs w:val="18"/>
              </w:rPr>
            </w:pPr>
            <w:r>
              <w:rPr>
                <w:color w:val="000000"/>
                <w:sz w:val="18"/>
                <w:szCs w:val="18"/>
              </w:rPr>
              <w:t>44,5</w:t>
            </w:r>
          </w:p>
        </w:tc>
        <w:tc>
          <w:tcPr>
            <w:tcW w:w="946" w:type="dxa"/>
            <w:tcBorders>
              <w:top w:val="nil"/>
              <w:left w:val="nil"/>
              <w:bottom w:val="nil"/>
              <w:right w:val="single" w:sz="4" w:space="0" w:color="800000"/>
            </w:tcBorders>
            <w:shd w:val="clear" w:color="000000" w:fill="FFFFCC"/>
            <w:vAlign w:val="bottom"/>
          </w:tcPr>
          <w:p w14:paraId="3B034E19" w14:textId="0D066ABC" w:rsidR="002C403D" w:rsidRPr="007B48E9" w:rsidRDefault="002C403D" w:rsidP="002C403D">
            <w:pPr>
              <w:jc w:val="right"/>
              <w:rPr>
                <w:color w:val="0070C0"/>
                <w:sz w:val="18"/>
                <w:szCs w:val="18"/>
              </w:rPr>
            </w:pPr>
            <w:r>
              <w:rPr>
                <w:color w:val="000000"/>
                <w:sz w:val="18"/>
                <w:szCs w:val="18"/>
              </w:rPr>
              <w:t>5,4</w:t>
            </w:r>
          </w:p>
        </w:tc>
      </w:tr>
      <w:tr w:rsidR="002C403D" w:rsidRPr="007B48E9" w14:paraId="477D4712" w14:textId="77777777" w:rsidTr="003B085A">
        <w:trPr>
          <w:trHeight w:val="270"/>
          <w:jc w:val="center"/>
        </w:trPr>
        <w:tc>
          <w:tcPr>
            <w:tcW w:w="4853" w:type="dxa"/>
            <w:tcBorders>
              <w:top w:val="nil"/>
              <w:left w:val="double" w:sz="6" w:space="0" w:color="800000"/>
              <w:bottom w:val="nil"/>
              <w:right w:val="single" w:sz="4" w:space="0" w:color="800000"/>
            </w:tcBorders>
            <w:shd w:val="clear" w:color="auto" w:fill="FFFFCC"/>
            <w:noWrap/>
            <w:vAlign w:val="bottom"/>
          </w:tcPr>
          <w:p w14:paraId="5ED606D4" w14:textId="77777777" w:rsidR="002C403D" w:rsidRPr="00E70CCD" w:rsidRDefault="002C403D" w:rsidP="002C403D">
            <w:pPr>
              <w:rPr>
                <w:sz w:val="18"/>
                <w:szCs w:val="18"/>
              </w:rPr>
            </w:pPr>
            <w:r w:rsidRPr="00E70CCD">
              <w:rPr>
                <w:sz w:val="18"/>
                <w:szCs w:val="18"/>
              </w:rPr>
              <w:t xml:space="preserve">   Капиталови разходи</w:t>
            </w:r>
          </w:p>
        </w:tc>
        <w:tc>
          <w:tcPr>
            <w:tcW w:w="850" w:type="dxa"/>
            <w:tcBorders>
              <w:top w:val="nil"/>
              <w:left w:val="single" w:sz="4" w:space="0" w:color="800000"/>
              <w:bottom w:val="nil"/>
              <w:right w:val="single" w:sz="4" w:space="0" w:color="800000"/>
            </w:tcBorders>
            <w:shd w:val="clear" w:color="000000" w:fill="FFFFCC"/>
            <w:noWrap/>
            <w:vAlign w:val="bottom"/>
          </w:tcPr>
          <w:p w14:paraId="53D0D35F" w14:textId="14C22D9E" w:rsidR="002C403D" w:rsidRPr="007B48E9" w:rsidRDefault="002C403D" w:rsidP="002C403D">
            <w:pPr>
              <w:jc w:val="right"/>
              <w:rPr>
                <w:color w:val="0070C0"/>
                <w:sz w:val="18"/>
                <w:szCs w:val="18"/>
              </w:rPr>
            </w:pPr>
            <w:r>
              <w:rPr>
                <w:color w:val="000000"/>
                <w:sz w:val="18"/>
                <w:szCs w:val="18"/>
              </w:rPr>
              <w:t>501,4</w:t>
            </w:r>
          </w:p>
        </w:tc>
        <w:tc>
          <w:tcPr>
            <w:tcW w:w="851" w:type="dxa"/>
            <w:tcBorders>
              <w:top w:val="nil"/>
              <w:left w:val="nil"/>
              <w:bottom w:val="nil"/>
              <w:right w:val="single" w:sz="4" w:space="0" w:color="800000"/>
            </w:tcBorders>
            <w:shd w:val="clear" w:color="000000" w:fill="FFFFCC"/>
            <w:noWrap/>
            <w:vAlign w:val="bottom"/>
          </w:tcPr>
          <w:p w14:paraId="0D49D3FC" w14:textId="170EC6AA" w:rsidR="002C403D" w:rsidRPr="007B48E9" w:rsidRDefault="002C403D" w:rsidP="002C403D">
            <w:pPr>
              <w:jc w:val="right"/>
              <w:rPr>
                <w:color w:val="0070C0"/>
                <w:sz w:val="18"/>
                <w:szCs w:val="18"/>
              </w:rPr>
            </w:pPr>
            <w:r>
              <w:rPr>
                <w:color w:val="000000"/>
                <w:sz w:val="18"/>
                <w:szCs w:val="18"/>
              </w:rPr>
              <w:t>14,6</w:t>
            </w:r>
          </w:p>
        </w:tc>
        <w:tc>
          <w:tcPr>
            <w:tcW w:w="850" w:type="dxa"/>
            <w:tcBorders>
              <w:top w:val="nil"/>
              <w:left w:val="nil"/>
              <w:bottom w:val="nil"/>
              <w:right w:val="single" w:sz="4" w:space="0" w:color="800000"/>
            </w:tcBorders>
            <w:shd w:val="clear" w:color="000000" w:fill="FFFFCC"/>
            <w:noWrap/>
            <w:vAlign w:val="bottom"/>
          </w:tcPr>
          <w:p w14:paraId="6456104F" w14:textId="602755EE" w:rsidR="002C403D" w:rsidRPr="007B48E9" w:rsidRDefault="002C403D" w:rsidP="002C403D">
            <w:pPr>
              <w:jc w:val="right"/>
              <w:rPr>
                <w:color w:val="0070C0"/>
                <w:sz w:val="18"/>
                <w:szCs w:val="18"/>
              </w:rPr>
            </w:pPr>
            <w:r>
              <w:rPr>
                <w:color w:val="000000"/>
                <w:sz w:val="18"/>
                <w:szCs w:val="18"/>
              </w:rPr>
              <w:t>106,7</w:t>
            </w:r>
          </w:p>
        </w:tc>
        <w:tc>
          <w:tcPr>
            <w:tcW w:w="842" w:type="dxa"/>
            <w:tcBorders>
              <w:top w:val="nil"/>
              <w:left w:val="nil"/>
              <w:bottom w:val="nil"/>
              <w:right w:val="single" w:sz="4" w:space="0" w:color="800000"/>
            </w:tcBorders>
            <w:shd w:val="clear" w:color="000000" w:fill="FFFFCC"/>
            <w:noWrap/>
            <w:vAlign w:val="bottom"/>
          </w:tcPr>
          <w:p w14:paraId="54BC9584" w14:textId="281D5128" w:rsidR="002C403D" w:rsidRPr="007B48E9" w:rsidRDefault="002C403D" w:rsidP="002C403D">
            <w:pPr>
              <w:jc w:val="right"/>
              <w:rPr>
                <w:color w:val="0070C0"/>
                <w:sz w:val="18"/>
                <w:szCs w:val="18"/>
              </w:rPr>
            </w:pPr>
            <w:r>
              <w:rPr>
                <w:color w:val="000000"/>
                <w:sz w:val="18"/>
                <w:szCs w:val="18"/>
              </w:rPr>
              <w:t>0,8</w:t>
            </w:r>
          </w:p>
        </w:tc>
        <w:tc>
          <w:tcPr>
            <w:tcW w:w="939" w:type="dxa"/>
            <w:tcBorders>
              <w:top w:val="nil"/>
              <w:left w:val="nil"/>
              <w:bottom w:val="nil"/>
              <w:right w:val="single" w:sz="4" w:space="0" w:color="800000"/>
            </w:tcBorders>
            <w:shd w:val="clear" w:color="000000" w:fill="FFFFCC"/>
            <w:noWrap/>
            <w:vAlign w:val="bottom"/>
          </w:tcPr>
          <w:p w14:paraId="61C0DB97" w14:textId="4D627B60" w:rsidR="002C403D" w:rsidRPr="007B48E9" w:rsidRDefault="002C403D" w:rsidP="002C403D">
            <w:pPr>
              <w:jc w:val="right"/>
              <w:rPr>
                <w:color w:val="0070C0"/>
                <w:sz w:val="18"/>
                <w:szCs w:val="18"/>
              </w:rPr>
            </w:pPr>
            <w:r>
              <w:rPr>
                <w:color w:val="000000"/>
                <w:sz w:val="18"/>
                <w:szCs w:val="18"/>
              </w:rPr>
              <w:t>366,1</w:t>
            </w:r>
          </w:p>
        </w:tc>
        <w:tc>
          <w:tcPr>
            <w:tcW w:w="946" w:type="dxa"/>
            <w:tcBorders>
              <w:top w:val="nil"/>
              <w:left w:val="nil"/>
              <w:bottom w:val="nil"/>
              <w:right w:val="single" w:sz="4" w:space="0" w:color="800000"/>
            </w:tcBorders>
            <w:shd w:val="clear" w:color="000000" w:fill="FFFFCC"/>
            <w:vAlign w:val="bottom"/>
          </w:tcPr>
          <w:p w14:paraId="3EB52C9D" w14:textId="3D6C8241" w:rsidR="002C403D" w:rsidRPr="007B48E9" w:rsidRDefault="002C403D" w:rsidP="002C403D">
            <w:pPr>
              <w:jc w:val="right"/>
              <w:rPr>
                <w:color w:val="0070C0"/>
                <w:sz w:val="18"/>
                <w:szCs w:val="18"/>
              </w:rPr>
            </w:pPr>
            <w:r>
              <w:rPr>
                <w:color w:val="000000"/>
                <w:sz w:val="18"/>
                <w:szCs w:val="18"/>
              </w:rPr>
              <w:t>13,3</w:t>
            </w:r>
          </w:p>
        </w:tc>
      </w:tr>
      <w:tr w:rsidR="002C403D" w:rsidRPr="007B48E9" w14:paraId="50CC6005" w14:textId="77777777" w:rsidTr="003B085A">
        <w:trPr>
          <w:trHeight w:val="270"/>
          <w:jc w:val="center"/>
        </w:trPr>
        <w:tc>
          <w:tcPr>
            <w:tcW w:w="4853" w:type="dxa"/>
            <w:tcBorders>
              <w:top w:val="nil"/>
              <w:left w:val="double" w:sz="6" w:space="0" w:color="800000"/>
              <w:bottom w:val="double" w:sz="6" w:space="0" w:color="800000"/>
              <w:right w:val="single" w:sz="4" w:space="0" w:color="800000"/>
            </w:tcBorders>
            <w:shd w:val="clear" w:color="auto" w:fill="FFFFCC"/>
            <w:noWrap/>
            <w:vAlign w:val="bottom"/>
          </w:tcPr>
          <w:p w14:paraId="2C1C54AF" w14:textId="77777777" w:rsidR="002C403D" w:rsidRPr="00E70CCD" w:rsidRDefault="002C403D" w:rsidP="002C403D">
            <w:pPr>
              <w:rPr>
                <w:sz w:val="18"/>
                <w:szCs w:val="18"/>
              </w:rPr>
            </w:pPr>
            <w:r w:rsidRPr="00E70CCD">
              <w:rPr>
                <w:sz w:val="18"/>
                <w:szCs w:val="18"/>
              </w:rPr>
              <w:t xml:space="preserve">   Пред. тек. и кап. тр/ри за чужбина</w:t>
            </w:r>
          </w:p>
        </w:tc>
        <w:tc>
          <w:tcPr>
            <w:tcW w:w="850" w:type="dxa"/>
            <w:tcBorders>
              <w:top w:val="nil"/>
              <w:left w:val="single" w:sz="4" w:space="0" w:color="800000"/>
              <w:bottom w:val="double" w:sz="6" w:space="0" w:color="800000"/>
              <w:right w:val="single" w:sz="4" w:space="0" w:color="800000"/>
            </w:tcBorders>
            <w:shd w:val="clear" w:color="000000" w:fill="FFFFCC"/>
            <w:noWrap/>
            <w:vAlign w:val="bottom"/>
          </w:tcPr>
          <w:p w14:paraId="55E97A91" w14:textId="1EDDF85A" w:rsidR="002C403D" w:rsidRPr="007B48E9" w:rsidRDefault="002C403D" w:rsidP="002C403D">
            <w:pPr>
              <w:jc w:val="right"/>
              <w:rPr>
                <w:color w:val="0070C0"/>
                <w:sz w:val="18"/>
                <w:szCs w:val="18"/>
              </w:rPr>
            </w:pPr>
            <w:r>
              <w:rPr>
                <w:color w:val="000000"/>
                <w:sz w:val="18"/>
                <w:szCs w:val="18"/>
              </w:rPr>
              <w:t>4,1</w:t>
            </w:r>
          </w:p>
        </w:tc>
        <w:tc>
          <w:tcPr>
            <w:tcW w:w="851" w:type="dxa"/>
            <w:tcBorders>
              <w:top w:val="nil"/>
              <w:left w:val="nil"/>
              <w:bottom w:val="double" w:sz="6" w:space="0" w:color="800000"/>
              <w:right w:val="single" w:sz="4" w:space="0" w:color="800000"/>
            </w:tcBorders>
            <w:shd w:val="clear" w:color="000000" w:fill="FFFFCC"/>
            <w:noWrap/>
            <w:vAlign w:val="bottom"/>
          </w:tcPr>
          <w:p w14:paraId="790FE0F8" w14:textId="7E2FEDF5" w:rsidR="002C403D" w:rsidRPr="007B48E9" w:rsidRDefault="002C403D" w:rsidP="002C403D">
            <w:pPr>
              <w:jc w:val="right"/>
              <w:rPr>
                <w:color w:val="0070C0"/>
                <w:sz w:val="18"/>
                <w:szCs w:val="18"/>
              </w:rPr>
            </w:pPr>
            <w:r>
              <w:rPr>
                <w:color w:val="000000"/>
                <w:sz w:val="18"/>
                <w:szCs w:val="18"/>
              </w:rPr>
              <w:t> </w:t>
            </w:r>
          </w:p>
        </w:tc>
        <w:tc>
          <w:tcPr>
            <w:tcW w:w="850" w:type="dxa"/>
            <w:tcBorders>
              <w:top w:val="nil"/>
              <w:left w:val="nil"/>
              <w:bottom w:val="double" w:sz="6" w:space="0" w:color="800000"/>
              <w:right w:val="single" w:sz="4" w:space="0" w:color="800000"/>
            </w:tcBorders>
            <w:shd w:val="clear" w:color="000000" w:fill="FFFFCC"/>
            <w:noWrap/>
            <w:vAlign w:val="bottom"/>
          </w:tcPr>
          <w:p w14:paraId="71367131" w14:textId="27DC7C80" w:rsidR="002C403D" w:rsidRPr="007B48E9" w:rsidRDefault="002C403D" w:rsidP="002C403D">
            <w:pPr>
              <w:jc w:val="right"/>
              <w:rPr>
                <w:color w:val="0070C0"/>
                <w:sz w:val="18"/>
                <w:szCs w:val="18"/>
              </w:rPr>
            </w:pPr>
            <w:r>
              <w:rPr>
                <w:color w:val="000000"/>
                <w:sz w:val="18"/>
                <w:szCs w:val="18"/>
              </w:rPr>
              <w:t> </w:t>
            </w:r>
          </w:p>
        </w:tc>
        <w:tc>
          <w:tcPr>
            <w:tcW w:w="842" w:type="dxa"/>
            <w:tcBorders>
              <w:top w:val="nil"/>
              <w:left w:val="nil"/>
              <w:bottom w:val="double" w:sz="6" w:space="0" w:color="800000"/>
              <w:right w:val="single" w:sz="4" w:space="0" w:color="800000"/>
            </w:tcBorders>
            <w:shd w:val="clear" w:color="000000" w:fill="FFFFCC"/>
            <w:noWrap/>
            <w:vAlign w:val="bottom"/>
          </w:tcPr>
          <w:p w14:paraId="50A1629B" w14:textId="4B96A1CF" w:rsidR="002C403D" w:rsidRPr="007B48E9" w:rsidRDefault="002C403D" w:rsidP="002C403D">
            <w:pPr>
              <w:jc w:val="right"/>
              <w:rPr>
                <w:color w:val="0070C0"/>
                <w:sz w:val="18"/>
                <w:szCs w:val="18"/>
              </w:rPr>
            </w:pPr>
            <w:r>
              <w:rPr>
                <w:color w:val="000000"/>
                <w:sz w:val="18"/>
                <w:szCs w:val="18"/>
              </w:rPr>
              <w:t>0,4</w:t>
            </w:r>
          </w:p>
        </w:tc>
        <w:tc>
          <w:tcPr>
            <w:tcW w:w="939" w:type="dxa"/>
            <w:tcBorders>
              <w:top w:val="nil"/>
              <w:left w:val="nil"/>
              <w:bottom w:val="double" w:sz="6" w:space="0" w:color="800000"/>
              <w:right w:val="single" w:sz="4" w:space="0" w:color="800000"/>
            </w:tcBorders>
            <w:shd w:val="clear" w:color="000000" w:fill="FFFFCC"/>
            <w:noWrap/>
            <w:vAlign w:val="bottom"/>
          </w:tcPr>
          <w:p w14:paraId="5A50AD3F" w14:textId="2853F32A" w:rsidR="002C403D" w:rsidRPr="007B48E9" w:rsidRDefault="002C403D" w:rsidP="002C403D">
            <w:pPr>
              <w:jc w:val="right"/>
              <w:rPr>
                <w:color w:val="0070C0"/>
                <w:sz w:val="18"/>
                <w:szCs w:val="18"/>
              </w:rPr>
            </w:pPr>
            <w:r>
              <w:rPr>
                <w:color w:val="000000"/>
                <w:sz w:val="18"/>
                <w:szCs w:val="18"/>
              </w:rPr>
              <w:t>3,8</w:t>
            </w:r>
          </w:p>
        </w:tc>
        <w:tc>
          <w:tcPr>
            <w:tcW w:w="946" w:type="dxa"/>
            <w:tcBorders>
              <w:top w:val="nil"/>
              <w:left w:val="nil"/>
              <w:bottom w:val="double" w:sz="6" w:space="0" w:color="800000"/>
              <w:right w:val="single" w:sz="4" w:space="0" w:color="800000"/>
            </w:tcBorders>
            <w:shd w:val="clear" w:color="000000" w:fill="FFFFCC"/>
            <w:vAlign w:val="bottom"/>
          </w:tcPr>
          <w:p w14:paraId="64133B07" w14:textId="34E8C566" w:rsidR="002C403D" w:rsidRPr="007B48E9" w:rsidRDefault="002C403D" w:rsidP="002C403D">
            <w:pPr>
              <w:jc w:val="right"/>
              <w:rPr>
                <w:color w:val="0070C0"/>
                <w:sz w:val="18"/>
                <w:szCs w:val="18"/>
              </w:rPr>
            </w:pPr>
            <w:r>
              <w:rPr>
                <w:color w:val="000000"/>
                <w:sz w:val="18"/>
                <w:szCs w:val="18"/>
              </w:rPr>
              <w:t> </w:t>
            </w:r>
          </w:p>
        </w:tc>
      </w:tr>
    </w:tbl>
    <w:p w14:paraId="4B8C8FE9" w14:textId="77777777" w:rsidR="00CC09AC" w:rsidRPr="007B48E9" w:rsidRDefault="00CC09AC" w:rsidP="00CC09AC">
      <w:pPr>
        <w:tabs>
          <w:tab w:val="left" w:pos="1320"/>
        </w:tabs>
        <w:rPr>
          <w:b/>
          <w:color w:val="0070C0"/>
          <w:lang w:val="en-US"/>
        </w:rPr>
      </w:pPr>
      <w:r w:rsidRPr="007B48E9">
        <w:rPr>
          <w:color w:val="0070C0"/>
        </w:rPr>
        <w:tab/>
      </w:r>
    </w:p>
    <w:p w14:paraId="6A79AD4B" w14:textId="77777777" w:rsidR="00CC09AC" w:rsidRPr="00485210" w:rsidRDefault="00CC09AC" w:rsidP="00CC09AC">
      <w:pPr>
        <w:ind w:firstLine="709"/>
        <w:jc w:val="center"/>
        <w:rPr>
          <w:b/>
        </w:rPr>
      </w:pPr>
      <w:r w:rsidRPr="00485210">
        <w:rPr>
          <w:b/>
        </w:rPr>
        <w:t xml:space="preserve">Група А: </w:t>
      </w:r>
      <w:r w:rsidRPr="00485210">
        <w:rPr>
          <w:b/>
          <w:i/>
        </w:rPr>
        <w:t>„Жилищно строителство, благоустройство, комунално стопанство”</w:t>
      </w:r>
    </w:p>
    <w:p w14:paraId="58F9F34E" w14:textId="77777777" w:rsidR="00CC09AC" w:rsidRPr="007B48E9" w:rsidRDefault="00CC09AC" w:rsidP="00CC09AC">
      <w:pPr>
        <w:ind w:firstLine="709"/>
        <w:jc w:val="both"/>
        <w:rPr>
          <w:color w:val="0070C0"/>
          <w:sz w:val="12"/>
          <w:szCs w:val="12"/>
        </w:rPr>
      </w:pPr>
    </w:p>
    <w:p w14:paraId="07F7E81B" w14:textId="77777777" w:rsidR="00CC09AC" w:rsidRPr="00485210" w:rsidRDefault="00CC09AC" w:rsidP="00CC09AC">
      <w:pPr>
        <w:ind w:firstLine="709"/>
        <w:jc w:val="both"/>
      </w:pPr>
      <w:r w:rsidRPr="00485210">
        <w:t xml:space="preserve">Със ЗДБРБ за 2022 г. по група „Жилищно строителство, благоустройство, комунално стопанство” </w:t>
      </w:r>
      <w:r w:rsidRPr="00485210">
        <w:rPr>
          <w:b/>
        </w:rPr>
        <w:t>за министерствата и ведомствата</w:t>
      </w:r>
      <w:r w:rsidRPr="00485210">
        <w:t xml:space="preserve"> са утвърдени средства в размер на 60,8 млн. лв. Одобрените средства са за реализиране на следните приоритетни политики на правителството, изпълнявани чрез МРРБ:</w:t>
      </w:r>
    </w:p>
    <w:p w14:paraId="4C901572" w14:textId="77777777" w:rsidR="00CC09AC" w:rsidRPr="00D24D54" w:rsidRDefault="00CC09AC" w:rsidP="00BD39E0">
      <w:pPr>
        <w:pStyle w:val="ListParagraph"/>
        <w:numPr>
          <w:ilvl w:val="0"/>
          <w:numId w:val="49"/>
        </w:numPr>
        <w:tabs>
          <w:tab w:val="left" w:pos="851"/>
        </w:tabs>
        <w:ind w:left="709" w:hanging="283"/>
        <w:jc w:val="both"/>
      </w:pPr>
      <w:r w:rsidRPr="00D24D54">
        <w:t>Развитие на регионите в страната и намаляване на различията, ефективно и ефикасно използване на публичните финанси за подобряване качеството на жизнената среда и създаване на работни места;</w:t>
      </w:r>
    </w:p>
    <w:p w14:paraId="4E9394C0" w14:textId="77777777" w:rsidR="00CC09AC" w:rsidRPr="00D24D54" w:rsidRDefault="00CC09AC" w:rsidP="00BD39E0">
      <w:pPr>
        <w:pStyle w:val="ListParagraph"/>
        <w:numPr>
          <w:ilvl w:val="0"/>
          <w:numId w:val="49"/>
        </w:numPr>
        <w:tabs>
          <w:tab w:val="left" w:pos="851"/>
        </w:tabs>
        <w:ind w:left="709" w:hanging="283"/>
        <w:jc w:val="both"/>
      </w:pPr>
      <w:r w:rsidRPr="00D24D54">
        <w:t>Подобряване на инфраструктурната свързаност на регионите – изграждане и модернизиране на пътната и ВиК инфраструктури;</w:t>
      </w:r>
    </w:p>
    <w:p w14:paraId="0EBE5787" w14:textId="77777777" w:rsidR="00CC09AC" w:rsidRPr="00D24D54" w:rsidRDefault="00CC09AC" w:rsidP="00BD39E0">
      <w:pPr>
        <w:pStyle w:val="ListParagraph"/>
        <w:numPr>
          <w:ilvl w:val="0"/>
          <w:numId w:val="49"/>
        </w:numPr>
        <w:tabs>
          <w:tab w:val="left" w:pos="851"/>
        </w:tabs>
        <w:ind w:left="709" w:hanging="283"/>
        <w:jc w:val="both"/>
      </w:pPr>
      <w:r w:rsidRPr="00D24D54">
        <w:t>Подобряване на инвестиционния процес, чрез развитие на устройственото планиране, усъвършенстване на информационните системи на кадастъра и имотния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w:t>
      </w:r>
    </w:p>
    <w:p w14:paraId="37309E5A" w14:textId="77777777" w:rsidR="00CC09AC" w:rsidRPr="00D24D54" w:rsidRDefault="00CC09AC" w:rsidP="00CC09AC">
      <w:pPr>
        <w:spacing w:before="120" w:after="120"/>
        <w:ind w:firstLine="567"/>
        <w:jc w:val="both"/>
        <w:rPr>
          <w:iCs/>
          <w:szCs w:val="20"/>
        </w:rPr>
      </w:pPr>
      <w:r w:rsidRPr="00D24D54">
        <w:rPr>
          <w:iCs/>
          <w:szCs w:val="20"/>
        </w:rPr>
        <w:t xml:space="preserve">Към 31.12.2022 г. в </w:t>
      </w:r>
      <w:r w:rsidRPr="00D24D54">
        <w:t xml:space="preserve">група „Жилищно строителство, благоустройство, комунално стопанство” </w:t>
      </w:r>
      <w:r w:rsidRPr="00D24D54">
        <w:rPr>
          <w:iCs/>
          <w:szCs w:val="20"/>
        </w:rPr>
        <w:t xml:space="preserve">по бюджета на </w:t>
      </w:r>
      <w:r w:rsidRPr="00D24D54">
        <w:rPr>
          <w:b/>
          <w:iCs/>
          <w:szCs w:val="20"/>
        </w:rPr>
        <w:t>Министерство на регионалното развитие и благоустройството</w:t>
      </w:r>
      <w:r w:rsidRPr="00D24D54">
        <w:rPr>
          <w:iCs/>
          <w:szCs w:val="20"/>
        </w:rPr>
        <w:t xml:space="preserve"> са отчетени общо разходи в размер на 45,</w:t>
      </w:r>
      <w:r>
        <w:rPr>
          <w:iCs/>
          <w:szCs w:val="20"/>
        </w:rPr>
        <w:t>4</w:t>
      </w:r>
      <w:r w:rsidRPr="00D24D54">
        <w:rPr>
          <w:iCs/>
          <w:szCs w:val="20"/>
        </w:rPr>
        <w:t xml:space="preserve"> млн. лв. С отчетените разходи по бюджета на МРРБ през 2022 г. са финансирани дейности по изграждането на приоритетни водоснабдителни обекти и управлението на ВиК инфраструктурата, дейности по създаване на условия за подобряване състоянието на съществуващия сграден фонд и проекти на техническата инфраструктура. </w:t>
      </w:r>
    </w:p>
    <w:p w14:paraId="5F37A109" w14:textId="145F7120" w:rsidR="00CC09AC" w:rsidRPr="007B48E9" w:rsidRDefault="00CC09AC" w:rsidP="000E2C3D">
      <w:pPr>
        <w:ind w:firstLine="709"/>
        <w:jc w:val="both"/>
        <w:rPr>
          <w:iCs/>
          <w:color w:val="0070C0"/>
        </w:rPr>
      </w:pPr>
      <w:r w:rsidRPr="00864A35">
        <w:rPr>
          <w:iCs/>
        </w:rPr>
        <w:t xml:space="preserve">По </w:t>
      </w:r>
      <w:r w:rsidRPr="00864A35">
        <w:rPr>
          <w:b/>
          <w:iCs/>
        </w:rPr>
        <w:t>бюджетите на общините</w:t>
      </w:r>
      <w:r w:rsidRPr="00864A35">
        <w:rPr>
          <w:iCs/>
        </w:rPr>
        <w:t xml:space="preserve"> разходите, отчетени в група „Жилищно строителство, </w:t>
      </w:r>
      <w:r w:rsidRPr="00856300">
        <w:rPr>
          <w:iCs/>
        </w:rPr>
        <w:t>благоустройство, комунално стопанство”, са в размер на 1 022,</w:t>
      </w:r>
      <w:r w:rsidR="00E20BFF">
        <w:rPr>
          <w:iCs/>
          <w:lang w:val="ru-RU"/>
        </w:rPr>
        <w:t>2</w:t>
      </w:r>
      <w:r w:rsidRPr="00856300">
        <w:rPr>
          <w:iCs/>
        </w:rPr>
        <w:t xml:space="preserve"> млн. лв. Отчетените текущи разходи за тази група са в размер на 498,</w:t>
      </w:r>
      <w:r w:rsidR="00422CFF">
        <w:rPr>
          <w:iCs/>
        </w:rPr>
        <w:t>2</w:t>
      </w:r>
      <w:r w:rsidRPr="00856300">
        <w:rPr>
          <w:iCs/>
        </w:rPr>
        <w:t xml:space="preserve"> млн. лв., което е 125,3 % спрямо разчетените със закона (397,7 млн. лв.</w:t>
      </w:r>
      <w:r w:rsidRPr="00856300">
        <w:rPr>
          <w:iCs/>
          <w:lang w:val="ru-RU"/>
        </w:rPr>
        <w:t>)</w:t>
      </w:r>
      <w:r w:rsidRPr="00856300">
        <w:rPr>
          <w:iCs/>
        </w:rPr>
        <w:t xml:space="preserve"> и 116,9 % спрямо отчетените през 2021 г. </w:t>
      </w:r>
      <w:r w:rsidRPr="00894B31">
        <w:rPr>
          <w:iCs/>
        </w:rPr>
        <w:t>Увеличението им се дъ</w:t>
      </w:r>
      <w:r w:rsidRPr="00981BE8">
        <w:rPr>
          <w:iCs/>
        </w:rPr>
        <w:t xml:space="preserve">лжи основно на нарастването на </w:t>
      </w:r>
      <w:r w:rsidRPr="00894B31">
        <w:rPr>
          <w:iCs/>
        </w:rPr>
        <w:t xml:space="preserve">разходите за издръжка – с 65,2 млн. лв., както и на отчетените разходи за персонал (заплати, други възнаграждения за персонала и осигурителни вноски), които се увеличават спрямо отчета за 2021 г. с 6,6 млн. лв., главно в резултат от нарастването на минималната работна заплата от 01.04.2022 г. </w:t>
      </w:r>
      <w:r w:rsidRPr="007B48E9">
        <w:rPr>
          <w:iCs/>
          <w:color w:val="0070C0"/>
        </w:rPr>
        <w:t xml:space="preserve"> </w:t>
      </w:r>
    </w:p>
    <w:p w14:paraId="7429B4E7" w14:textId="54437E96" w:rsidR="00CC09AC" w:rsidRPr="007B48E9" w:rsidRDefault="00CC09AC" w:rsidP="000E2C3D">
      <w:pPr>
        <w:ind w:firstLine="709"/>
        <w:jc w:val="both"/>
        <w:rPr>
          <w:iCs/>
          <w:color w:val="0070C0"/>
        </w:rPr>
      </w:pPr>
      <w:r w:rsidRPr="00894B31">
        <w:rPr>
          <w:iCs/>
        </w:rPr>
        <w:t xml:space="preserve">Размерът на отчетените </w:t>
      </w:r>
      <w:r w:rsidRPr="00C34ABE">
        <w:rPr>
          <w:iCs/>
        </w:rPr>
        <w:t>капиталови разходи за групата е</w:t>
      </w:r>
      <w:r w:rsidRPr="00894B31">
        <w:rPr>
          <w:iCs/>
        </w:rPr>
        <w:t xml:space="preserve"> </w:t>
      </w:r>
      <w:r w:rsidR="002F22AD">
        <w:rPr>
          <w:iCs/>
          <w:lang w:val="ru-RU"/>
        </w:rPr>
        <w:t>524,</w:t>
      </w:r>
      <w:r w:rsidR="00E20BFF">
        <w:rPr>
          <w:iCs/>
          <w:lang w:val="ru-RU"/>
        </w:rPr>
        <w:t>0</w:t>
      </w:r>
      <w:r w:rsidRPr="00894B31">
        <w:rPr>
          <w:iCs/>
        </w:rPr>
        <w:t xml:space="preserve"> млн. лв., което е с 32,</w:t>
      </w:r>
      <w:r w:rsidR="00451401">
        <w:rPr>
          <w:iCs/>
        </w:rPr>
        <w:t>2</w:t>
      </w:r>
      <w:r>
        <w:rPr>
          <w:iCs/>
        </w:rPr>
        <w:t> </w:t>
      </w:r>
      <w:r w:rsidRPr="00894B31">
        <w:rPr>
          <w:iCs/>
        </w:rPr>
        <w:t>млн. лв. повече спрямо планираните и със 111,</w:t>
      </w:r>
      <w:r w:rsidR="003B0358">
        <w:rPr>
          <w:iCs/>
        </w:rPr>
        <w:t>5</w:t>
      </w:r>
      <w:r w:rsidRPr="00894B31">
        <w:rPr>
          <w:iCs/>
        </w:rPr>
        <w:t xml:space="preserve"> млн. лв. повече от отчетените през 2021</w:t>
      </w:r>
      <w:r>
        <w:rPr>
          <w:iCs/>
        </w:rPr>
        <w:t> </w:t>
      </w:r>
      <w:r w:rsidRPr="00894B31">
        <w:rPr>
          <w:iCs/>
        </w:rPr>
        <w:t xml:space="preserve">г., като най-голямо е увеличението на разходите за основен ремонт, докато разходите за придобиване на дълготрайни материални активи бележат спад спрямо разчетените по закон и ръст спрямо отчетените за 2021 г. През 2022 </w:t>
      </w:r>
      <w:r w:rsidRPr="00C34ABE">
        <w:rPr>
          <w:iCs/>
        </w:rPr>
        <w:t>г. продължава</w:t>
      </w:r>
      <w:r w:rsidRPr="00894B31">
        <w:rPr>
          <w:iCs/>
        </w:rPr>
        <w:t xml:space="preserve"> очерталата се от 2021 г. положителна тенденция за нарастване на капиталовите разходи за групата, което е признак за икономическо възстановяване. В общия размер на отчетените капиталови разходи с най-голям относителен дял от 68,0</w:t>
      </w:r>
      <w:r>
        <w:rPr>
          <w:iCs/>
        </w:rPr>
        <w:t xml:space="preserve"> </w:t>
      </w:r>
      <w:r w:rsidRPr="00894B31">
        <w:rPr>
          <w:iCs/>
        </w:rPr>
        <w:t>% или 356,</w:t>
      </w:r>
      <w:r w:rsidR="005F2211">
        <w:rPr>
          <w:iCs/>
        </w:rPr>
        <w:t>4</w:t>
      </w:r>
      <w:r w:rsidRPr="00894B31">
        <w:rPr>
          <w:iCs/>
        </w:rPr>
        <w:t xml:space="preserve"> млн. лв. са разходите за основен ремонт, следвани от разходите за придобиване на дълготрайни материални активи – 30,2</w:t>
      </w:r>
      <w:r>
        <w:rPr>
          <w:iCs/>
        </w:rPr>
        <w:t xml:space="preserve"> </w:t>
      </w:r>
      <w:r w:rsidRPr="00894B31">
        <w:rPr>
          <w:iCs/>
        </w:rPr>
        <w:t>% (158,4</w:t>
      </w:r>
      <w:r>
        <w:rPr>
          <w:iCs/>
        </w:rPr>
        <w:t> </w:t>
      </w:r>
      <w:r w:rsidRPr="00894B31">
        <w:rPr>
          <w:iCs/>
        </w:rPr>
        <w:t>млн. лв.). В групата се отчитат разходите, определени по решение на общинския съвет, свързани с изграждането, ремонта и поддържането на уличната мрежа и осветлението, водоснабдяване, канализация и други публични услуги, предоставяни на населението</w:t>
      </w:r>
      <w:r w:rsidRPr="007B48E9">
        <w:rPr>
          <w:iCs/>
          <w:color w:val="0070C0"/>
        </w:rPr>
        <w:t xml:space="preserve">. </w:t>
      </w:r>
    </w:p>
    <w:p w14:paraId="7F0DEB90" w14:textId="77777777" w:rsidR="00CC09AC" w:rsidRPr="00E040F4" w:rsidRDefault="00CC09AC" w:rsidP="000E2C3D">
      <w:pPr>
        <w:pStyle w:val="BodyTextIndent2"/>
        <w:spacing w:after="0" w:line="240" w:lineRule="auto"/>
        <w:ind w:left="0" w:firstLine="709"/>
        <w:jc w:val="both"/>
      </w:pPr>
      <w:r w:rsidRPr="00E040F4">
        <w:rPr>
          <w:b/>
        </w:rPr>
        <w:t>Европейски средства</w:t>
      </w:r>
      <w:r w:rsidRPr="00E040F4">
        <w:t xml:space="preserve"> – през 2022 г. за група „</w:t>
      </w:r>
      <w:r w:rsidRPr="00E040F4">
        <w:rPr>
          <w:iCs/>
        </w:rPr>
        <w:t>Жилищно строителство, благоустройство, комунално стопанство</w:t>
      </w:r>
      <w:r w:rsidRPr="00E040F4">
        <w:t>” изразходваните средства са 228,3 млн. лв., от които:</w:t>
      </w:r>
    </w:p>
    <w:p w14:paraId="5412F802" w14:textId="2AF68129" w:rsidR="00CC09AC" w:rsidRDefault="00CC09AC" w:rsidP="000E2C3D">
      <w:pPr>
        <w:pStyle w:val="BodyTextIndent2"/>
        <w:spacing w:after="0" w:line="240" w:lineRule="auto"/>
        <w:ind w:left="0" w:firstLine="709"/>
        <w:jc w:val="both"/>
        <w:rPr>
          <w:color w:val="0070C0"/>
        </w:rPr>
      </w:pPr>
      <w:r w:rsidRPr="00685E3F">
        <w:rPr>
          <w:b/>
          <w:i/>
        </w:rPr>
        <w:t xml:space="preserve">Оперативна програма „Околна среда” – </w:t>
      </w:r>
      <w:r w:rsidRPr="00685E3F">
        <w:t xml:space="preserve">59,0 млн. лв. за групата. Програмата, основни бенефициенти по която са общините, финансира дейности, свързани с опазване на водните ресурси, развитие на екологичната инфраструктура, подобряване и развитие на инфраструктурата за питейни и отпадъчни води, подобряване управлението на отпадъците. Основен резултат е реализацията на мерки за събиране, отвеждане и пречистване на отпадъчните води, също така вследствие от инвестициите в рехабилитация на съществуващата инфраструктура се повишава ефективността на водоснабдителните мрежи и се намаляват загубите на вода. </w:t>
      </w:r>
    </w:p>
    <w:p w14:paraId="4BE82942" w14:textId="77777777" w:rsidR="00301309" w:rsidRPr="001A35F6" w:rsidRDefault="00301309" w:rsidP="00301309">
      <w:pPr>
        <w:autoSpaceDE w:val="0"/>
        <w:autoSpaceDN w:val="0"/>
        <w:adjustRightInd w:val="0"/>
        <w:ind w:firstLine="709"/>
        <w:jc w:val="both"/>
      </w:pPr>
      <w:r w:rsidRPr="001A35F6">
        <w:t>Изпълнението на показателите за физически напредък към 31.12.2022 г. е</w:t>
      </w:r>
      <w:r>
        <w:t xml:space="preserve"> </w:t>
      </w:r>
      <w:r w:rsidRPr="001A35F6">
        <w:t>следното: По индикатор СО18 „Водоснабдяване: Допълнителен брой жители с достъп до подобрено водоснабдяване“ се отчитат 232 157 лица (F) , напредъкът от предходния отчетен период (31.12.2021 г.) е 39 773 бр. лица. Към края на м.декември 2022 г. договорените проекти са с обща целева стойност към индикатор СО18 „Водоснабдяване:</w:t>
      </w:r>
    </w:p>
    <w:p w14:paraId="2483B344" w14:textId="77777777" w:rsidR="00301309" w:rsidRPr="001A35F6" w:rsidRDefault="00301309" w:rsidP="00301309">
      <w:pPr>
        <w:autoSpaceDE w:val="0"/>
        <w:autoSpaceDN w:val="0"/>
        <w:adjustRightInd w:val="0"/>
        <w:ind w:firstLine="709"/>
        <w:jc w:val="both"/>
      </w:pPr>
      <w:r w:rsidRPr="001A35F6">
        <w:t>Допълнителен брой жители с достъп до подобрено водоснабдяване“ от 2 142 957 лица.</w:t>
      </w:r>
    </w:p>
    <w:p w14:paraId="76C158F0" w14:textId="2DF8EA35" w:rsidR="00CC09AC" w:rsidRPr="00882E09" w:rsidRDefault="00CC09AC" w:rsidP="00CC09AC">
      <w:pPr>
        <w:autoSpaceDE w:val="0"/>
        <w:autoSpaceDN w:val="0"/>
        <w:adjustRightInd w:val="0"/>
        <w:ind w:firstLine="709"/>
        <w:jc w:val="both"/>
      </w:pPr>
      <w:r w:rsidRPr="00882E09">
        <w:rPr>
          <w:b/>
          <w:i/>
        </w:rPr>
        <w:t xml:space="preserve">Оперативна програма „Региони в растеж” – </w:t>
      </w:r>
      <w:r w:rsidRPr="00882E09">
        <w:t>42,8</w:t>
      </w:r>
      <w:r w:rsidRPr="00882E09">
        <w:rPr>
          <w:iCs/>
        </w:rPr>
        <w:t> </w:t>
      </w:r>
      <w:r w:rsidRPr="00882E09">
        <w:t xml:space="preserve">млн. лв. за групата </w:t>
      </w:r>
      <w:r w:rsidRPr="004D5FFC">
        <w:rPr>
          <w:lang w:val="ru-RU"/>
        </w:rPr>
        <w:t>(</w:t>
      </w:r>
      <w:r w:rsidRPr="00882E09">
        <w:t>от които 0,7 млн. лв. са средства от програмен период 2007-2013 г.</w:t>
      </w:r>
      <w:r w:rsidRPr="004D5FFC">
        <w:rPr>
          <w:lang w:val="ru-RU"/>
        </w:rPr>
        <w:t>)</w:t>
      </w:r>
      <w:r w:rsidRPr="00882E09">
        <w:t xml:space="preserve">. Един от основните принципи на програмата е прилагането на балансиран и интегриран териториален подход. Нуждата от този подход се обуславя от регионалните различия между българските и средното за регионите на ЕС ниво, както и от напредналия процес на моноцентрично развитие на София и големите градове, което в дългосрочен план ще доведе до сериозни дисбаланси между различните части на страната, неизползване на потенциала на територията и увеличена миграция към големите градски центрове и навън към други държави членки на ЕС. Преодоляването на регионалните дисбаланси изисква мобилизиране на сериозни институционални и организационни ресурси, насочени към оптимизирането на жилищната политика, градоустройствените планове и инфраструктурата. Сред основните задачи за демографското развитие на страната, които са подкрепени от </w:t>
      </w:r>
      <w:r w:rsidRPr="00882E09">
        <w:rPr>
          <w:i/>
        </w:rPr>
        <w:t>Оперативна програма „Региони в растеж”</w:t>
      </w:r>
      <w:r w:rsidRPr="00882E09">
        <w:t xml:space="preserve">, са: развитие на устойчиви, динамични и сплотени градски центрове, свързани помежду си и допринасящи за благосъстоянието на заобикалящите ги по-слабо урбанизирани територии; разработване на програма за решаване на проблема с „гетоизацията“ чрез създаване на градоустройствени планове в кварталите с концентрация на бедност, рехабилитация на тези квартали, осигуряване на техническа инфраструктура и др.; устойчиво подобряване на жилищните условия за ромите чрез гарантиране на изпълнението на планове за действие и програми за подобряване на жилищните условия на ромите; подобряване на транспортната, търговската, социалната и други обслужващи инфраструктури. </w:t>
      </w:r>
    </w:p>
    <w:p w14:paraId="116F9B07" w14:textId="6B377B25" w:rsidR="00792F58" w:rsidRPr="001A35F6" w:rsidRDefault="00792F58" w:rsidP="00792F58">
      <w:pPr>
        <w:autoSpaceDE w:val="0"/>
        <w:autoSpaceDN w:val="0"/>
        <w:adjustRightInd w:val="0"/>
        <w:ind w:firstLine="709"/>
        <w:jc w:val="both"/>
      </w:pPr>
      <w:r w:rsidRPr="001A35F6">
        <w:t>Към 31.12.2022 г. по Приоритетна ос 1 на ОПРР са сключени 257 договора (вкл. сключено финансово споразумение за изпълнение на финансови инструменти с ФМФИБ) с общ размер на предоставените средства (БФП+ФИ) 766 011 666,28 евро (97,2</w:t>
      </w:r>
      <w:r>
        <w:t xml:space="preserve"> </w:t>
      </w:r>
      <w:r w:rsidRPr="001A35F6">
        <w:t>% от бюджета на приоритетната ос).</w:t>
      </w:r>
    </w:p>
    <w:p w14:paraId="019B0309" w14:textId="77777777" w:rsidR="00792F58" w:rsidRPr="001A35F6" w:rsidRDefault="00792F58" w:rsidP="00792F58">
      <w:pPr>
        <w:autoSpaceDE w:val="0"/>
        <w:autoSpaceDN w:val="0"/>
        <w:adjustRightInd w:val="0"/>
        <w:ind w:firstLine="709"/>
        <w:jc w:val="both"/>
      </w:pPr>
      <w:r w:rsidRPr="001A35F6">
        <w:t>По приоритетната ос са приключили 161 проекта, като през 2022 г. са приключили 44 проекта.</w:t>
      </w:r>
    </w:p>
    <w:p w14:paraId="32D0192E" w14:textId="77777777" w:rsidR="00792F58" w:rsidRPr="001A35F6" w:rsidRDefault="00792F58" w:rsidP="00792F58">
      <w:pPr>
        <w:autoSpaceDE w:val="0"/>
        <w:autoSpaceDN w:val="0"/>
        <w:adjustRightInd w:val="0"/>
        <w:ind w:firstLine="709"/>
        <w:jc w:val="both"/>
      </w:pPr>
      <w:r w:rsidRPr="001A35F6">
        <w:t>Постигнати резултати:</w:t>
      </w:r>
    </w:p>
    <w:p w14:paraId="7462DA4B" w14:textId="25A4ED25" w:rsidR="00792F58" w:rsidRPr="001A35F6" w:rsidRDefault="00792F58" w:rsidP="00792F58">
      <w:pPr>
        <w:autoSpaceDE w:val="0"/>
        <w:autoSpaceDN w:val="0"/>
        <w:adjustRightInd w:val="0"/>
        <w:ind w:firstLine="709"/>
        <w:jc w:val="both"/>
      </w:pPr>
      <w:r w:rsidRPr="001A35F6">
        <w:t>• Понижаване на годишното потребление на първична енергия от обществените сгради - 23 195 574,80 kWh/година – 131,5</w:t>
      </w:r>
      <w:r>
        <w:t xml:space="preserve"> </w:t>
      </w:r>
      <w:r w:rsidRPr="001A35F6">
        <w:t xml:space="preserve">% </w:t>
      </w:r>
      <w:r>
        <w:t>спрямо</w:t>
      </w:r>
      <w:r w:rsidRPr="001A35F6">
        <w:t xml:space="preserve"> крайната цел;</w:t>
      </w:r>
    </w:p>
    <w:p w14:paraId="0F5D59C3" w14:textId="3F823BFF" w:rsidR="00792F58" w:rsidRPr="001A35F6" w:rsidRDefault="00792F58" w:rsidP="00792F58">
      <w:pPr>
        <w:autoSpaceDE w:val="0"/>
        <w:autoSpaceDN w:val="0"/>
        <w:adjustRightInd w:val="0"/>
        <w:ind w:firstLine="709"/>
        <w:jc w:val="both"/>
      </w:pPr>
      <w:r w:rsidRPr="001A35F6">
        <w:t>• Капацитет на подпомогнатата инфраструктура, предназначена за грижи за децата или образование - 106 822 лица – 89,9</w:t>
      </w:r>
      <w:r>
        <w:t xml:space="preserve"> </w:t>
      </w:r>
      <w:r w:rsidRPr="001A35F6">
        <w:t>% от крайната цел;</w:t>
      </w:r>
    </w:p>
    <w:p w14:paraId="0B4935EE" w14:textId="346E21FF" w:rsidR="00792F58" w:rsidRPr="001A35F6" w:rsidRDefault="00792F58" w:rsidP="00792F58">
      <w:pPr>
        <w:autoSpaceDE w:val="0"/>
        <w:autoSpaceDN w:val="0"/>
        <w:adjustRightInd w:val="0"/>
        <w:ind w:firstLine="709"/>
        <w:jc w:val="both"/>
      </w:pPr>
      <w:r w:rsidRPr="001A35F6">
        <w:t>• Незастроени площи, създадени или рехабилитирани в градските райони 3 922 463,07 кв. м – 97,0</w:t>
      </w:r>
      <w:r>
        <w:t xml:space="preserve"> </w:t>
      </w:r>
      <w:r w:rsidRPr="001A35F6">
        <w:t>% от крайната цел;</w:t>
      </w:r>
    </w:p>
    <w:p w14:paraId="12A6A5C2" w14:textId="3090A715" w:rsidR="00792F58" w:rsidRPr="001A35F6" w:rsidRDefault="00792F58" w:rsidP="00792F58">
      <w:pPr>
        <w:autoSpaceDE w:val="0"/>
        <w:autoSpaceDN w:val="0"/>
        <w:adjustRightInd w:val="0"/>
        <w:ind w:firstLine="709"/>
        <w:jc w:val="both"/>
      </w:pPr>
      <w:r w:rsidRPr="001A35F6">
        <w:t>• Обществени или търговски сгради, построени или обновени в градските райони - 20 271,66 кв. м – 21,4</w:t>
      </w:r>
      <w:r>
        <w:t xml:space="preserve"> </w:t>
      </w:r>
      <w:r w:rsidRPr="001A35F6">
        <w:t>% от крайната цел;</w:t>
      </w:r>
    </w:p>
    <w:p w14:paraId="1E31C318" w14:textId="3977B310" w:rsidR="00792F58" w:rsidRPr="001A35F6" w:rsidRDefault="00792F58" w:rsidP="00792F58">
      <w:pPr>
        <w:autoSpaceDE w:val="0"/>
        <w:autoSpaceDN w:val="0"/>
        <w:adjustRightInd w:val="0"/>
        <w:ind w:firstLine="709"/>
        <w:jc w:val="both"/>
      </w:pPr>
      <w:r w:rsidRPr="001A35F6">
        <w:t>• Рехабилитирани жилища в градските райони – 545 бр. – 86,2</w:t>
      </w:r>
      <w:r>
        <w:t xml:space="preserve"> </w:t>
      </w:r>
      <w:r w:rsidRPr="001A35F6">
        <w:t>% от крайната цел;</w:t>
      </w:r>
    </w:p>
    <w:p w14:paraId="76162B5C" w14:textId="6CFF86B6" w:rsidR="00792F58" w:rsidRPr="001A35F6" w:rsidRDefault="00792F58" w:rsidP="00792F58">
      <w:pPr>
        <w:autoSpaceDE w:val="0"/>
        <w:autoSpaceDN w:val="0"/>
        <w:adjustRightInd w:val="0"/>
        <w:ind w:firstLine="709"/>
        <w:jc w:val="both"/>
      </w:pPr>
      <w:r w:rsidRPr="001A35F6">
        <w:t>• Население, ползващо подобрени социални услуги - 58 679 лица – 423,1</w:t>
      </w:r>
      <w:r>
        <w:t xml:space="preserve"> </w:t>
      </w:r>
      <w:r w:rsidRPr="001A35F6">
        <w:t>% от крайната цел;</w:t>
      </w:r>
    </w:p>
    <w:p w14:paraId="62C05362" w14:textId="3990CA4A" w:rsidR="00CC09AC" w:rsidRPr="007B48E9" w:rsidRDefault="00792F58" w:rsidP="00792F58">
      <w:pPr>
        <w:autoSpaceDE w:val="0"/>
        <w:autoSpaceDN w:val="0"/>
        <w:adjustRightInd w:val="0"/>
        <w:ind w:firstLine="709"/>
        <w:jc w:val="both"/>
        <w:rPr>
          <w:color w:val="0070C0"/>
        </w:rPr>
      </w:pPr>
      <w:r w:rsidRPr="001A35F6">
        <w:t>Сертифицираните разходи към 31.12.2022 г. възлизат на 520 606 557,44 евро. (66,</w:t>
      </w:r>
      <w:r>
        <w:t>1</w:t>
      </w:r>
      <w:r w:rsidRPr="001A35F6">
        <w:t xml:space="preserve"> % от бюджета на приоритетната ос)</w:t>
      </w:r>
      <w:r>
        <w:t>.</w:t>
      </w:r>
    </w:p>
    <w:p w14:paraId="074BC3A0" w14:textId="77777777" w:rsidR="00CC09AC" w:rsidRPr="00B55B38" w:rsidRDefault="00CC09AC" w:rsidP="000E2C3D">
      <w:pPr>
        <w:ind w:firstLine="709"/>
        <w:jc w:val="both"/>
      </w:pPr>
      <w:r w:rsidRPr="00B55B38">
        <w:rPr>
          <w:b/>
          <w:i/>
        </w:rPr>
        <w:t>Европейски средства, отпуснати от ДФЗ-РА</w:t>
      </w:r>
      <w:r w:rsidRPr="00B55B38">
        <w:t xml:space="preserve"> на общините (в качеството им на бенефициенти) – 112,7 млн. лв.</w:t>
      </w:r>
    </w:p>
    <w:p w14:paraId="009C8F9F" w14:textId="77777777" w:rsidR="00CC09AC" w:rsidRPr="00B55B38" w:rsidRDefault="00CC09AC" w:rsidP="00CC09AC">
      <w:pPr>
        <w:spacing w:after="120"/>
        <w:ind w:firstLine="709"/>
        <w:jc w:val="both"/>
      </w:pPr>
      <w:r w:rsidRPr="00B55B38">
        <w:rPr>
          <w:b/>
          <w:i/>
        </w:rPr>
        <w:t>Разходи по др. програми и проекти, финансирани от фондове и институции на ЕС</w:t>
      </w:r>
      <w:r w:rsidRPr="00B55B38">
        <w:t xml:space="preserve">  - 13,7 млн. лв.</w:t>
      </w:r>
    </w:p>
    <w:p w14:paraId="113E669C" w14:textId="77777777" w:rsidR="00CC09AC" w:rsidRPr="007B48E9" w:rsidRDefault="00CC09AC" w:rsidP="00CC09AC">
      <w:pPr>
        <w:ind w:firstLine="540"/>
        <w:jc w:val="both"/>
        <w:rPr>
          <w:iCs/>
          <w:color w:val="0070C0"/>
          <w:sz w:val="12"/>
          <w:szCs w:val="12"/>
        </w:rPr>
      </w:pPr>
    </w:p>
    <w:p w14:paraId="21F329B8" w14:textId="77777777" w:rsidR="00CC09AC" w:rsidRPr="00DA2794" w:rsidRDefault="00CC09AC" w:rsidP="00CC09AC">
      <w:pPr>
        <w:ind w:firstLine="709"/>
        <w:rPr>
          <w:b/>
        </w:rPr>
      </w:pPr>
      <w:r w:rsidRPr="00DA2794">
        <w:rPr>
          <w:b/>
        </w:rPr>
        <w:t xml:space="preserve">Група Б: </w:t>
      </w:r>
      <w:r w:rsidRPr="00DA2794">
        <w:rPr>
          <w:b/>
          <w:i/>
        </w:rPr>
        <w:t>„Опазване на околната среда”</w:t>
      </w:r>
    </w:p>
    <w:p w14:paraId="08943BEB" w14:textId="77777777" w:rsidR="00CC09AC" w:rsidRPr="007B48E9" w:rsidRDefault="00CC09AC" w:rsidP="00CC09AC">
      <w:pPr>
        <w:ind w:firstLine="709"/>
        <w:jc w:val="both"/>
        <w:rPr>
          <w:iCs/>
          <w:color w:val="0070C0"/>
          <w:sz w:val="12"/>
          <w:szCs w:val="12"/>
        </w:rPr>
      </w:pPr>
    </w:p>
    <w:p w14:paraId="39CB6DD1" w14:textId="77777777" w:rsidR="00CC09AC" w:rsidRPr="007B48E9" w:rsidRDefault="00CC09AC" w:rsidP="00CC09AC">
      <w:pPr>
        <w:ind w:firstLine="709"/>
        <w:jc w:val="both"/>
        <w:rPr>
          <w:iCs/>
          <w:color w:val="0070C0"/>
        </w:rPr>
      </w:pPr>
      <w:r w:rsidRPr="00DA2794">
        <w:rPr>
          <w:iCs/>
        </w:rPr>
        <w:t xml:space="preserve">Със ЗДБРБ за 2022 г. за група „Опазване на околната среда” по държавния бюджет са утвърдени средства в размер на 100,9 млн. лв. и са отчетени разходи в размер на 78,2 млн. лв. (77,5 % изпълнение на закона). </w:t>
      </w:r>
    </w:p>
    <w:p w14:paraId="4C40B90A" w14:textId="77777777" w:rsidR="00CC09AC" w:rsidRPr="003431F9" w:rsidRDefault="00CC09AC" w:rsidP="00CC09AC">
      <w:pPr>
        <w:tabs>
          <w:tab w:val="left" w:pos="851"/>
        </w:tabs>
        <w:spacing w:before="120"/>
        <w:jc w:val="both"/>
        <w:rPr>
          <w:iCs/>
        </w:rPr>
      </w:pPr>
      <w:r w:rsidRPr="003431F9">
        <w:rPr>
          <w:iCs/>
        </w:rPr>
        <w:t>По бюджета на Министерство на околната среда и водите за 2022 г. в това функционално направление са усвоени средства в размер на 61,5 млн. лв., насочени към постигане на следните цели</w:t>
      </w:r>
      <w:r w:rsidRPr="003431F9">
        <w:t>:</w:t>
      </w:r>
    </w:p>
    <w:p w14:paraId="6A078926" w14:textId="77777777" w:rsidR="00CC09AC" w:rsidRPr="00D24D54" w:rsidRDefault="00CC09AC" w:rsidP="00BD39E0">
      <w:pPr>
        <w:pStyle w:val="ListParagraph"/>
        <w:numPr>
          <w:ilvl w:val="0"/>
          <w:numId w:val="50"/>
        </w:numPr>
        <w:tabs>
          <w:tab w:val="left" w:pos="360"/>
          <w:tab w:val="left" w:pos="851"/>
        </w:tabs>
        <w:jc w:val="both"/>
        <w:rPr>
          <w:iCs/>
        </w:rPr>
      </w:pPr>
      <w:r w:rsidRPr="00D24D54">
        <w:rPr>
          <w:iCs/>
        </w:rPr>
        <w:t>Създаване на подходяща правна и стратегическа рамка, която отговаря на съвременните предизвикателства;</w:t>
      </w:r>
    </w:p>
    <w:p w14:paraId="3E2572D0" w14:textId="77777777" w:rsidR="00CC09AC" w:rsidRPr="00D24D54" w:rsidRDefault="00CC09AC" w:rsidP="00BD39E0">
      <w:pPr>
        <w:pStyle w:val="ListParagraph"/>
        <w:numPr>
          <w:ilvl w:val="0"/>
          <w:numId w:val="50"/>
        </w:numPr>
        <w:tabs>
          <w:tab w:val="left" w:pos="360"/>
          <w:tab w:val="left" w:pos="851"/>
        </w:tabs>
        <w:jc w:val="both"/>
        <w:rPr>
          <w:iCs/>
        </w:rPr>
      </w:pPr>
      <w:r w:rsidRPr="00D24D54">
        <w:rPr>
          <w:iCs/>
        </w:rPr>
        <w:t>Подпомагане на изграждането на екологична инфраструктура;</w:t>
      </w:r>
    </w:p>
    <w:p w14:paraId="3DB260A4" w14:textId="77777777" w:rsidR="00CC09AC" w:rsidRPr="00D24D54" w:rsidRDefault="00CC09AC" w:rsidP="00BD39E0">
      <w:pPr>
        <w:pStyle w:val="ListParagraph"/>
        <w:numPr>
          <w:ilvl w:val="0"/>
          <w:numId w:val="50"/>
        </w:numPr>
        <w:tabs>
          <w:tab w:val="left" w:pos="360"/>
          <w:tab w:val="left" w:pos="851"/>
        </w:tabs>
        <w:jc w:val="both"/>
        <w:rPr>
          <w:iCs/>
        </w:rPr>
      </w:pPr>
      <w:r w:rsidRPr="00D24D54">
        <w:rPr>
          <w:iCs/>
        </w:rPr>
        <w:t>Прилагане механизмите за превенция и контрол за намаляване на общия натиск от различните източници и дейности върху околната среда;</w:t>
      </w:r>
    </w:p>
    <w:p w14:paraId="7F324D90" w14:textId="77777777" w:rsidR="00CC09AC" w:rsidRPr="00D24D54" w:rsidRDefault="00CC09AC" w:rsidP="00BD39E0">
      <w:pPr>
        <w:pStyle w:val="ListParagraph"/>
        <w:numPr>
          <w:ilvl w:val="0"/>
          <w:numId w:val="50"/>
        </w:numPr>
        <w:tabs>
          <w:tab w:val="left" w:pos="360"/>
          <w:tab w:val="left" w:pos="851"/>
        </w:tabs>
        <w:jc w:val="both"/>
        <w:rPr>
          <w:iCs/>
        </w:rPr>
      </w:pPr>
      <w:r w:rsidRPr="00D24D54">
        <w:rPr>
          <w:iCs/>
        </w:rPr>
        <w:t>Създаване на условия за съхранена природа, икономически растеж и повишен жизнен стандарт на обществото;</w:t>
      </w:r>
    </w:p>
    <w:p w14:paraId="47D69349" w14:textId="77777777" w:rsidR="00CC09AC" w:rsidRPr="007B48E9" w:rsidRDefault="00CC09AC" w:rsidP="00BD39E0">
      <w:pPr>
        <w:pStyle w:val="ListParagraph"/>
        <w:numPr>
          <w:ilvl w:val="0"/>
          <w:numId w:val="50"/>
        </w:numPr>
        <w:tabs>
          <w:tab w:val="left" w:pos="360"/>
          <w:tab w:val="left" w:pos="851"/>
        </w:tabs>
        <w:jc w:val="both"/>
        <w:rPr>
          <w:iCs/>
          <w:color w:val="0070C0"/>
        </w:rPr>
      </w:pPr>
      <w:r w:rsidRPr="00D24D54">
        <w:rPr>
          <w:iCs/>
        </w:rPr>
        <w:t>Осигуряване на достъп до актуална информация за състоянието на околната среда и провежданата екологична политика</w:t>
      </w:r>
      <w:r w:rsidRPr="007B48E9">
        <w:rPr>
          <w:iCs/>
          <w:color w:val="0070C0"/>
        </w:rPr>
        <w:t>.</w:t>
      </w:r>
    </w:p>
    <w:p w14:paraId="0DDD28AC" w14:textId="0992C5E8" w:rsidR="00CC09AC" w:rsidRPr="00D24D54" w:rsidRDefault="00CC09AC" w:rsidP="00CC09AC">
      <w:pPr>
        <w:spacing w:before="120"/>
        <w:ind w:firstLine="709"/>
        <w:jc w:val="both"/>
        <w:rPr>
          <w:i/>
          <w:color w:val="FF0000"/>
        </w:rPr>
      </w:pPr>
      <w:r w:rsidRPr="00D24D54">
        <w:t>Към 31.12.2022 г. чрез бюджета на Министерство</w:t>
      </w:r>
      <w:r w:rsidR="00E34E10">
        <w:t>то</w:t>
      </w:r>
      <w:r w:rsidRPr="00D24D54">
        <w:t xml:space="preserve"> на регионалното развитие и благоустройството в това функционално направление са усвоени средства в размер на  5,1</w:t>
      </w:r>
      <w:r>
        <w:t> </w:t>
      </w:r>
      <w:r w:rsidRPr="00D24D54">
        <w:t>млн. лв.</w:t>
      </w:r>
    </w:p>
    <w:p w14:paraId="786DF718" w14:textId="73920BBF" w:rsidR="00CC09AC" w:rsidRPr="00D24D54" w:rsidRDefault="00CC09AC" w:rsidP="00CC09AC">
      <w:pPr>
        <w:ind w:firstLine="709"/>
        <w:jc w:val="both"/>
        <w:rPr>
          <w:color w:val="000000"/>
          <w:szCs w:val="22"/>
        </w:rPr>
      </w:pPr>
      <w:r w:rsidRPr="00D24D54">
        <w:rPr>
          <w:color w:val="000000"/>
          <w:szCs w:val="22"/>
        </w:rPr>
        <w:t>През отчетния период продължи изпълнението на договор</w:t>
      </w:r>
      <w:r w:rsidR="00D03E94">
        <w:rPr>
          <w:color w:val="000000"/>
          <w:szCs w:val="22"/>
        </w:rPr>
        <w:t>а</w:t>
      </w:r>
      <w:r w:rsidRPr="00D24D54">
        <w:rPr>
          <w:color w:val="000000"/>
          <w:szCs w:val="22"/>
        </w:rPr>
        <w:t xml:space="preserve"> за „Превантивни дейности, свързани с регистриране и мониторинг на свлачищните райони на територията на Република България и на районите с ерозионни процеси по Дунавск</w:t>
      </w:r>
      <w:r w:rsidR="00D03E94">
        <w:rPr>
          <w:color w:val="000000"/>
          <w:szCs w:val="22"/>
        </w:rPr>
        <w:t>ия</w:t>
      </w:r>
      <w:r w:rsidRPr="00D24D54">
        <w:rPr>
          <w:color w:val="000000"/>
          <w:szCs w:val="22"/>
        </w:rPr>
        <w:t xml:space="preserve"> </w:t>
      </w:r>
      <w:r w:rsidR="00D03E94">
        <w:rPr>
          <w:color w:val="000000"/>
          <w:szCs w:val="22"/>
        </w:rPr>
        <w:t>бряг</w:t>
      </w:r>
      <w:r w:rsidRPr="00D24D54">
        <w:rPr>
          <w:color w:val="000000"/>
          <w:szCs w:val="22"/>
        </w:rPr>
        <w:t xml:space="preserve"> и абразионни процеси по Черноморското крайбрежие“, по който са изпълнени дейности, предвидени съгласно Индикативната годишна програма за изпълнение за 2022 г. </w:t>
      </w:r>
    </w:p>
    <w:p w14:paraId="2DAD3ECB" w14:textId="77777777" w:rsidR="00CC09AC" w:rsidRPr="00D24D54" w:rsidRDefault="00CC09AC" w:rsidP="00CC09AC">
      <w:pPr>
        <w:ind w:firstLine="709"/>
        <w:jc w:val="both"/>
        <w:rPr>
          <w:color w:val="000000"/>
          <w:szCs w:val="22"/>
        </w:rPr>
      </w:pPr>
      <w:r w:rsidRPr="00D24D54">
        <w:rPr>
          <w:color w:val="000000"/>
          <w:szCs w:val="22"/>
        </w:rPr>
        <w:t>През отчетния период окончателно са изпълнени дейностите по сключени споразумения за финансово подпомагане на общини за изпълнение на геозащитни мерки и дейности на следните обекти, като същите са приключили в срокове по съответните споразумения и са извършени окончателни плащания по тях.</w:t>
      </w:r>
    </w:p>
    <w:p w14:paraId="6A4EBAF3"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 xml:space="preserve">„Укрепване свлачищен участък с. Желен, местност „Езерище“ с № SFO 43.29163-01 - участък 3 и участък 4“ – споразумението е приключено с издадено разрешение за ползване; </w:t>
      </w:r>
    </w:p>
    <w:p w14:paraId="6966E7DF"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 xml:space="preserve">Обект „Укрепване свлачище на път SFO 3611 /II-16 Своге - Томпсън/ - Лесковдол при км 4+150, в землището на село Лесковдол, с № SFO 43.43390-05“ -  споразумението е приключено с издадено разрешение за ползване; </w:t>
      </w:r>
    </w:p>
    <w:p w14:paraId="2BDA4FEC"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 xml:space="preserve">„Укрепване на свлачище на път SFO 2604 /II-16 Своге - София/ - Батулия - Бакьово - Ябланица при км 2+950, в землището на с. Батулия, с № SFO 43.02899-02“ - споразумението е приключено с издадено разрешение за ползване; </w:t>
      </w:r>
    </w:p>
    <w:p w14:paraId="7138D883"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 xml:space="preserve">„Укрепване на свлачище с рег. № VRC10.12259.01 над  ул. „Черни дрин“, гр. Враца (под водоем Среченска бара) – споразумението е приключено с издадено разрешение за ползване. </w:t>
      </w:r>
    </w:p>
    <w:p w14:paraId="2CD71A3E"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„Укрепителни дейности на възникнали свлачищни участъци в района на „Туристическа и колоездачна пътека в гр. Неделино – местност „Леден врис“ - споразумението е приключено, обектът не е въведен в експлоатация.</w:t>
      </w:r>
    </w:p>
    <w:p w14:paraId="531691B7"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„Укрепване на свлачище в района на училище „Св. Паисий Хилендарски“, с. Сотиря, община Сливен“ - споразумението е приключено с издадено разрешение за ползване;</w:t>
      </w:r>
    </w:p>
    <w:p w14:paraId="23E1077A"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„Укрепване на свлачища в кв. 17, кв. 18, с. Габровица, община Белово - споразумението е приключено с издадено разрешение за ползване.</w:t>
      </w:r>
    </w:p>
    <w:p w14:paraId="0AE89FAD" w14:textId="77777777" w:rsidR="00CC09AC" w:rsidRPr="00D24D54" w:rsidRDefault="00CC09AC" w:rsidP="00CC09AC">
      <w:pPr>
        <w:tabs>
          <w:tab w:val="left" w:pos="851"/>
        </w:tabs>
        <w:ind w:firstLine="709"/>
        <w:jc w:val="both"/>
        <w:rPr>
          <w:color w:val="000000"/>
          <w:szCs w:val="22"/>
        </w:rPr>
      </w:pPr>
      <w:r w:rsidRPr="00D24D54">
        <w:rPr>
          <w:color w:val="000000"/>
          <w:szCs w:val="22"/>
        </w:rPr>
        <w:t>В процес на строителство са следните обекти, сключени през предходни години:</w:t>
      </w:r>
    </w:p>
    <w:p w14:paraId="194266D9"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 xml:space="preserve">Обект „Гр. Бяла – укрепване свлачище и брегоукрепване – първи етап“ - сключено  е допълнително споразумение за удължаване на срока му до 01.12.2024 г. и са изменени клаузи на споразумението, свързани с втория транш на финансови средства;  </w:t>
      </w:r>
    </w:p>
    <w:p w14:paraId="237052BF"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„Укрепване и възстановяване на път VTR2206 от км 5+000 до км 5+500 и определяне територия за геозащитни дейности в свлачищен район VTR 32.70295.01, землище на гр. Сухиндол“, община Сухиндол - сключено  е допълнително споразумение, с което са изменени клаузи, свързани с окончателното разплащане по споразумението;</w:t>
      </w:r>
    </w:p>
    <w:p w14:paraId="272340E8"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„Укрепване на свлачищен участък на път SFO 1471 /III -308/ Калугерово Видраре – Джурово - /I -3/ от км 8+210 до км 8+360, с. Манаселска река, община     Правец“ – извършено е междинно плащане и е удължен срока му на изпълнение до 31.07.2023 г.;</w:t>
      </w:r>
    </w:p>
    <w:p w14:paraId="0E7DBDC1"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„Укрепване на свлачища в кв. 25, кв. 26, кв. 27 и кв. 28, с. Габровица, община Белово - първи етап“ – извършено е междинно плащане;</w:t>
      </w:r>
    </w:p>
    <w:p w14:paraId="08E554CE"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Обект „Брегоукрепване в северната част на гр. Китен – първи етап“ – извършено е междинно плащане;</w:t>
      </w:r>
    </w:p>
    <w:p w14:paraId="60F32572" w14:textId="77777777" w:rsidR="00CC09AC" w:rsidRPr="00D24D54" w:rsidRDefault="00CC09AC" w:rsidP="00CC09AC">
      <w:pPr>
        <w:tabs>
          <w:tab w:val="left" w:pos="851"/>
        </w:tabs>
        <w:ind w:firstLine="709"/>
        <w:jc w:val="both"/>
        <w:rPr>
          <w:color w:val="000000"/>
          <w:szCs w:val="22"/>
        </w:rPr>
      </w:pPr>
      <w:r w:rsidRPr="00D24D54">
        <w:rPr>
          <w:color w:val="000000"/>
          <w:szCs w:val="22"/>
        </w:rPr>
        <w:t>Сключиха се допълнително 5 споразумения за финансово подпомагане на общини за изпълнение на геозащитни мерки и дейности на следните обекти:</w:t>
      </w:r>
    </w:p>
    <w:p w14:paraId="6AF0729C"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Укрепителни мероприятия на дере с прилежащи полегати и стръмни склонове в обхвата на имоти № 803, 804, 805, 806, 807 в кв. 62 по плана на с. Пиргово, ул. „Пиргос“, община Иваново;</w:t>
      </w:r>
    </w:p>
    <w:p w14:paraId="2569AF9A"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Укрепване на свлачище VRC27.44759.03 в ПИ 44759.501.484 по КККР на с. Лютидол, община Мездра;</w:t>
      </w:r>
    </w:p>
    <w:p w14:paraId="62827432"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Укрепване на новоформирано свлачище № TGV22.32620.01 и отводняване на част от общински път TGV2054 /ІІI- 4802, н.к. Горско село-Илийно/ - Птичево при км 7+280, землището на с. Илийно, Община Омуртаг;</w:t>
      </w:r>
    </w:p>
    <w:p w14:paraId="41B0866B" w14:textId="77777777" w:rsidR="00CC09AC" w:rsidRPr="00D24D54" w:rsidRDefault="00CC09AC" w:rsidP="00CC09AC">
      <w:pPr>
        <w:tabs>
          <w:tab w:val="left" w:pos="851"/>
        </w:tabs>
        <w:ind w:firstLine="709"/>
        <w:jc w:val="both"/>
        <w:rPr>
          <w:color w:val="000000"/>
          <w:szCs w:val="22"/>
        </w:rPr>
      </w:pPr>
      <w:r w:rsidRPr="00D24D54">
        <w:rPr>
          <w:color w:val="000000"/>
          <w:szCs w:val="22"/>
        </w:rPr>
        <w:t>•</w:t>
      </w:r>
      <w:r w:rsidRPr="00D24D54">
        <w:rPr>
          <w:color w:val="000000"/>
          <w:szCs w:val="22"/>
        </w:rPr>
        <w:tab/>
        <w:t>Укрепване свлачище на път SFO 3611 /II-16 Своге - Томпсън/ - Лесковдол при км 0+500“, с. Редина, с № SFO 43.62414-01 (стар № SFO 43.43390-03), община Своге;</w:t>
      </w:r>
    </w:p>
    <w:p w14:paraId="2C21920F" w14:textId="77777777" w:rsidR="00CC09AC" w:rsidRPr="00D24D54" w:rsidRDefault="00CC09AC" w:rsidP="00CC09AC">
      <w:pPr>
        <w:tabs>
          <w:tab w:val="left" w:pos="851"/>
        </w:tabs>
        <w:suppressAutoHyphens/>
        <w:autoSpaceDN w:val="0"/>
        <w:ind w:right="-56" w:firstLine="709"/>
        <w:jc w:val="both"/>
        <w:textAlignment w:val="baseline"/>
        <w:rPr>
          <w:rFonts w:eastAsia="Calibri"/>
          <w:color w:val="000000"/>
          <w:kern w:val="1"/>
          <w:szCs w:val="22"/>
        </w:rPr>
      </w:pPr>
      <w:r w:rsidRPr="00D24D54">
        <w:rPr>
          <w:color w:val="000000"/>
          <w:szCs w:val="22"/>
        </w:rPr>
        <w:t>•</w:t>
      </w:r>
      <w:r w:rsidRPr="00D24D54">
        <w:rPr>
          <w:color w:val="000000"/>
          <w:szCs w:val="22"/>
        </w:rPr>
        <w:tab/>
        <w:t>Укрепване свлачище на улица „Иван Вазов“ в село Гара Лакатник,  с № SFO 43.14475-03, община Своге.</w:t>
      </w:r>
    </w:p>
    <w:p w14:paraId="1EED2577" w14:textId="77777777" w:rsidR="00CC09AC" w:rsidRPr="00D24D54" w:rsidRDefault="00CC09AC" w:rsidP="00CC09AC">
      <w:pPr>
        <w:ind w:right="-144" w:firstLine="709"/>
        <w:jc w:val="both"/>
        <w:rPr>
          <w:highlight w:val="yellow"/>
        </w:rPr>
      </w:pPr>
    </w:p>
    <w:p w14:paraId="0AC2FBCF" w14:textId="77777777" w:rsidR="00CC09AC" w:rsidRPr="00D24D54" w:rsidRDefault="00CC09AC" w:rsidP="000E2C3D">
      <w:pPr>
        <w:ind w:firstLine="709"/>
        <w:jc w:val="both"/>
      </w:pPr>
      <w:r w:rsidRPr="00D24D54">
        <w:t>Към 31.12.2022 г. по бюджета на Министерство на икономиката и индустрията в това функционално направление са усвоени средства в размер на 6,7 млн. лв. за техническа ликвидация и консервация на обекти от миннодобивния отрасъл и за саниране на околната среда.</w:t>
      </w:r>
    </w:p>
    <w:p w14:paraId="7542E2CD" w14:textId="77777777" w:rsidR="00CC09AC" w:rsidRPr="007B48E9" w:rsidRDefault="00CC09AC" w:rsidP="000E2C3D">
      <w:pPr>
        <w:ind w:firstLine="709"/>
        <w:jc w:val="both"/>
        <w:rPr>
          <w:color w:val="0070C0"/>
        </w:rPr>
      </w:pPr>
      <w:r w:rsidRPr="00D24D54">
        <w:t>През 2022 г. са предоставени трансфери за общини  от Предприятието за управление на дейностите по опазване на околната среда (ПУДООС) за финансиране на дейности по  изграждането на малки водоснабдителни обекти с цел осигуряване на оптимално количество и качество на населението, както и за канализационни мрежи и довеждащи колектори. Със средства по бюджета на ПУДООС са финансирани проекти в областта на управление на отпадъците за изграждане на интегрирана система от съоръжения за третиране на отпадъците, както и за закриване и рекултивация на общинските депа за битови отпадъци</w:t>
      </w:r>
      <w:r w:rsidRPr="007B48E9">
        <w:rPr>
          <w:color w:val="0070C0"/>
        </w:rPr>
        <w:t>.</w:t>
      </w:r>
    </w:p>
    <w:p w14:paraId="2203D1EE" w14:textId="5D098390" w:rsidR="00CC09AC" w:rsidRPr="007B48E9" w:rsidRDefault="00CC09AC" w:rsidP="00CC09AC">
      <w:pPr>
        <w:pStyle w:val="BodyText"/>
        <w:widowControl w:val="0"/>
        <w:spacing w:before="120" w:after="0"/>
        <w:ind w:firstLine="539"/>
        <w:jc w:val="both"/>
        <w:rPr>
          <w:color w:val="0070C0"/>
        </w:rPr>
      </w:pPr>
      <w:r w:rsidRPr="00E0474F">
        <w:rPr>
          <w:iCs/>
        </w:rPr>
        <w:t xml:space="preserve">Основните разходи по КФП в група „Опазване на околната среда” са извършени  </w:t>
      </w:r>
      <w:r w:rsidRPr="00E0474F">
        <w:rPr>
          <w:b/>
          <w:iCs/>
        </w:rPr>
        <w:t>по бюджетите на общините</w:t>
      </w:r>
      <w:r w:rsidRPr="00E0474F">
        <w:rPr>
          <w:iCs/>
        </w:rPr>
        <w:t xml:space="preserve">, като за годината те възлизат на 911,0 млн. лв. Текущите разходи са в размер на 804,3 млн. лв., което е с 93,3 млн. лв. повече или 113,1 % спрямо планираните със закона за 2022 г. </w:t>
      </w:r>
      <w:r w:rsidRPr="00894B31">
        <w:rPr>
          <w:iCs/>
        </w:rPr>
        <w:t>Увеличението на текущите разходи по отчет спрямо разчетените по закон се дължи основно на ръста на отчетените разходи за издръжка и персонал. Съпоставени спрямо отчета за 2021 г.</w:t>
      </w:r>
      <w:r w:rsidR="00D03E94">
        <w:rPr>
          <w:iCs/>
        </w:rPr>
        <w:t>,</w:t>
      </w:r>
      <w:r w:rsidRPr="00894B31">
        <w:rPr>
          <w:iCs/>
        </w:rPr>
        <w:t xml:space="preserve"> текущите разходи за тази група бележат ръст от 76,3</w:t>
      </w:r>
      <w:r>
        <w:rPr>
          <w:iCs/>
        </w:rPr>
        <w:t> </w:t>
      </w:r>
      <w:r w:rsidRPr="00894B31">
        <w:rPr>
          <w:iCs/>
        </w:rPr>
        <w:t>млн. лв. или 110,5</w:t>
      </w:r>
      <w:r>
        <w:rPr>
          <w:iCs/>
        </w:rPr>
        <w:t xml:space="preserve"> </w:t>
      </w:r>
      <w:r w:rsidRPr="00894B31">
        <w:rPr>
          <w:iCs/>
        </w:rPr>
        <w:t>%, формиран основно от увеличението на разходите за персонал с 18,8 млн. лв. и на разходите за издръжка с 56,0</w:t>
      </w:r>
      <w:r w:rsidRPr="00894B31">
        <w:t xml:space="preserve"> </w:t>
      </w:r>
      <w:r w:rsidRPr="00894B31">
        <w:rPr>
          <w:iCs/>
        </w:rPr>
        <w:t>млн. лв. Следва да се отчете, че влияние върху нарастването на средствата за заплати оказва повишението на минималната работна заплата от 650 лв. през 2021 г. на 710 лв. от 01.04.2022 г. В структурата на текущите разходи се запазва високият относителен дял от 76,2</w:t>
      </w:r>
      <w:r>
        <w:rPr>
          <w:iCs/>
        </w:rPr>
        <w:t xml:space="preserve"> </w:t>
      </w:r>
      <w:r w:rsidRPr="00894B31">
        <w:rPr>
          <w:iCs/>
        </w:rPr>
        <w:t xml:space="preserve">% на разходите за издръжка, който </w:t>
      </w:r>
      <w:r w:rsidRPr="00894B31">
        <w:t xml:space="preserve">е свързан с финансирането на дейностите по поддържането на чистотата, озеленяването и благоустрояването, управление на дейностите по отпадъците и други, извършвани от фирми или от общински предприятия. Размерът на отчетените </w:t>
      </w:r>
      <w:r w:rsidRPr="00894B31">
        <w:rPr>
          <w:iCs/>
        </w:rPr>
        <w:t>капиталови</w:t>
      </w:r>
      <w:r w:rsidRPr="00894B31">
        <w:t xml:space="preserve"> разходи е 106,7 млн. лв., което е изпълнение от 86,7</w:t>
      </w:r>
      <w:r>
        <w:t xml:space="preserve"> </w:t>
      </w:r>
      <w:r w:rsidRPr="00894B31">
        <w:t>% спрямо планираните със закона и е със 7,6 млн. лв. повече от отчетените през 2021 г., което се дължи основно на увеличението на разходите за придобиване на дълготрайни материални активи с 3,7 млн. лв., на разходите за придобиване н земя с 2,8 млн. лв. и на ръста от 1,5 млн. лв. на отчетените разходи за основен ремонт на дълготрайни материални активи.</w:t>
      </w:r>
      <w:r>
        <w:t xml:space="preserve"> </w:t>
      </w:r>
      <w:r w:rsidRPr="00894B31">
        <w:t>В групата се отчитат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w:t>
      </w:r>
      <w:r w:rsidRPr="007B48E9">
        <w:rPr>
          <w:color w:val="0070C0"/>
        </w:rPr>
        <w:t xml:space="preserve">. </w:t>
      </w:r>
    </w:p>
    <w:p w14:paraId="145ACF74" w14:textId="0A3B7609" w:rsidR="00CC09AC" w:rsidRDefault="00CC09AC" w:rsidP="003E4FBF">
      <w:pPr>
        <w:pStyle w:val="BodyText"/>
        <w:widowControl w:val="0"/>
        <w:spacing w:before="120"/>
        <w:ind w:firstLine="709"/>
        <w:jc w:val="both"/>
        <w:rPr>
          <w:color w:val="0070C0"/>
          <w:lang w:bidi="bg-BG"/>
        </w:rPr>
      </w:pPr>
      <w:r w:rsidRPr="00736E1A">
        <w:rPr>
          <w:b/>
        </w:rPr>
        <w:t>Европейски средства</w:t>
      </w:r>
      <w:r w:rsidRPr="00736E1A">
        <w:t xml:space="preserve"> – за група „Опазване на околната среда” изразходваните </w:t>
      </w:r>
      <w:r w:rsidRPr="0023618D">
        <w:t xml:space="preserve">средства са </w:t>
      </w:r>
      <w:r w:rsidRPr="004D5FFC">
        <w:rPr>
          <w:lang w:val="ru-RU"/>
        </w:rPr>
        <w:t>414</w:t>
      </w:r>
      <w:r w:rsidRPr="0023618D">
        <w:t>,</w:t>
      </w:r>
      <w:r w:rsidRPr="004D5FFC">
        <w:rPr>
          <w:lang w:val="ru-RU"/>
        </w:rPr>
        <w:t>4</w:t>
      </w:r>
      <w:r w:rsidRPr="0023618D">
        <w:t xml:space="preserve"> млн. лв., основно по </w:t>
      </w:r>
      <w:r w:rsidRPr="0023618D">
        <w:rPr>
          <w:b/>
          <w:i/>
        </w:rPr>
        <w:t xml:space="preserve">Оперативна програма „Околна среда” </w:t>
      </w:r>
      <w:r w:rsidRPr="0023618D">
        <w:t>(398,2 млн. лв.), като основна част от тях са от програмен период 2014-2020 г.</w:t>
      </w:r>
      <w:r w:rsidRPr="0023618D">
        <w:rPr>
          <w:b/>
          <w:i/>
        </w:rPr>
        <w:t xml:space="preserve"> </w:t>
      </w:r>
      <w:r w:rsidRPr="009768D2">
        <w:t>Оперативната програма продължава надграждането на резултатите от програмен период 2007 – 2013 г. Основна част от мерките, които се финансират, са насочени към зоните от Натура 2000. Предвиден е финансов ресурс по отношение на предизвикателствата, свързани с подкрепа за устойчивото управление и възстановяването на мрежата Натура 2000, възстановяване и опазване на влажните зони и реките, изготвяне на планове за управление, изграждане на капацитет за органите, отговорни за Натура 2000, както и за повишаване на осведомеността сред различните заинтересовани страни и преустановяване на загубата на биологично разнообразие. Оперативна програма „Околна среда 2014-2020 г.“ ще допринесе за осигуряване на условия за защита на най-ценните и застрашени видове и местообитания от мрежата Натура 2000 на територията на страната чрез изпълнение на дейности, заложени в Националната приоритетна рамка за действие за Натура 2000. Едни от основните дейности по програмата са свързани със секторите „</w:t>
      </w:r>
      <w:r w:rsidR="000115BD">
        <w:t>В</w:t>
      </w:r>
      <w:r w:rsidRPr="009768D2">
        <w:t>оди“ и „</w:t>
      </w:r>
      <w:r w:rsidR="000115BD">
        <w:t>О</w:t>
      </w:r>
      <w:r w:rsidRPr="009768D2">
        <w:t>тпадъци“. Важни приоритети в сектор „</w:t>
      </w:r>
      <w:r w:rsidR="000115BD">
        <w:t>В</w:t>
      </w:r>
      <w:r w:rsidRPr="009768D2">
        <w:t>оди“ са изграждане на ВиК инфраструктура и  доизграждане и/или оптимизиране на мрежите за мониторинг на водите. В сектор „</w:t>
      </w:r>
      <w:r w:rsidR="000115BD">
        <w:t>О</w:t>
      </w:r>
      <w:r w:rsidRPr="009768D2">
        <w:t xml:space="preserve">тпадъци“ приоритетите са насочени към мерки за подобряване управлението на битовите отпадъци в съответствие с Националния план за управление на отпадъците. Част от финансовия ресурс по програмата е насочен към интервенции по превенция и управления на риска от наводнения и свлачища. В тази област се инвестират средства за: създаване на Национална система за управление на водите в реално време; мерки за въвеждане на решения за превенция и управление на риска от наводнения (в т.ч. екосистемно базирани решения); мерки за превенция и управление на риска от свлачища. Друг основен приоритет по оперативна програма „Околна среда 2014-2020 г.“ е подобряване качеството на атмосферния въздух (КАВ). В това направление се инвестират средства за: преглед и анализ на общинските програми за КАВ; подпомагане на компетентните органи при изготвянето/преработването, изпълнението и контрола на общинските програми и развитие и оптимизиране на системите за мониторинг на КАВ;  мерки за намаляване на количествата фини прахови частици и азотни оксиди от основните източници на замърсяване. </w:t>
      </w:r>
    </w:p>
    <w:p w14:paraId="6E1E9D1C" w14:textId="62714869" w:rsidR="00792F58" w:rsidRPr="00792F58" w:rsidRDefault="00792F58" w:rsidP="00792F58">
      <w:pPr>
        <w:widowControl w:val="0"/>
        <w:spacing w:before="120" w:after="120"/>
        <w:ind w:firstLine="709"/>
        <w:jc w:val="both"/>
      </w:pPr>
      <w:r w:rsidRPr="003E4FBF">
        <w:t>По приоритетна ос „Води“ п</w:t>
      </w:r>
      <w:r w:rsidRPr="0055708F">
        <w:t xml:space="preserve">реобладаващата част от финансираните проекти </w:t>
      </w:r>
      <w:r w:rsidRPr="00792F58">
        <w:t>са насочени към постигане на целите, определени в Директива 91/271/ЕИО относно пречистването на отпадъчните води от населени места и Директива 98/83/ЕО за качеството на водите, предназначени за консумация от човека. Основен резултат е реализацията на мерки за събиране, отвеждане и пречистване на отпадъчните води, също така в следствие от инвестициите за рехабилитация на съществуващата инфраструктура се повишава ефективността на водоснабдителните мрежи и се намаляват загубите на вода. Изпълнението на показателите за физически напредък към 31.12.2022 г. е следното: По индикатор СО18 „Водоснабдяване: Допълнителен брой жители с достъп до подобрено водоснабдяване“ се отчитат 232 157 лица, напредъкът от предходния отчетен период (31.12.2021 г.) е 39 773 бр. лица. Към края на м. декември 2022 г. договорените проекти са с обща целева стойност към индикатор СО18 „Водоснабдяване: Допълнителен брой жители с достъп до подобрено водоснабдяване“ от 2 142 957 лица.</w:t>
      </w:r>
    </w:p>
    <w:p w14:paraId="277E2319" w14:textId="77777777" w:rsidR="00792F58" w:rsidRPr="00792F58" w:rsidRDefault="00792F58" w:rsidP="00792F58">
      <w:pPr>
        <w:widowControl w:val="0"/>
        <w:spacing w:before="120" w:after="120"/>
        <w:ind w:firstLine="709"/>
        <w:jc w:val="both"/>
      </w:pPr>
      <w:r w:rsidRPr="00792F58">
        <w:t>По приоритетна ос 2 „Отпадъци“  ипълнението на показателите за физически напредък към 31.12.2022 г. е следното: По показател СО17 „Твърди отпадъци: Допълнителен капацитет за рециклиране на отпадъци“ към 31.12.2022 г. се отчитат 88 336 тона/година (т/г.), от края на предходния период на докладване е постигнат напредък от 20 028 т/г., избраните операции за индикатор СО17 възлизат на 226 694,94 т/г. Стойността на избраните операции за постигането на показател 2.2. „Допълнителен капацитет за оползотворяване на битови отпадъци (за получаване на енергия)“ е 180 000 т/г. и отразява потенциалния прогнозен принос от проект „Проектиране и изграждане на инсталация за комбинирано производство на енергия в София с оползотворяване на RDF – трета фаза на интегрирана система от съоръжения за третиране на битовите отпадъци на Столична община“. Предвид актуалния статус на проекта, УО вече стартира процедура по уведомяване на бенефициента за прекратяване на АДБФП и възстановяване на аванса, след което ще бъдат предприети действия за изменение на програмата с цел отпадане на заложения индикатор.</w:t>
      </w:r>
    </w:p>
    <w:p w14:paraId="2D154D86" w14:textId="79786BE6" w:rsidR="00792F58" w:rsidRPr="00792F58" w:rsidRDefault="00792F58" w:rsidP="00792F58">
      <w:pPr>
        <w:widowControl w:val="0"/>
        <w:spacing w:before="120" w:after="120"/>
        <w:ind w:firstLine="709"/>
        <w:jc w:val="both"/>
      </w:pPr>
      <w:r w:rsidRPr="00792F58">
        <w:t>По приоритетната ос 4 „Превенция и управление на риска от наводнения и свлачища“ са обявени общо 7 бр. процедури на стойност 109 843 800 евро (120</w:t>
      </w:r>
      <w:r>
        <w:t xml:space="preserve"> </w:t>
      </w:r>
      <w:r w:rsidRPr="00792F58">
        <w:t>% от бюджета). Сключените договори/издадени заповеди са 17 бр. с обща стойност на БФП 65 986 358 евро или 72 % от бюджета. В процес на изпълнение са 5 бр. проекти, а приключилите са 12 бр. Към края на м. декември 2022 г. изпълнението на показателите за физически напредък е следното: за СО20 „Предотвратяване и управление на риска: Брой жители, които се ползват от мерки за защита от наводнения“ се докладват 150 237 лица, в рамките на отчетния период е постигнат напредък от 5 174 лица с реализацията на проект „Центрове за повишаване готовността на населението за реакция при наводнения“ на Главна дирекция „Пожарна безопасност и защита на населението“ (ГД ПБЗН) в Министерството на вътрешните работи. Основният принос за постигане на целта се очаква от проект „Интегриране, надграждане и оптимизация на процесите по превенция, готовност и реагиране на рискове от природен характер“ с бенефициент ГД ПБЗН в МВР. За изпълнението на целта по показател 4.1. „Райони със значителен потенциален риск от наводнения, в които населението няма готовност за адекватна реакция при наводнения“, са подписани 4 бр. АДБФП, в резултат на което, районите с потенциален риск от наводнения, в които населението няма готовност за адекватна реакция са намалели с 99 бр.</w:t>
      </w:r>
    </w:p>
    <w:p w14:paraId="254BE68C" w14:textId="246CC537" w:rsidR="00792F58" w:rsidRPr="00792F58" w:rsidRDefault="00792F58" w:rsidP="00792F58">
      <w:pPr>
        <w:widowControl w:val="0"/>
        <w:spacing w:before="120" w:after="120"/>
        <w:ind w:firstLine="709"/>
        <w:jc w:val="both"/>
        <w:rPr>
          <w:color w:val="0070C0"/>
        </w:rPr>
      </w:pPr>
      <w:r w:rsidRPr="003E4FBF">
        <w:t xml:space="preserve">По приоритетната ос 5 „Подобряване качеството на атмосферния въздух“ са </w:t>
      </w:r>
      <w:r w:rsidRPr="0055708F">
        <w:t xml:space="preserve">обявени </w:t>
      </w:r>
      <w:r w:rsidRPr="00792F58">
        <w:t xml:space="preserve">общо 5 бр. процедури на стойност 324 112 484 евро (104 % </w:t>
      </w:r>
      <w:r>
        <w:t>спрямо</w:t>
      </w:r>
      <w:r w:rsidRPr="00792F58">
        <w:t xml:space="preserve"> бюджета). Сключените договори/издадени заповеди са 42 бр. с обща стойност на БФП 320 091 458 евро или 103 % от бюджета. Към края на отчетния период 19 бр. проекти са в процес на изпълнение, а приключилите са 23 бр. Приоритетна ос 5 е насочена към нуждите по отношение качеството на атмосферния въздух, съгласно предизвикателствата, свързани с неговото подобряване чрез прилагане на адекватни дългосрочни програми и краткосрочни планове за действие в зависимост от източниците на замърсяване (градски транспорт, движение по пътищата, битово отопление). Финансираните проекти са насочени към намаляване на количеството на фините прахови частици (ФПЧ10) и увеличаване на населението, обхванато от мерките за намаляване на количествата на ФПЧ10 и азотни оксиди на територията на общини с нарушено качество на въздуха чрез подмяна на отоплителни устройства на твърдо гориво. Проектите адресират наказателната процедура срещу страната във връзка с превишенията на нивата на фини прахови частици. Подмяната на остарели средства за масов транспорт е с пряк принос за подобряване качеството на въздуха, като с приблизително 500 млн. лв. се доставят нови 385 бр. екологосъобразни превозни средства: 296 електрически автобуса, 60 тролея и 29 трамвая</w:t>
      </w:r>
      <w:r>
        <w:t>.</w:t>
      </w:r>
    </w:p>
    <w:p w14:paraId="7AD54577" w14:textId="77777777" w:rsidR="00CC09AC" w:rsidRPr="0023618D" w:rsidRDefault="00CC09AC" w:rsidP="000E2C3D">
      <w:pPr>
        <w:spacing w:after="120"/>
        <w:ind w:firstLine="709"/>
        <w:jc w:val="both"/>
      </w:pPr>
      <w:r w:rsidRPr="0023618D">
        <w:rPr>
          <w:b/>
          <w:i/>
        </w:rPr>
        <w:t>Разходи по др. програми и проекти, финансирани от фондове и институции на ЕС</w:t>
      </w:r>
      <w:r w:rsidRPr="0023618D">
        <w:t xml:space="preserve">  - 5,8 млн. лева.</w:t>
      </w:r>
    </w:p>
    <w:p w14:paraId="62D6EC80" w14:textId="77777777" w:rsidR="00CC09AC" w:rsidRPr="00A13F48" w:rsidRDefault="00CC09AC" w:rsidP="00CC09AC">
      <w:pPr>
        <w:pStyle w:val="Heading3"/>
        <w:numPr>
          <w:ilvl w:val="2"/>
          <w:numId w:val="8"/>
        </w:numPr>
        <w:spacing w:before="600"/>
        <w:rPr>
          <w:rFonts w:ascii="Times New Roman" w:hAnsi="Times New Roman"/>
          <w:sz w:val="24"/>
          <w:lang w:val="bg-BG"/>
        </w:rPr>
      </w:pPr>
      <w:bookmarkStart w:id="350" w:name="_Toc326315920"/>
      <w:bookmarkStart w:id="351" w:name="_Toc324863428"/>
      <w:bookmarkStart w:id="352" w:name="_Toc261276592"/>
      <w:bookmarkStart w:id="353" w:name="_Toc483234292"/>
      <w:bookmarkStart w:id="354" w:name="_Toc494102646"/>
      <w:bookmarkStart w:id="355" w:name="_Toc525125604"/>
      <w:bookmarkStart w:id="356" w:name="_Toc18316960"/>
      <w:bookmarkStart w:id="357" w:name="_Toc136361875"/>
      <w:bookmarkStart w:id="358" w:name="_Toc146037915"/>
      <w:r w:rsidRPr="00A13F48">
        <w:rPr>
          <w:rFonts w:ascii="Times New Roman" w:hAnsi="Times New Roman"/>
          <w:sz w:val="24"/>
          <w:lang w:val="bg-BG"/>
        </w:rPr>
        <w:t>Култура, спорт, почивни дейности</w:t>
      </w:r>
      <w:bookmarkEnd w:id="350"/>
      <w:bookmarkEnd w:id="351"/>
      <w:bookmarkEnd w:id="352"/>
      <w:bookmarkEnd w:id="353"/>
      <w:bookmarkEnd w:id="354"/>
      <w:bookmarkEnd w:id="355"/>
      <w:r w:rsidRPr="00A13F48">
        <w:rPr>
          <w:rFonts w:ascii="Times New Roman" w:hAnsi="Times New Roman"/>
          <w:sz w:val="24"/>
          <w:lang w:val="bg-BG"/>
        </w:rPr>
        <w:t xml:space="preserve"> и религиозно дело</w:t>
      </w:r>
      <w:bookmarkEnd w:id="356"/>
      <w:bookmarkEnd w:id="357"/>
      <w:bookmarkEnd w:id="358"/>
    </w:p>
    <w:p w14:paraId="6A3BD785" w14:textId="77777777" w:rsidR="00CC09AC" w:rsidRPr="007B48E9" w:rsidRDefault="00CC09AC" w:rsidP="00CC09AC">
      <w:pPr>
        <w:rPr>
          <w:color w:val="0070C0"/>
          <w:sz w:val="10"/>
          <w:szCs w:val="10"/>
        </w:rPr>
      </w:pPr>
    </w:p>
    <w:p w14:paraId="14C7EE2C" w14:textId="77777777" w:rsidR="00CC09AC" w:rsidRPr="007B48E9" w:rsidRDefault="00CC09AC" w:rsidP="00CC09AC">
      <w:pPr>
        <w:ind w:firstLine="540"/>
        <w:jc w:val="both"/>
        <w:rPr>
          <w:color w:val="0070C0"/>
          <w:sz w:val="2"/>
          <w:szCs w:val="2"/>
        </w:rPr>
      </w:pPr>
    </w:p>
    <w:p w14:paraId="5508D431" w14:textId="1A55A948" w:rsidR="00CC09AC" w:rsidRPr="00ED63A2" w:rsidRDefault="00CC09AC" w:rsidP="00CC09AC">
      <w:pPr>
        <w:spacing w:before="120"/>
        <w:ind w:firstLine="709"/>
        <w:jc w:val="both"/>
      </w:pPr>
      <w:r w:rsidRPr="00ED63A2">
        <w:t>Основната част от разходите по функция „Култура, спорт, почивни дейности и религиозно дело” са в група В „Култура” и група Б „Физическа култура и спорт”. В това функционално направление разходите са извършени от министерствата и ведомствата, БНТ, БНР, БТА, БАН и общините.</w:t>
      </w:r>
    </w:p>
    <w:p w14:paraId="0B45859A" w14:textId="77777777" w:rsidR="00CC09AC" w:rsidRPr="007B48E9" w:rsidRDefault="00CC09AC" w:rsidP="00CC09AC">
      <w:pPr>
        <w:spacing w:before="120"/>
        <w:ind w:firstLine="709"/>
        <w:jc w:val="both"/>
        <w:rPr>
          <w:color w:val="0070C0"/>
        </w:rPr>
      </w:pPr>
    </w:p>
    <w:p w14:paraId="05230C49" w14:textId="77777777" w:rsidR="00CC09AC" w:rsidRPr="007B48E9" w:rsidRDefault="00CC09AC" w:rsidP="00CC09AC">
      <w:pPr>
        <w:ind w:firstLine="709"/>
        <w:jc w:val="both"/>
        <w:rPr>
          <w:color w:val="0070C0"/>
        </w:rPr>
      </w:pPr>
    </w:p>
    <w:p w14:paraId="2C9B0DDC" w14:textId="77777777" w:rsidR="00CC09AC" w:rsidRPr="00A13F48" w:rsidRDefault="00CC09AC" w:rsidP="00CC09AC">
      <w:pPr>
        <w:ind w:firstLine="8563"/>
        <w:jc w:val="both"/>
        <w:rPr>
          <w:b/>
          <w:sz w:val="18"/>
          <w:szCs w:val="18"/>
        </w:rPr>
      </w:pPr>
      <w:r w:rsidRPr="00A13F48">
        <w:rPr>
          <w:b/>
          <w:sz w:val="18"/>
          <w:szCs w:val="18"/>
        </w:rPr>
        <w:t>(млн. лв.)</w:t>
      </w:r>
    </w:p>
    <w:tbl>
      <w:tblPr>
        <w:tblW w:w="11034" w:type="dxa"/>
        <w:jc w:val="center"/>
        <w:tblCellMar>
          <w:left w:w="70" w:type="dxa"/>
          <w:right w:w="70" w:type="dxa"/>
        </w:tblCellMar>
        <w:tblLook w:val="04A0" w:firstRow="1" w:lastRow="0" w:firstColumn="1" w:lastColumn="0" w:noHBand="0" w:noVBand="1"/>
      </w:tblPr>
      <w:tblGrid>
        <w:gridCol w:w="2981"/>
        <w:gridCol w:w="849"/>
        <w:gridCol w:w="851"/>
        <w:gridCol w:w="705"/>
        <w:gridCol w:w="719"/>
        <w:gridCol w:w="698"/>
        <w:gridCol w:w="709"/>
        <w:gridCol w:w="600"/>
        <w:gridCol w:w="850"/>
        <w:gridCol w:w="526"/>
        <w:gridCol w:w="741"/>
        <w:gridCol w:w="805"/>
      </w:tblGrid>
      <w:tr w:rsidR="00CC09AC" w:rsidRPr="007B48E9" w14:paraId="626FFD91" w14:textId="77777777" w:rsidTr="003B085A">
        <w:trPr>
          <w:trHeight w:val="1117"/>
          <w:jc w:val="center"/>
        </w:trPr>
        <w:tc>
          <w:tcPr>
            <w:tcW w:w="2981"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536F7362"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ОТЧЕТ 20</w:t>
            </w:r>
            <w:r w:rsidRPr="00A13F48">
              <w:rPr>
                <w:b/>
                <w:bCs/>
                <w:color w:val="FFFFFF" w:themeColor="background1"/>
                <w:sz w:val="18"/>
                <w:szCs w:val="18"/>
                <w:lang w:val="en-US"/>
              </w:rPr>
              <w:t>2</w:t>
            </w:r>
            <w:r w:rsidRPr="00A13F48">
              <w:rPr>
                <w:b/>
                <w:bCs/>
                <w:color w:val="FFFFFF" w:themeColor="background1"/>
                <w:sz w:val="18"/>
                <w:szCs w:val="18"/>
              </w:rPr>
              <w:t>1 г.</w:t>
            </w:r>
          </w:p>
        </w:tc>
        <w:tc>
          <w:tcPr>
            <w:tcW w:w="849"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75AA54DC"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КФП</w:t>
            </w:r>
          </w:p>
        </w:tc>
        <w:tc>
          <w:tcPr>
            <w:tcW w:w="851"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22866918"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ДБ</w:t>
            </w:r>
          </w:p>
        </w:tc>
        <w:tc>
          <w:tcPr>
            <w:tcW w:w="705" w:type="dxa"/>
            <w:tcBorders>
              <w:top w:val="double" w:sz="6" w:space="0" w:color="800000"/>
              <w:left w:val="double" w:sz="6" w:space="0" w:color="800000"/>
              <w:bottom w:val="double" w:sz="6" w:space="0" w:color="800000"/>
              <w:right w:val="double" w:sz="6" w:space="0" w:color="800000"/>
            </w:tcBorders>
            <w:shd w:val="clear" w:color="auto" w:fill="800000"/>
            <w:vAlign w:val="center"/>
          </w:tcPr>
          <w:p w14:paraId="197A8A39" w14:textId="77777777" w:rsidR="00CC09AC" w:rsidRPr="00A13F48" w:rsidRDefault="00CC09AC" w:rsidP="003B085A">
            <w:pPr>
              <w:jc w:val="center"/>
              <w:rPr>
                <w:b/>
                <w:bCs/>
                <w:color w:val="FFFFFF" w:themeColor="background1"/>
                <w:sz w:val="18"/>
                <w:szCs w:val="18"/>
              </w:rPr>
            </w:pPr>
            <w:r>
              <w:rPr>
                <w:b/>
                <w:bCs/>
                <w:color w:val="FFFFFF" w:themeColor="background1"/>
                <w:sz w:val="18"/>
                <w:szCs w:val="18"/>
              </w:rPr>
              <w:t>ДВУ</w:t>
            </w:r>
          </w:p>
        </w:tc>
        <w:tc>
          <w:tcPr>
            <w:tcW w:w="719"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0D1571A5"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БАН</w:t>
            </w:r>
          </w:p>
        </w:tc>
        <w:tc>
          <w:tcPr>
            <w:tcW w:w="698"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0AB57E9E"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БНР</w:t>
            </w:r>
          </w:p>
        </w:tc>
        <w:tc>
          <w:tcPr>
            <w:tcW w:w="709"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6FC7254C"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БНТ</w:t>
            </w:r>
          </w:p>
        </w:tc>
        <w:tc>
          <w:tcPr>
            <w:tcW w:w="600"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45EED3C3"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БТА</w:t>
            </w:r>
          </w:p>
        </w:tc>
        <w:tc>
          <w:tcPr>
            <w:tcW w:w="850"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14:paraId="763EC31E" w14:textId="77777777" w:rsidR="00CC09AC" w:rsidRPr="00A13F48" w:rsidRDefault="00CC09AC" w:rsidP="003B085A">
            <w:pPr>
              <w:jc w:val="center"/>
              <w:rPr>
                <w:b/>
                <w:bCs/>
                <w:color w:val="FFFFFF" w:themeColor="background1"/>
                <w:sz w:val="18"/>
                <w:szCs w:val="18"/>
              </w:rPr>
            </w:pPr>
            <w:r w:rsidRPr="00A13F48">
              <w:rPr>
                <w:b/>
                <w:bCs/>
                <w:color w:val="FFFFFF" w:themeColor="background1"/>
                <w:sz w:val="18"/>
                <w:szCs w:val="18"/>
              </w:rPr>
              <w:t>Общини</w:t>
            </w:r>
          </w:p>
        </w:tc>
        <w:tc>
          <w:tcPr>
            <w:tcW w:w="526" w:type="dxa"/>
            <w:tcBorders>
              <w:top w:val="double" w:sz="6" w:space="0" w:color="800000"/>
              <w:left w:val="double" w:sz="6" w:space="0" w:color="800000"/>
              <w:bottom w:val="double" w:sz="6" w:space="0" w:color="800000"/>
              <w:right w:val="double" w:sz="6" w:space="0" w:color="800000"/>
            </w:tcBorders>
            <w:shd w:val="clear" w:color="auto" w:fill="800000"/>
            <w:vAlign w:val="bottom"/>
          </w:tcPr>
          <w:p w14:paraId="60D04996" w14:textId="77777777" w:rsidR="00CC09AC" w:rsidRPr="00A13F48" w:rsidRDefault="00CC09AC" w:rsidP="003B085A">
            <w:pPr>
              <w:jc w:val="center"/>
              <w:rPr>
                <w:b/>
                <w:bCs/>
                <w:color w:val="FFFFFF" w:themeColor="background1"/>
                <w:sz w:val="16"/>
                <w:szCs w:val="16"/>
              </w:rPr>
            </w:pPr>
            <w:r w:rsidRPr="00A13F48">
              <w:rPr>
                <w:b/>
                <w:bCs/>
                <w:color w:val="FFFFFF" w:themeColor="background1"/>
                <w:sz w:val="16"/>
                <w:szCs w:val="16"/>
              </w:rPr>
              <w:t>ДМП</w:t>
            </w:r>
          </w:p>
          <w:p w14:paraId="31A3EAB7" w14:textId="77777777" w:rsidR="00CC09AC" w:rsidRPr="00A13F48" w:rsidRDefault="00CC09AC" w:rsidP="003B085A">
            <w:pPr>
              <w:jc w:val="center"/>
              <w:rPr>
                <w:b/>
                <w:bCs/>
                <w:color w:val="FFFFFF" w:themeColor="background1"/>
                <w:sz w:val="16"/>
                <w:szCs w:val="16"/>
              </w:rPr>
            </w:pPr>
          </w:p>
          <w:p w14:paraId="7870458B" w14:textId="77777777" w:rsidR="00CC09AC" w:rsidRPr="00A13F48" w:rsidRDefault="00CC09AC" w:rsidP="003B085A">
            <w:pPr>
              <w:jc w:val="center"/>
              <w:rPr>
                <w:b/>
                <w:bCs/>
                <w:color w:val="FFFFFF" w:themeColor="background1"/>
                <w:sz w:val="16"/>
                <w:szCs w:val="16"/>
              </w:rPr>
            </w:pPr>
          </w:p>
        </w:tc>
        <w:tc>
          <w:tcPr>
            <w:tcW w:w="741" w:type="dxa"/>
            <w:tcBorders>
              <w:top w:val="double" w:sz="6" w:space="0" w:color="800000"/>
              <w:left w:val="double" w:sz="6" w:space="0" w:color="800000"/>
              <w:bottom w:val="double" w:sz="6" w:space="0" w:color="800000"/>
              <w:right w:val="double" w:sz="6" w:space="0" w:color="800000"/>
            </w:tcBorders>
            <w:shd w:val="clear" w:color="auto" w:fill="800000"/>
            <w:vAlign w:val="center"/>
            <w:hideMark/>
          </w:tcPr>
          <w:p w14:paraId="0628E840" w14:textId="77777777" w:rsidR="00CC09AC" w:rsidRPr="00A13F48" w:rsidRDefault="00CC09AC" w:rsidP="003B085A">
            <w:pPr>
              <w:jc w:val="center"/>
              <w:rPr>
                <w:b/>
                <w:bCs/>
                <w:color w:val="FFFFFF" w:themeColor="background1"/>
                <w:sz w:val="16"/>
                <w:szCs w:val="16"/>
              </w:rPr>
            </w:pPr>
            <w:r w:rsidRPr="00A13F48">
              <w:rPr>
                <w:b/>
                <w:bCs/>
                <w:color w:val="FFFFFF" w:themeColor="background1"/>
                <w:sz w:val="16"/>
                <w:szCs w:val="16"/>
              </w:rPr>
              <w:t>ЕВРОП. СР/ВА</w:t>
            </w:r>
          </w:p>
        </w:tc>
        <w:tc>
          <w:tcPr>
            <w:tcW w:w="805" w:type="dxa"/>
            <w:tcBorders>
              <w:top w:val="double" w:sz="6" w:space="0" w:color="800000"/>
              <w:left w:val="double" w:sz="6" w:space="0" w:color="800000"/>
              <w:bottom w:val="double" w:sz="6" w:space="0" w:color="800000"/>
              <w:right w:val="double" w:sz="6" w:space="0" w:color="800000"/>
            </w:tcBorders>
            <w:shd w:val="clear" w:color="auto" w:fill="800000"/>
          </w:tcPr>
          <w:p w14:paraId="6A629160" w14:textId="77777777" w:rsidR="00CC09AC" w:rsidRPr="00A13F48" w:rsidRDefault="00CC09AC" w:rsidP="003B085A">
            <w:pPr>
              <w:jc w:val="center"/>
              <w:rPr>
                <w:b/>
                <w:bCs/>
                <w:color w:val="FFFFFF" w:themeColor="background1"/>
                <w:sz w:val="16"/>
                <w:szCs w:val="16"/>
              </w:rPr>
            </w:pPr>
            <w:r w:rsidRPr="00A13F48">
              <w:rPr>
                <w:b/>
                <w:bCs/>
                <w:color w:val="FFFFFF" w:themeColor="background1"/>
                <w:sz w:val="16"/>
                <w:szCs w:val="16"/>
              </w:rPr>
              <w:t>др. сметки /чужди ср/ва на общини/</w:t>
            </w:r>
          </w:p>
        </w:tc>
      </w:tr>
      <w:tr w:rsidR="008C31AA" w:rsidRPr="007B48E9" w14:paraId="7111CBAA" w14:textId="77777777" w:rsidTr="003B085A">
        <w:trPr>
          <w:trHeight w:val="310"/>
          <w:jc w:val="center"/>
        </w:trPr>
        <w:tc>
          <w:tcPr>
            <w:tcW w:w="2981" w:type="dxa"/>
            <w:tcBorders>
              <w:top w:val="double" w:sz="6" w:space="0" w:color="800000"/>
              <w:left w:val="double" w:sz="6" w:space="0" w:color="800000"/>
              <w:bottom w:val="nil"/>
              <w:right w:val="single" w:sz="4" w:space="0" w:color="800000"/>
            </w:tcBorders>
            <w:shd w:val="clear" w:color="auto" w:fill="FFFFCC"/>
            <w:noWrap/>
            <w:vAlign w:val="bottom"/>
            <w:hideMark/>
          </w:tcPr>
          <w:p w14:paraId="7D5FA0E1" w14:textId="77777777" w:rsidR="008C31AA" w:rsidRPr="00A13F48" w:rsidRDefault="008C31AA" w:rsidP="008C31AA">
            <w:pPr>
              <w:rPr>
                <w:b/>
                <w:bCs/>
                <w:sz w:val="18"/>
                <w:szCs w:val="18"/>
              </w:rPr>
            </w:pPr>
            <w:r w:rsidRPr="00A13F48">
              <w:rPr>
                <w:b/>
                <w:bCs/>
                <w:sz w:val="18"/>
                <w:szCs w:val="18"/>
              </w:rPr>
              <w:t>VII. КУЛТУРА, СПОРТ, ПОЧИВНИ ДЕЙНОСТИ И РЕЛИГИОЗНО ДЕЛО</w:t>
            </w:r>
          </w:p>
        </w:tc>
        <w:tc>
          <w:tcPr>
            <w:tcW w:w="849" w:type="dxa"/>
            <w:tcBorders>
              <w:top w:val="double" w:sz="6" w:space="0" w:color="800000"/>
              <w:left w:val="single" w:sz="4" w:space="0" w:color="800000"/>
              <w:bottom w:val="nil"/>
              <w:right w:val="single" w:sz="4" w:space="0" w:color="800000"/>
            </w:tcBorders>
            <w:shd w:val="clear" w:color="000000" w:fill="FFFFCC"/>
            <w:noWrap/>
            <w:vAlign w:val="bottom"/>
            <w:hideMark/>
          </w:tcPr>
          <w:p w14:paraId="58ABC595" w14:textId="4898D8B9" w:rsidR="008C31AA" w:rsidRPr="007B48E9" w:rsidRDefault="008C31AA" w:rsidP="008C31AA">
            <w:pPr>
              <w:jc w:val="right"/>
              <w:rPr>
                <w:b/>
                <w:bCs/>
                <w:color w:val="0070C0"/>
                <w:sz w:val="18"/>
                <w:szCs w:val="18"/>
              </w:rPr>
            </w:pPr>
            <w:r>
              <w:rPr>
                <w:b/>
                <w:bCs/>
                <w:color w:val="000000"/>
                <w:sz w:val="18"/>
                <w:szCs w:val="18"/>
              </w:rPr>
              <w:t>1 200,9</w:t>
            </w:r>
          </w:p>
        </w:tc>
        <w:tc>
          <w:tcPr>
            <w:tcW w:w="851" w:type="dxa"/>
            <w:tcBorders>
              <w:top w:val="double" w:sz="6" w:space="0" w:color="800000"/>
              <w:left w:val="nil"/>
              <w:bottom w:val="nil"/>
              <w:right w:val="single" w:sz="4" w:space="0" w:color="800000"/>
            </w:tcBorders>
            <w:shd w:val="clear" w:color="000000" w:fill="FFFFCC"/>
            <w:noWrap/>
            <w:vAlign w:val="bottom"/>
            <w:hideMark/>
          </w:tcPr>
          <w:p w14:paraId="50C7CA0E" w14:textId="7E8A97DB" w:rsidR="008C31AA" w:rsidRPr="007B48E9" w:rsidRDefault="008C31AA" w:rsidP="008C31AA">
            <w:pPr>
              <w:jc w:val="right"/>
              <w:rPr>
                <w:b/>
                <w:bCs/>
                <w:color w:val="0070C0"/>
                <w:sz w:val="18"/>
                <w:szCs w:val="18"/>
              </w:rPr>
            </w:pPr>
            <w:r>
              <w:rPr>
                <w:b/>
                <w:bCs/>
                <w:color w:val="000000"/>
                <w:sz w:val="18"/>
                <w:szCs w:val="18"/>
              </w:rPr>
              <w:t>419,7</w:t>
            </w:r>
          </w:p>
        </w:tc>
        <w:tc>
          <w:tcPr>
            <w:tcW w:w="705" w:type="dxa"/>
            <w:tcBorders>
              <w:top w:val="double" w:sz="6" w:space="0" w:color="800000"/>
              <w:left w:val="nil"/>
              <w:bottom w:val="nil"/>
              <w:right w:val="single" w:sz="4" w:space="0" w:color="800000"/>
            </w:tcBorders>
            <w:shd w:val="clear" w:color="000000" w:fill="FFFFCC"/>
            <w:vAlign w:val="bottom"/>
          </w:tcPr>
          <w:p w14:paraId="1B9F6EA1" w14:textId="1B5A5B06" w:rsidR="008C31AA" w:rsidRPr="007B48E9" w:rsidRDefault="008C31AA" w:rsidP="008C31AA">
            <w:pPr>
              <w:jc w:val="right"/>
              <w:rPr>
                <w:b/>
                <w:bCs/>
                <w:color w:val="0070C0"/>
                <w:sz w:val="18"/>
                <w:szCs w:val="18"/>
              </w:rPr>
            </w:pPr>
            <w:r>
              <w:rPr>
                <w:b/>
                <w:bCs/>
                <w:color w:val="000000"/>
                <w:sz w:val="18"/>
                <w:szCs w:val="18"/>
              </w:rPr>
              <w:t>0,04</w:t>
            </w:r>
          </w:p>
        </w:tc>
        <w:tc>
          <w:tcPr>
            <w:tcW w:w="719" w:type="dxa"/>
            <w:tcBorders>
              <w:top w:val="double" w:sz="6" w:space="0" w:color="800000"/>
              <w:left w:val="nil"/>
              <w:bottom w:val="nil"/>
              <w:right w:val="single" w:sz="4" w:space="0" w:color="800000"/>
            </w:tcBorders>
            <w:shd w:val="clear" w:color="000000" w:fill="FFFFCC"/>
            <w:noWrap/>
            <w:vAlign w:val="bottom"/>
            <w:hideMark/>
          </w:tcPr>
          <w:p w14:paraId="4E63CD69" w14:textId="08BEDD44" w:rsidR="008C31AA" w:rsidRPr="007B48E9" w:rsidRDefault="008C31AA" w:rsidP="008C31AA">
            <w:pPr>
              <w:jc w:val="right"/>
              <w:rPr>
                <w:b/>
                <w:bCs/>
                <w:color w:val="0070C0"/>
                <w:sz w:val="18"/>
                <w:szCs w:val="18"/>
              </w:rPr>
            </w:pPr>
            <w:r>
              <w:rPr>
                <w:b/>
                <w:bCs/>
                <w:color w:val="000000"/>
                <w:sz w:val="18"/>
                <w:szCs w:val="18"/>
              </w:rPr>
              <w:t>6,3</w:t>
            </w:r>
          </w:p>
        </w:tc>
        <w:tc>
          <w:tcPr>
            <w:tcW w:w="698" w:type="dxa"/>
            <w:tcBorders>
              <w:top w:val="double" w:sz="6" w:space="0" w:color="800000"/>
              <w:left w:val="nil"/>
              <w:bottom w:val="nil"/>
              <w:right w:val="single" w:sz="4" w:space="0" w:color="800000"/>
            </w:tcBorders>
            <w:shd w:val="clear" w:color="000000" w:fill="FFFFCC"/>
            <w:noWrap/>
            <w:vAlign w:val="bottom"/>
            <w:hideMark/>
          </w:tcPr>
          <w:p w14:paraId="65CC1474" w14:textId="031B858F" w:rsidR="008C31AA" w:rsidRPr="007B48E9" w:rsidRDefault="008C31AA" w:rsidP="008C31AA">
            <w:pPr>
              <w:jc w:val="right"/>
              <w:rPr>
                <w:b/>
                <w:bCs/>
                <w:color w:val="0070C0"/>
                <w:sz w:val="18"/>
                <w:szCs w:val="18"/>
              </w:rPr>
            </w:pPr>
            <w:r>
              <w:rPr>
                <w:b/>
                <w:bCs/>
                <w:color w:val="000000"/>
                <w:sz w:val="18"/>
                <w:szCs w:val="18"/>
              </w:rPr>
              <w:t>57,2</w:t>
            </w:r>
          </w:p>
        </w:tc>
        <w:tc>
          <w:tcPr>
            <w:tcW w:w="709" w:type="dxa"/>
            <w:tcBorders>
              <w:top w:val="double" w:sz="6" w:space="0" w:color="800000"/>
              <w:left w:val="nil"/>
              <w:bottom w:val="nil"/>
              <w:right w:val="single" w:sz="4" w:space="0" w:color="800000"/>
            </w:tcBorders>
            <w:shd w:val="clear" w:color="000000" w:fill="FFFFCC"/>
            <w:noWrap/>
            <w:vAlign w:val="bottom"/>
            <w:hideMark/>
          </w:tcPr>
          <w:p w14:paraId="613981C7" w14:textId="0332DCEA" w:rsidR="008C31AA" w:rsidRPr="007B48E9" w:rsidRDefault="008C31AA" w:rsidP="008C31AA">
            <w:pPr>
              <w:jc w:val="right"/>
              <w:rPr>
                <w:b/>
                <w:bCs/>
                <w:color w:val="0070C0"/>
                <w:sz w:val="18"/>
                <w:szCs w:val="18"/>
              </w:rPr>
            </w:pPr>
            <w:r>
              <w:rPr>
                <w:b/>
                <w:bCs/>
                <w:color w:val="000000"/>
                <w:sz w:val="18"/>
                <w:szCs w:val="18"/>
              </w:rPr>
              <w:t>93,8</w:t>
            </w:r>
          </w:p>
        </w:tc>
        <w:tc>
          <w:tcPr>
            <w:tcW w:w="600" w:type="dxa"/>
            <w:tcBorders>
              <w:top w:val="double" w:sz="6" w:space="0" w:color="800000"/>
              <w:left w:val="nil"/>
              <w:bottom w:val="nil"/>
              <w:right w:val="single" w:sz="4" w:space="0" w:color="800000"/>
            </w:tcBorders>
            <w:shd w:val="clear" w:color="000000" w:fill="FFFFCC"/>
            <w:noWrap/>
            <w:vAlign w:val="bottom"/>
            <w:hideMark/>
          </w:tcPr>
          <w:p w14:paraId="76348EC0" w14:textId="4764E5C7" w:rsidR="008C31AA" w:rsidRPr="007B48E9" w:rsidRDefault="008C31AA" w:rsidP="008C31AA">
            <w:pPr>
              <w:jc w:val="right"/>
              <w:rPr>
                <w:b/>
                <w:bCs/>
                <w:color w:val="0070C0"/>
                <w:sz w:val="18"/>
                <w:szCs w:val="18"/>
              </w:rPr>
            </w:pPr>
            <w:r>
              <w:rPr>
                <w:b/>
                <w:bCs/>
                <w:color w:val="000000"/>
                <w:sz w:val="18"/>
                <w:szCs w:val="18"/>
              </w:rPr>
              <w:t>10,2</w:t>
            </w:r>
          </w:p>
        </w:tc>
        <w:tc>
          <w:tcPr>
            <w:tcW w:w="850" w:type="dxa"/>
            <w:tcBorders>
              <w:top w:val="double" w:sz="6" w:space="0" w:color="800000"/>
              <w:left w:val="nil"/>
              <w:bottom w:val="nil"/>
              <w:right w:val="single" w:sz="4" w:space="0" w:color="800000"/>
            </w:tcBorders>
            <w:shd w:val="clear" w:color="000000" w:fill="FFFFCC"/>
            <w:noWrap/>
            <w:vAlign w:val="bottom"/>
            <w:hideMark/>
          </w:tcPr>
          <w:p w14:paraId="59554553" w14:textId="385A10E2" w:rsidR="008C31AA" w:rsidRPr="007B48E9" w:rsidRDefault="008C31AA" w:rsidP="008C31AA">
            <w:pPr>
              <w:jc w:val="right"/>
              <w:rPr>
                <w:b/>
                <w:bCs/>
                <w:color w:val="0070C0"/>
                <w:sz w:val="18"/>
                <w:szCs w:val="18"/>
              </w:rPr>
            </w:pPr>
            <w:r>
              <w:rPr>
                <w:b/>
                <w:bCs/>
                <w:color w:val="000000"/>
                <w:sz w:val="18"/>
                <w:szCs w:val="18"/>
              </w:rPr>
              <w:t>542,4</w:t>
            </w:r>
          </w:p>
        </w:tc>
        <w:tc>
          <w:tcPr>
            <w:tcW w:w="526" w:type="dxa"/>
            <w:tcBorders>
              <w:top w:val="double" w:sz="6" w:space="0" w:color="800000"/>
              <w:left w:val="nil"/>
              <w:bottom w:val="nil"/>
              <w:right w:val="single" w:sz="4" w:space="0" w:color="800000"/>
            </w:tcBorders>
            <w:shd w:val="clear" w:color="000000" w:fill="FFFFCC"/>
            <w:noWrap/>
            <w:vAlign w:val="bottom"/>
            <w:hideMark/>
          </w:tcPr>
          <w:p w14:paraId="37515872" w14:textId="14B7D2CC" w:rsidR="008C31AA" w:rsidRPr="007B48E9" w:rsidRDefault="008C31AA" w:rsidP="008C31AA">
            <w:pPr>
              <w:jc w:val="right"/>
              <w:rPr>
                <w:b/>
                <w:bCs/>
                <w:color w:val="0070C0"/>
                <w:sz w:val="18"/>
                <w:szCs w:val="18"/>
              </w:rPr>
            </w:pPr>
            <w:r>
              <w:rPr>
                <w:b/>
                <w:bCs/>
                <w:color w:val="000000"/>
                <w:sz w:val="18"/>
                <w:szCs w:val="18"/>
              </w:rPr>
              <w:t>3,2</w:t>
            </w:r>
          </w:p>
        </w:tc>
        <w:tc>
          <w:tcPr>
            <w:tcW w:w="741" w:type="dxa"/>
            <w:tcBorders>
              <w:top w:val="double" w:sz="6" w:space="0" w:color="800000"/>
              <w:left w:val="nil"/>
              <w:bottom w:val="nil"/>
              <w:right w:val="single" w:sz="4" w:space="0" w:color="800000"/>
            </w:tcBorders>
            <w:shd w:val="clear" w:color="000000" w:fill="FFFFCC"/>
            <w:noWrap/>
            <w:vAlign w:val="bottom"/>
            <w:hideMark/>
          </w:tcPr>
          <w:p w14:paraId="46BAD858" w14:textId="10C1A4C9" w:rsidR="008C31AA" w:rsidRPr="007B48E9" w:rsidRDefault="008C31AA" w:rsidP="008C31AA">
            <w:pPr>
              <w:jc w:val="right"/>
              <w:rPr>
                <w:b/>
                <w:bCs/>
                <w:color w:val="0070C0"/>
                <w:sz w:val="18"/>
                <w:szCs w:val="18"/>
              </w:rPr>
            </w:pPr>
            <w:r>
              <w:rPr>
                <w:b/>
                <w:bCs/>
                <w:color w:val="000000"/>
                <w:sz w:val="18"/>
                <w:szCs w:val="18"/>
              </w:rPr>
              <w:t>68,0</w:t>
            </w:r>
          </w:p>
        </w:tc>
        <w:tc>
          <w:tcPr>
            <w:tcW w:w="805" w:type="dxa"/>
            <w:tcBorders>
              <w:top w:val="double" w:sz="6" w:space="0" w:color="800000"/>
              <w:left w:val="nil"/>
              <w:bottom w:val="nil"/>
              <w:right w:val="single" w:sz="4" w:space="0" w:color="800000"/>
            </w:tcBorders>
            <w:shd w:val="clear" w:color="000000" w:fill="FFFFCC"/>
            <w:vAlign w:val="bottom"/>
          </w:tcPr>
          <w:p w14:paraId="090A7406" w14:textId="4F6AE2A3" w:rsidR="008C31AA" w:rsidRPr="007B48E9" w:rsidRDefault="008C31AA" w:rsidP="008C31AA">
            <w:pPr>
              <w:jc w:val="right"/>
              <w:rPr>
                <w:b/>
                <w:bCs/>
                <w:color w:val="0070C0"/>
                <w:sz w:val="18"/>
                <w:szCs w:val="18"/>
              </w:rPr>
            </w:pPr>
            <w:r>
              <w:rPr>
                <w:b/>
                <w:bCs/>
                <w:color w:val="000000"/>
                <w:sz w:val="18"/>
                <w:szCs w:val="18"/>
              </w:rPr>
              <w:t>0,05</w:t>
            </w:r>
          </w:p>
        </w:tc>
      </w:tr>
      <w:tr w:rsidR="008C31AA" w:rsidRPr="007B48E9" w14:paraId="590F0FEF" w14:textId="77777777" w:rsidTr="003B085A">
        <w:trPr>
          <w:trHeight w:val="315"/>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52BF2F85" w14:textId="77777777" w:rsidR="008C31AA" w:rsidRPr="00A13F48" w:rsidRDefault="008C31AA" w:rsidP="008C31AA">
            <w:pPr>
              <w:rPr>
                <w:b/>
                <w:bCs/>
                <w:sz w:val="18"/>
                <w:szCs w:val="18"/>
              </w:rPr>
            </w:pPr>
            <w:r w:rsidRPr="00A13F48">
              <w:rPr>
                <w:b/>
                <w:bCs/>
                <w:sz w:val="18"/>
                <w:szCs w:val="18"/>
              </w:rPr>
              <w:t xml:space="preserve">  А. ПОЧИВНИ ДЕЙНОСТИ</w:t>
            </w:r>
          </w:p>
        </w:tc>
        <w:tc>
          <w:tcPr>
            <w:tcW w:w="849" w:type="dxa"/>
            <w:tcBorders>
              <w:top w:val="nil"/>
              <w:left w:val="single" w:sz="4" w:space="0" w:color="800000"/>
              <w:bottom w:val="nil"/>
              <w:right w:val="single" w:sz="4" w:space="0" w:color="800000"/>
            </w:tcBorders>
            <w:shd w:val="clear" w:color="000000" w:fill="FFFFCC"/>
            <w:noWrap/>
            <w:vAlign w:val="bottom"/>
            <w:hideMark/>
          </w:tcPr>
          <w:p w14:paraId="0B8ED76A" w14:textId="6028BBEE" w:rsidR="008C31AA" w:rsidRPr="007B48E9" w:rsidRDefault="008C31AA" w:rsidP="008C31AA">
            <w:pPr>
              <w:jc w:val="right"/>
              <w:rPr>
                <w:b/>
                <w:bCs/>
                <w:color w:val="0070C0"/>
                <w:sz w:val="18"/>
                <w:szCs w:val="18"/>
              </w:rPr>
            </w:pPr>
            <w:r>
              <w:rPr>
                <w:b/>
                <w:bCs/>
                <w:color w:val="000000"/>
                <w:sz w:val="18"/>
                <w:szCs w:val="18"/>
              </w:rPr>
              <w:t>34,6</w:t>
            </w:r>
          </w:p>
        </w:tc>
        <w:tc>
          <w:tcPr>
            <w:tcW w:w="851" w:type="dxa"/>
            <w:tcBorders>
              <w:top w:val="nil"/>
              <w:left w:val="nil"/>
              <w:bottom w:val="nil"/>
              <w:right w:val="single" w:sz="4" w:space="0" w:color="800000"/>
            </w:tcBorders>
            <w:shd w:val="clear" w:color="000000" w:fill="FFFFCC"/>
            <w:noWrap/>
            <w:vAlign w:val="bottom"/>
            <w:hideMark/>
          </w:tcPr>
          <w:p w14:paraId="01EAA5AC" w14:textId="4AA4313E" w:rsidR="008C31AA" w:rsidRPr="007B48E9" w:rsidRDefault="008C31AA" w:rsidP="008C31AA">
            <w:pPr>
              <w:jc w:val="right"/>
              <w:rPr>
                <w:b/>
                <w:bCs/>
                <w:color w:val="0070C0"/>
                <w:sz w:val="18"/>
                <w:szCs w:val="18"/>
              </w:rPr>
            </w:pPr>
            <w:r>
              <w:rPr>
                <w:b/>
                <w:bCs/>
                <w:color w:val="000000"/>
                <w:sz w:val="18"/>
                <w:szCs w:val="18"/>
              </w:rPr>
              <w:t>29,0</w:t>
            </w:r>
          </w:p>
        </w:tc>
        <w:tc>
          <w:tcPr>
            <w:tcW w:w="705" w:type="dxa"/>
            <w:tcBorders>
              <w:top w:val="nil"/>
              <w:left w:val="nil"/>
              <w:bottom w:val="nil"/>
              <w:right w:val="single" w:sz="4" w:space="0" w:color="800000"/>
            </w:tcBorders>
            <w:shd w:val="clear" w:color="000000" w:fill="FFFFCC"/>
            <w:vAlign w:val="bottom"/>
          </w:tcPr>
          <w:p w14:paraId="21E278C0" w14:textId="1D505190" w:rsidR="008C31AA" w:rsidRPr="007B48E9" w:rsidRDefault="008C31AA" w:rsidP="008C31AA">
            <w:pPr>
              <w:jc w:val="right"/>
              <w:rPr>
                <w:b/>
                <w:bCs/>
                <w:color w:val="0070C0"/>
                <w:sz w:val="18"/>
                <w:szCs w:val="18"/>
              </w:rPr>
            </w:pPr>
            <w:r>
              <w:rPr>
                <w:b/>
                <w:bCs/>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083F1940" w14:textId="4F47158D" w:rsidR="008C31AA" w:rsidRPr="007B48E9" w:rsidRDefault="008C31AA" w:rsidP="008C31AA">
            <w:pPr>
              <w:jc w:val="right"/>
              <w:rPr>
                <w:b/>
                <w:bCs/>
                <w:color w:val="0070C0"/>
                <w:sz w:val="18"/>
                <w:szCs w:val="18"/>
              </w:rPr>
            </w:pPr>
            <w:r>
              <w:rPr>
                <w:b/>
                <w:bCs/>
                <w:color w:val="000000"/>
                <w:sz w:val="18"/>
                <w:szCs w:val="18"/>
              </w:rPr>
              <w:t>0,5</w:t>
            </w:r>
          </w:p>
        </w:tc>
        <w:tc>
          <w:tcPr>
            <w:tcW w:w="698" w:type="dxa"/>
            <w:tcBorders>
              <w:top w:val="nil"/>
              <w:left w:val="nil"/>
              <w:bottom w:val="nil"/>
              <w:right w:val="single" w:sz="4" w:space="0" w:color="800000"/>
            </w:tcBorders>
            <w:shd w:val="clear" w:color="000000" w:fill="FFFFCC"/>
            <w:noWrap/>
            <w:vAlign w:val="bottom"/>
            <w:hideMark/>
          </w:tcPr>
          <w:p w14:paraId="77B858E7" w14:textId="65086E59" w:rsidR="008C31AA" w:rsidRPr="007B48E9" w:rsidRDefault="008C31AA" w:rsidP="008C31AA">
            <w:pPr>
              <w:jc w:val="right"/>
              <w:rPr>
                <w:b/>
                <w:bCs/>
                <w:color w:val="0070C0"/>
                <w:sz w:val="18"/>
                <w:szCs w:val="18"/>
              </w:rPr>
            </w:pPr>
            <w:r>
              <w:rPr>
                <w:b/>
                <w:bCs/>
                <w:color w:val="000000"/>
                <w:sz w:val="18"/>
                <w:szCs w:val="18"/>
              </w:rPr>
              <w:t>0,1</w:t>
            </w:r>
          </w:p>
        </w:tc>
        <w:tc>
          <w:tcPr>
            <w:tcW w:w="709" w:type="dxa"/>
            <w:tcBorders>
              <w:top w:val="nil"/>
              <w:left w:val="nil"/>
              <w:bottom w:val="nil"/>
              <w:right w:val="single" w:sz="4" w:space="0" w:color="800000"/>
            </w:tcBorders>
            <w:shd w:val="clear" w:color="000000" w:fill="FFFFCC"/>
            <w:noWrap/>
            <w:vAlign w:val="bottom"/>
            <w:hideMark/>
          </w:tcPr>
          <w:p w14:paraId="7637A002" w14:textId="75A2369E" w:rsidR="008C31AA" w:rsidRPr="007B48E9" w:rsidRDefault="008C31AA" w:rsidP="008C31AA">
            <w:pPr>
              <w:jc w:val="right"/>
              <w:rPr>
                <w:b/>
                <w:bCs/>
                <w:color w:val="0070C0"/>
                <w:sz w:val="18"/>
                <w:szCs w:val="18"/>
              </w:rPr>
            </w:pPr>
            <w:r>
              <w:rPr>
                <w:b/>
                <w:bCs/>
                <w:color w:val="000000"/>
                <w:sz w:val="18"/>
                <w:szCs w:val="18"/>
              </w:rPr>
              <w:t>0,7</w:t>
            </w:r>
          </w:p>
        </w:tc>
        <w:tc>
          <w:tcPr>
            <w:tcW w:w="600" w:type="dxa"/>
            <w:tcBorders>
              <w:top w:val="nil"/>
              <w:left w:val="nil"/>
              <w:bottom w:val="nil"/>
              <w:right w:val="single" w:sz="4" w:space="0" w:color="800000"/>
            </w:tcBorders>
            <w:shd w:val="clear" w:color="000000" w:fill="FFFFCC"/>
            <w:noWrap/>
            <w:vAlign w:val="bottom"/>
            <w:hideMark/>
          </w:tcPr>
          <w:p w14:paraId="4F0263F0" w14:textId="521CDC28" w:rsidR="008C31AA" w:rsidRPr="007B48E9" w:rsidRDefault="008C31AA" w:rsidP="008C31AA">
            <w:pPr>
              <w:jc w:val="right"/>
              <w:rPr>
                <w:b/>
                <w:bCs/>
                <w:color w:val="0070C0"/>
                <w:sz w:val="18"/>
                <w:szCs w:val="18"/>
              </w:rPr>
            </w:pPr>
            <w:r>
              <w:rPr>
                <w:b/>
                <w:bCs/>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29C0C7BA" w14:textId="2890FCC1" w:rsidR="008C31AA" w:rsidRPr="007B48E9" w:rsidRDefault="008C31AA" w:rsidP="008C31AA">
            <w:pPr>
              <w:jc w:val="right"/>
              <w:rPr>
                <w:b/>
                <w:bCs/>
                <w:color w:val="0070C0"/>
                <w:sz w:val="18"/>
                <w:szCs w:val="18"/>
              </w:rPr>
            </w:pPr>
            <w:r>
              <w:rPr>
                <w:b/>
                <w:bCs/>
                <w:color w:val="000000"/>
                <w:sz w:val="18"/>
                <w:szCs w:val="18"/>
              </w:rPr>
              <w:t>3,1</w:t>
            </w:r>
          </w:p>
        </w:tc>
        <w:tc>
          <w:tcPr>
            <w:tcW w:w="526" w:type="dxa"/>
            <w:tcBorders>
              <w:top w:val="nil"/>
              <w:left w:val="nil"/>
              <w:bottom w:val="nil"/>
              <w:right w:val="single" w:sz="4" w:space="0" w:color="800000"/>
            </w:tcBorders>
            <w:shd w:val="clear" w:color="000000" w:fill="FFFFCC"/>
            <w:noWrap/>
            <w:vAlign w:val="bottom"/>
            <w:hideMark/>
          </w:tcPr>
          <w:p w14:paraId="63BB06BB" w14:textId="117B71FA" w:rsidR="008C31AA" w:rsidRPr="007B48E9" w:rsidRDefault="008C31AA" w:rsidP="008C31AA">
            <w:pPr>
              <w:jc w:val="right"/>
              <w:rPr>
                <w:b/>
                <w:bCs/>
                <w:color w:val="0070C0"/>
                <w:sz w:val="18"/>
                <w:szCs w:val="18"/>
              </w:rPr>
            </w:pPr>
            <w:r>
              <w:rPr>
                <w:b/>
                <w:bCs/>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18FE1DCF" w14:textId="189E7F07" w:rsidR="008C31AA" w:rsidRPr="007B48E9" w:rsidRDefault="008C31AA" w:rsidP="008C31AA">
            <w:pPr>
              <w:jc w:val="right"/>
              <w:rPr>
                <w:b/>
                <w:bCs/>
                <w:color w:val="0070C0"/>
                <w:sz w:val="18"/>
                <w:szCs w:val="18"/>
              </w:rPr>
            </w:pPr>
            <w:r>
              <w:rPr>
                <w:b/>
                <w:bCs/>
                <w:color w:val="000000"/>
                <w:sz w:val="18"/>
                <w:szCs w:val="18"/>
              </w:rPr>
              <w:t>1,2</w:t>
            </w:r>
          </w:p>
        </w:tc>
        <w:tc>
          <w:tcPr>
            <w:tcW w:w="805" w:type="dxa"/>
            <w:tcBorders>
              <w:top w:val="nil"/>
              <w:left w:val="nil"/>
              <w:bottom w:val="nil"/>
              <w:right w:val="single" w:sz="4" w:space="0" w:color="800000"/>
            </w:tcBorders>
            <w:shd w:val="clear" w:color="000000" w:fill="FFFFCC"/>
            <w:vAlign w:val="bottom"/>
          </w:tcPr>
          <w:p w14:paraId="67CA5AEC" w14:textId="1419F8F9" w:rsidR="008C31AA" w:rsidRPr="007B48E9" w:rsidRDefault="008C31AA" w:rsidP="008C31AA">
            <w:pPr>
              <w:jc w:val="right"/>
              <w:rPr>
                <w:b/>
                <w:bCs/>
                <w:color w:val="0070C0"/>
                <w:sz w:val="18"/>
                <w:szCs w:val="18"/>
              </w:rPr>
            </w:pPr>
            <w:r>
              <w:rPr>
                <w:b/>
                <w:bCs/>
                <w:color w:val="000000"/>
                <w:sz w:val="18"/>
                <w:szCs w:val="18"/>
              </w:rPr>
              <w:t> </w:t>
            </w:r>
          </w:p>
        </w:tc>
      </w:tr>
      <w:tr w:rsidR="008C31AA" w:rsidRPr="007B48E9" w14:paraId="7B9710A1"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31E33BDC" w14:textId="77777777" w:rsidR="008C31AA" w:rsidRPr="00A13F48" w:rsidRDefault="008C31AA" w:rsidP="008C31AA">
            <w:pPr>
              <w:rPr>
                <w:sz w:val="18"/>
                <w:szCs w:val="18"/>
              </w:rPr>
            </w:pPr>
            <w:r w:rsidRPr="00A13F48">
              <w:rPr>
                <w:sz w:val="18"/>
                <w:szCs w:val="18"/>
              </w:rPr>
              <w:t xml:space="preserve">   Текущи нелихвени разходи</w:t>
            </w:r>
          </w:p>
        </w:tc>
        <w:tc>
          <w:tcPr>
            <w:tcW w:w="849" w:type="dxa"/>
            <w:tcBorders>
              <w:top w:val="nil"/>
              <w:left w:val="single" w:sz="4" w:space="0" w:color="800000"/>
              <w:bottom w:val="nil"/>
              <w:right w:val="single" w:sz="4" w:space="0" w:color="800000"/>
            </w:tcBorders>
            <w:shd w:val="clear" w:color="000000" w:fill="FFFFCC"/>
            <w:noWrap/>
            <w:vAlign w:val="bottom"/>
            <w:hideMark/>
          </w:tcPr>
          <w:p w14:paraId="757C404F" w14:textId="65D92B07" w:rsidR="008C31AA" w:rsidRPr="007B48E9" w:rsidRDefault="008C31AA" w:rsidP="008C31AA">
            <w:pPr>
              <w:jc w:val="right"/>
              <w:rPr>
                <w:color w:val="0070C0"/>
                <w:sz w:val="18"/>
                <w:szCs w:val="18"/>
              </w:rPr>
            </w:pPr>
            <w:r>
              <w:rPr>
                <w:color w:val="000000"/>
                <w:sz w:val="18"/>
                <w:szCs w:val="18"/>
              </w:rPr>
              <w:t>31,6</w:t>
            </w:r>
          </w:p>
        </w:tc>
        <w:tc>
          <w:tcPr>
            <w:tcW w:w="851" w:type="dxa"/>
            <w:tcBorders>
              <w:top w:val="nil"/>
              <w:left w:val="nil"/>
              <w:bottom w:val="nil"/>
              <w:right w:val="single" w:sz="4" w:space="0" w:color="800000"/>
            </w:tcBorders>
            <w:shd w:val="clear" w:color="000000" w:fill="FFFFCC"/>
            <w:noWrap/>
            <w:vAlign w:val="bottom"/>
            <w:hideMark/>
          </w:tcPr>
          <w:p w14:paraId="3ABC0B4A" w14:textId="641A2968" w:rsidR="008C31AA" w:rsidRPr="007B48E9" w:rsidRDefault="008C31AA" w:rsidP="008C31AA">
            <w:pPr>
              <w:jc w:val="right"/>
              <w:rPr>
                <w:color w:val="0070C0"/>
                <w:sz w:val="18"/>
                <w:szCs w:val="18"/>
              </w:rPr>
            </w:pPr>
            <w:r>
              <w:rPr>
                <w:color w:val="000000"/>
                <w:sz w:val="18"/>
                <w:szCs w:val="18"/>
              </w:rPr>
              <w:t>27,5</w:t>
            </w:r>
          </w:p>
        </w:tc>
        <w:tc>
          <w:tcPr>
            <w:tcW w:w="705" w:type="dxa"/>
            <w:tcBorders>
              <w:top w:val="nil"/>
              <w:left w:val="nil"/>
              <w:bottom w:val="nil"/>
              <w:right w:val="single" w:sz="4" w:space="0" w:color="800000"/>
            </w:tcBorders>
            <w:shd w:val="clear" w:color="000000" w:fill="FFFFCC"/>
            <w:vAlign w:val="bottom"/>
          </w:tcPr>
          <w:p w14:paraId="5B09E1A2" w14:textId="2D016697"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2521F632" w14:textId="3165FF2B" w:rsidR="008C31AA" w:rsidRPr="007B48E9" w:rsidRDefault="008C31AA" w:rsidP="008C31AA">
            <w:pPr>
              <w:jc w:val="right"/>
              <w:rPr>
                <w:color w:val="0070C0"/>
                <w:sz w:val="18"/>
                <w:szCs w:val="18"/>
              </w:rPr>
            </w:pPr>
            <w:r>
              <w:rPr>
                <w:color w:val="000000"/>
                <w:sz w:val="18"/>
                <w:szCs w:val="18"/>
              </w:rPr>
              <w:t>0,5</w:t>
            </w:r>
          </w:p>
        </w:tc>
        <w:tc>
          <w:tcPr>
            <w:tcW w:w="698" w:type="dxa"/>
            <w:tcBorders>
              <w:top w:val="nil"/>
              <w:left w:val="nil"/>
              <w:bottom w:val="nil"/>
              <w:right w:val="single" w:sz="4" w:space="0" w:color="800000"/>
            </w:tcBorders>
            <w:shd w:val="clear" w:color="000000" w:fill="FFFFCC"/>
            <w:noWrap/>
            <w:vAlign w:val="bottom"/>
            <w:hideMark/>
          </w:tcPr>
          <w:p w14:paraId="22EE96AF" w14:textId="2361D026" w:rsidR="008C31AA" w:rsidRPr="007B48E9" w:rsidRDefault="008C31AA" w:rsidP="008C31AA">
            <w:pPr>
              <w:jc w:val="right"/>
              <w:rPr>
                <w:color w:val="0070C0"/>
                <w:sz w:val="18"/>
                <w:szCs w:val="18"/>
              </w:rPr>
            </w:pPr>
            <w:r>
              <w:rPr>
                <w:color w:val="000000"/>
                <w:sz w:val="18"/>
                <w:szCs w:val="18"/>
              </w:rPr>
              <w:t>0,1</w:t>
            </w:r>
          </w:p>
        </w:tc>
        <w:tc>
          <w:tcPr>
            <w:tcW w:w="709" w:type="dxa"/>
            <w:tcBorders>
              <w:top w:val="nil"/>
              <w:left w:val="nil"/>
              <w:bottom w:val="nil"/>
              <w:right w:val="single" w:sz="4" w:space="0" w:color="800000"/>
            </w:tcBorders>
            <w:shd w:val="clear" w:color="000000" w:fill="FFFFCC"/>
            <w:noWrap/>
            <w:vAlign w:val="bottom"/>
            <w:hideMark/>
          </w:tcPr>
          <w:p w14:paraId="36178C18" w14:textId="5B9C0BC1" w:rsidR="008C31AA" w:rsidRPr="007B48E9" w:rsidRDefault="008C31AA" w:rsidP="008C31AA">
            <w:pPr>
              <w:jc w:val="right"/>
              <w:rPr>
                <w:color w:val="0070C0"/>
                <w:sz w:val="18"/>
                <w:szCs w:val="18"/>
              </w:rPr>
            </w:pPr>
            <w:r>
              <w:rPr>
                <w:color w:val="000000"/>
                <w:sz w:val="18"/>
                <w:szCs w:val="18"/>
              </w:rPr>
              <w:t>0,7</w:t>
            </w:r>
          </w:p>
        </w:tc>
        <w:tc>
          <w:tcPr>
            <w:tcW w:w="600" w:type="dxa"/>
            <w:tcBorders>
              <w:top w:val="nil"/>
              <w:left w:val="nil"/>
              <w:bottom w:val="nil"/>
              <w:right w:val="single" w:sz="4" w:space="0" w:color="800000"/>
            </w:tcBorders>
            <w:shd w:val="clear" w:color="000000" w:fill="FFFFCC"/>
            <w:noWrap/>
            <w:vAlign w:val="bottom"/>
            <w:hideMark/>
          </w:tcPr>
          <w:p w14:paraId="40664A5D" w14:textId="07EB6084"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2F3F9CDD" w14:textId="679508B7" w:rsidR="008C31AA" w:rsidRPr="007B48E9" w:rsidRDefault="008C31AA" w:rsidP="008C31AA">
            <w:pPr>
              <w:jc w:val="right"/>
              <w:rPr>
                <w:color w:val="0070C0"/>
                <w:sz w:val="18"/>
                <w:szCs w:val="18"/>
              </w:rPr>
            </w:pPr>
            <w:r>
              <w:rPr>
                <w:color w:val="000000"/>
                <w:sz w:val="18"/>
                <w:szCs w:val="18"/>
              </w:rPr>
              <w:t>2,6</w:t>
            </w:r>
          </w:p>
        </w:tc>
        <w:tc>
          <w:tcPr>
            <w:tcW w:w="526" w:type="dxa"/>
            <w:tcBorders>
              <w:top w:val="nil"/>
              <w:left w:val="nil"/>
              <w:bottom w:val="nil"/>
              <w:right w:val="single" w:sz="4" w:space="0" w:color="800000"/>
            </w:tcBorders>
            <w:shd w:val="clear" w:color="000000" w:fill="FFFFCC"/>
            <w:noWrap/>
            <w:vAlign w:val="bottom"/>
            <w:hideMark/>
          </w:tcPr>
          <w:p w14:paraId="3671A446" w14:textId="489933F9" w:rsidR="008C31AA" w:rsidRPr="007B48E9" w:rsidRDefault="008C31AA" w:rsidP="008C31AA">
            <w:pPr>
              <w:jc w:val="right"/>
              <w:rPr>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40B7F10A" w14:textId="1957A16F" w:rsidR="008C31AA" w:rsidRPr="007B48E9" w:rsidRDefault="008C31AA" w:rsidP="008C31AA">
            <w:pPr>
              <w:jc w:val="right"/>
              <w:rPr>
                <w:color w:val="0070C0"/>
                <w:sz w:val="18"/>
                <w:szCs w:val="18"/>
              </w:rPr>
            </w:pPr>
            <w:r>
              <w:rPr>
                <w:color w:val="000000"/>
                <w:sz w:val="18"/>
                <w:szCs w:val="18"/>
              </w:rPr>
              <w:t>0,2</w:t>
            </w:r>
          </w:p>
        </w:tc>
        <w:tc>
          <w:tcPr>
            <w:tcW w:w="805" w:type="dxa"/>
            <w:tcBorders>
              <w:top w:val="nil"/>
              <w:left w:val="nil"/>
              <w:bottom w:val="nil"/>
              <w:right w:val="single" w:sz="4" w:space="0" w:color="800000"/>
            </w:tcBorders>
            <w:shd w:val="clear" w:color="000000" w:fill="FFFFCC"/>
            <w:vAlign w:val="bottom"/>
          </w:tcPr>
          <w:p w14:paraId="6BA6DDC7" w14:textId="0A26A597" w:rsidR="008C31AA" w:rsidRPr="007B48E9" w:rsidRDefault="008C31AA" w:rsidP="008C31AA">
            <w:pPr>
              <w:jc w:val="right"/>
              <w:rPr>
                <w:color w:val="0070C0"/>
                <w:sz w:val="18"/>
                <w:szCs w:val="18"/>
              </w:rPr>
            </w:pPr>
            <w:r>
              <w:rPr>
                <w:color w:val="000000"/>
                <w:sz w:val="18"/>
                <w:szCs w:val="18"/>
              </w:rPr>
              <w:t> </w:t>
            </w:r>
          </w:p>
        </w:tc>
      </w:tr>
      <w:tr w:rsidR="008C31AA" w:rsidRPr="007B48E9" w14:paraId="52148930"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6D65DBB5" w14:textId="77777777" w:rsidR="008C31AA" w:rsidRPr="00A13F48" w:rsidRDefault="008C31AA" w:rsidP="008C31AA">
            <w:pPr>
              <w:spacing w:line="276" w:lineRule="auto"/>
              <w:rPr>
                <w:sz w:val="18"/>
                <w:szCs w:val="18"/>
              </w:rPr>
            </w:pPr>
            <w:r w:rsidRPr="00A13F48">
              <w:rPr>
                <w:sz w:val="18"/>
                <w:szCs w:val="18"/>
              </w:rPr>
              <w:t xml:space="preserve">   Капиталови разходи</w:t>
            </w:r>
          </w:p>
        </w:tc>
        <w:tc>
          <w:tcPr>
            <w:tcW w:w="849" w:type="dxa"/>
            <w:tcBorders>
              <w:top w:val="nil"/>
              <w:left w:val="single" w:sz="4" w:space="0" w:color="800000"/>
              <w:bottom w:val="nil"/>
              <w:right w:val="single" w:sz="4" w:space="0" w:color="800000"/>
            </w:tcBorders>
            <w:shd w:val="clear" w:color="000000" w:fill="FFFFCC"/>
            <w:noWrap/>
            <w:vAlign w:val="bottom"/>
            <w:hideMark/>
          </w:tcPr>
          <w:p w14:paraId="77AAAC41" w14:textId="52614A99" w:rsidR="008C31AA" w:rsidRPr="007B48E9" w:rsidRDefault="008C31AA" w:rsidP="008C31AA">
            <w:pPr>
              <w:spacing w:line="276" w:lineRule="auto"/>
              <w:jc w:val="right"/>
              <w:rPr>
                <w:color w:val="0070C0"/>
                <w:sz w:val="18"/>
                <w:szCs w:val="18"/>
              </w:rPr>
            </w:pPr>
            <w:r>
              <w:rPr>
                <w:color w:val="000000"/>
                <w:sz w:val="18"/>
                <w:szCs w:val="18"/>
              </w:rPr>
              <w:t>2,7</w:t>
            </w:r>
          </w:p>
        </w:tc>
        <w:tc>
          <w:tcPr>
            <w:tcW w:w="851" w:type="dxa"/>
            <w:tcBorders>
              <w:top w:val="nil"/>
              <w:left w:val="nil"/>
              <w:bottom w:val="nil"/>
              <w:right w:val="single" w:sz="4" w:space="0" w:color="800000"/>
            </w:tcBorders>
            <w:shd w:val="clear" w:color="000000" w:fill="FFFFCC"/>
            <w:noWrap/>
            <w:vAlign w:val="bottom"/>
            <w:hideMark/>
          </w:tcPr>
          <w:p w14:paraId="699F4367" w14:textId="0209BF1D" w:rsidR="008C31AA" w:rsidRPr="007B48E9" w:rsidRDefault="008C31AA" w:rsidP="008C31AA">
            <w:pPr>
              <w:spacing w:line="276" w:lineRule="auto"/>
              <w:jc w:val="right"/>
              <w:rPr>
                <w:color w:val="0070C0"/>
                <w:sz w:val="18"/>
                <w:szCs w:val="18"/>
              </w:rPr>
            </w:pPr>
            <w:r>
              <w:rPr>
                <w:color w:val="000000"/>
                <w:sz w:val="18"/>
                <w:szCs w:val="18"/>
              </w:rPr>
              <w:t>1,5</w:t>
            </w:r>
          </w:p>
        </w:tc>
        <w:tc>
          <w:tcPr>
            <w:tcW w:w="705" w:type="dxa"/>
            <w:tcBorders>
              <w:top w:val="nil"/>
              <w:left w:val="nil"/>
              <w:bottom w:val="nil"/>
              <w:right w:val="single" w:sz="4" w:space="0" w:color="800000"/>
            </w:tcBorders>
            <w:shd w:val="clear" w:color="000000" w:fill="FFFFCC"/>
            <w:vAlign w:val="bottom"/>
          </w:tcPr>
          <w:p w14:paraId="1DE9C81F" w14:textId="4357A749" w:rsidR="008C31AA" w:rsidRPr="007B48E9" w:rsidRDefault="008C31AA" w:rsidP="008C31AA">
            <w:pPr>
              <w:spacing w:line="276" w:lineRule="auto"/>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2CAF10D9" w14:textId="26D89EA0" w:rsidR="008C31AA" w:rsidRPr="007B48E9" w:rsidRDefault="008C31AA" w:rsidP="008C31AA">
            <w:pPr>
              <w:spacing w:line="276" w:lineRule="auto"/>
              <w:jc w:val="right"/>
              <w:rPr>
                <w:color w:val="0070C0"/>
                <w:sz w:val="18"/>
                <w:szCs w:val="18"/>
              </w:rPr>
            </w:pPr>
            <w:r>
              <w:rPr>
                <w:color w:val="000000"/>
                <w:sz w:val="18"/>
                <w:szCs w:val="18"/>
              </w:rPr>
              <w:t>0,1</w:t>
            </w:r>
          </w:p>
        </w:tc>
        <w:tc>
          <w:tcPr>
            <w:tcW w:w="698" w:type="dxa"/>
            <w:tcBorders>
              <w:top w:val="nil"/>
              <w:left w:val="nil"/>
              <w:bottom w:val="nil"/>
              <w:right w:val="single" w:sz="4" w:space="0" w:color="800000"/>
            </w:tcBorders>
            <w:shd w:val="clear" w:color="000000" w:fill="FFFFCC"/>
            <w:noWrap/>
            <w:vAlign w:val="bottom"/>
            <w:hideMark/>
          </w:tcPr>
          <w:p w14:paraId="53262887" w14:textId="3BB8C042" w:rsidR="008C31AA" w:rsidRPr="007B48E9" w:rsidRDefault="008C31AA" w:rsidP="008C31AA">
            <w:pPr>
              <w:spacing w:line="276" w:lineRule="auto"/>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79ED98C2" w14:textId="5D1D6328" w:rsidR="008C31AA" w:rsidRPr="007B48E9" w:rsidRDefault="008C31AA" w:rsidP="008C31AA">
            <w:pPr>
              <w:spacing w:line="276" w:lineRule="auto"/>
              <w:jc w:val="right"/>
              <w:rPr>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2B0A42E3" w14:textId="6904D77B" w:rsidR="008C31AA" w:rsidRPr="007B48E9" w:rsidRDefault="008C31AA" w:rsidP="008C31AA">
            <w:pPr>
              <w:spacing w:line="276" w:lineRule="auto"/>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43B4D468" w14:textId="1010FFAB" w:rsidR="008C31AA" w:rsidRPr="007B48E9" w:rsidRDefault="008C31AA" w:rsidP="008C31AA">
            <w:pPr>
              <w:spacing w:line="276" w:lineRule="auto"/>
              <w:jc w:val="right"/>
              <w:rPr>
                <w:color w:val="0070C0"/>
                <w:sz w:val="18"/>
                <w:szCs w:val="18"/>
              </w:rPr>
            </w:pPr>
            <w:r>
              <w:rPr>
                <w:color w:val="000000"/>
                <w:sz w:val="18"/>
                <w:szCs w:val="18"/>
              </w:rPr>
              <w:t>0,5</w:t>
            </w:r>
          </w:p>
        </w:tc>
        <w:tc>
          <w:tcPr>
            <w:tcW w:w="526" w:type="dxa"/>
            <w:tcBorders>
              <w:top w:val="nil"/>
              <w:left w:val="nil"/>
              <w:bottom w:val="nil"/>
              <w:right w:val="single" w:sz="4" w:space="0" w:color="800000"/>
            </w:tcBorders>
            <w:shd w:val="clear" w:color="000000" w:fill="FFFFCC"/>
            <w:noWrap/>
            <w:vAlign w:val="bottom"/>
            <w:hideMark/>
          </w:tcPr>
          <w:p w14:paraId="0B4580BC" w14:textId="118D2DD0" w:rsidR="008C31AA" w:rsidRPr="007B48E9" w:rsidRDefault="008C31AA" w:rsidP="008C31AA">
            <w:pPr>
              <w:spacing w:line="276" w:lineRule="auto"/>
              <w:jc w:val="right"/>
              <w:rPr>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046875CE" w14:textId="10AE3A61" w:rsidR="008C31AA" w:rsidRPr="007B48E9" w:rsidRDefault="008C31AA" w:rsidP="008C31AA">
            <w:pPr>
              <w:spacing w:line="276" w:lineRule="auto"/>
              <w:jc w:val="right"/>
              <w:rPr>
                <w:color w:val="0070C0"/>
                <w:sz w:val="18"/>
                <w:szCs w:val="18"/>
              </w:rPr>
            </w:pPr>
            <w:r>
              <w:rPr>
                <w:color w:val="000000"/>
                <w:sz w:val="18"/>
                <w:szCs w:val="18"/>
              </w:rPr>
              <w:t>0,7</w:t>
            </w:r>
          </w:p>
        </w:tc>
        <w:tc>
          <w:tcPr>
            <w:tcW w:w="805" w:type="dxa"/>
            <w:tcBorders>
              <w:top w:val="nil"/>
              <w:left w:val="nil"/>
              <w:bottom w:val="nil"/>
              <w:right w:val="single" w:sz="4" w:space="0" w:color="800000"/>
            </w:tcBorders>
            <w:shd w:val="clear" w:color="000000" w:fill="FFFFCC"/>
            <w:vAlign w:val="bottom"/>
          </w:tcPr>
          <w:p w14:paraId="367C1A95" w14:textId="7F8F88C5" w:rsidR="008C31AA" w:rsidRPr="007B48E9" w:rsidRDefault="008C31AA" w:rsidP="008C31AA">
            <w:pPr>
              <w:spacing w:line="276" w:lineRule="auto"/>
              <w:jc w:val="right"/>
              <w:rPr>
                <w:color w:val="0070C0"/>
                <w:sz w:val="18"/>
                <w:szCs w:val="18"/>
              </w:rPr>
            </w:pPr>
            <w:r>
              <w:rPr>
                <w:color w:val="000000"/>
                <w:sz w:val="18"/>
                <w:szCs w:val="18"/>
              </w:rPr>
              <w:t> </w:t>
            </w:r>
          </w:p>
        </w:tc>
      </w:tr>
      <w:tr w:rsidR="008C31AA" w:rsidRPr="007B48E9" w14:paraId="33DA7134"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tcPr>
          <w:p w14:paraId="78DFE614" w14:textId="77777777" w:rsidR="008C31AA" w:rsidRPr="00A13F48" w:rsidRDefault="008C31AA" w:rsidP="008C31AA">
            <w:pPr>
              <w:spacing w:line="360" w:lineRule="auto"/>
              <w:rPr>
                <w:b/>
                <w:bCs/>
                <w:sz w:val="18"/>
                <w:szCs w:val="18"/>
              </w:rPr>
            </w:pPr>
            <w:r w:rsidRPr="00A13F48">
              <w:rPr>
                <w:sz w:val="18"/>
                <w:szCs w:val="18"/>
              </w:rPr>
              <w:t xml:space="preserve">   Пред. тек. и кап. тр/ри за чужбина</w:t>
            </w:r>
          </w:p>
        </w:tc>
        <w:tc>
          <w:tcPr>
            <w:tcW w:w="849" w:type="dxa"/>
            <w:tcBorders>
              <w:top w:val="nil"/>
              <w:left w:val="single" w:sz="4" w:space="0" w:color="800000"/>
              <w:bottom w:val="nil"/>
              <w:right w:val="single" w:sz="4" w:space="0" w:color="800000"/>
            </w:tcBorders>
            <w:shd w:val="clear" w:color="000000" w:fill="FFFFCC"/>
            <w:noWrap/>
            <w:vAlign w:val="bottom"/>
          </w:tcPr>
          <w:p w14:paraId="408A7FD5" w14:textId="4768ECA2" w:rsidR="008C31AA" w:rsidRPr="007B48E9" w:rsidRDefault="008C31AA" w:rsidP="008C31AA">
            <w:pPr>
              <w:spacing w:line="360" w:lineRule="auto"/>
              <w:jc w:val="right"/>
              <w:rPr>
                <w:b/>
                <w:bCs/>
                <w:color w:val="0070C0"/>
                <w:sz w:val="18"/>
                <w:szCs w:val="18"/>
              </w:rPr>
            </w:pPr>
            <w:r>
              <w:rPr>
                <w:color w:val="000000"/>
                <w:sz w:val="18"/>
                <w:szCs w:val="18"/>
              </w:rPr>
              <w:t>0,3</w:t>
            </w:r>
          </w:p>
        </w:tc>
        <w:tc>
          <w:tcPr>
            <w:tcW w:w="851" w:type="dxa"/>
            <w:tcBorders>
              <w:top w:val="nil"/>
              <w:left w:val="nil"/>
              <w:bottom w:val="nil"/>
              <w:right w:val="single" w:sz="4" w:space="0" w:color="800000"/>
            </w:tcBorders>
            <w:shd w:val="clear" w:color="000000" w:fill="FFFFCC"/>
            <w:noWrap/>
            <w:vAlign w:val="bottom"/>
          </w:tcPr>
          <w:p w14:paraId="1C56DDE1" w14:textId="551CA214" w:rsidR="008C31AA" w:rsidRPr="007B48E9" w:rsidRDefault="008C31AA" w:rsidP="008C31AA">
            <w:pPr>
              <w:spacing w:line="360" w:lineRule="auto"/>
              <w:jc w:val="right"/>
              <w:rPr>
                <w:b/>
                <w:bCs/>
                <w:color w:val="0070C0"/>
                <w:sz w:val="18"/>
                <w:szCs w:val="18"/>
              </w:rPr>
            </w:pPr>
            <w:r>
              <w:rPr>
                <w:color w:val="000000"/>
                <w:sz w:val="18"/>
                <w:szCs w:val="18"/>
              </w:rPr>
              <w:t> </w:t>
            </w:r>
          </w:p>
        </w:tc>
        <w:tc>
          <w:tcPr>
            <w:tcW w:w="705" w:type="dxa"/>
            <w:tcBorders>
              <w:top w:val="nil"/>
              <w:left w:val="nil"/>
              <w:bottom w:val="nil"/>
              <w:right w:val="single" w:sz="4" w:space="0" w:color="800000"/>
            </w:tcBorders>
            <w:shd w:val="clear" w:color="000000" w:fill="FFFFCC"/>
            <w:vAlign w:val="bottom"/>
          </w:tcPr>
          <w:p w14:paraId="4B8ACFDD" w14:textId="21EF6406" w:rsidR="008C31AA" w:rsidRPr="007B48E9" w:rsidRDefault="008C31AA" w:rsidP="008C31AA">
            <w:pPr>
              <w:spacing w:line="360" w:lineRule="auto"/>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tcPr>
          <w:p w14:paraId="275523EF" w14:textId="71BB7605" w:rsidR="008C31AA" w:rsidRPr="007B48E9" w:rsidRDefault="008C31AA" w:rsidP="008C31AA">
            <w:pPr>
              <w:spacing w:line="360" w:lineRule="auto"/>
              <w:jc w:val="right"/>
              <w:rPr>
                <w:b/>
                <w:bCs/>
                <w:color w:val="0070C0"/>
                <w:sz w:val="18"/>
                <w:szCs w:val="18"/>
              </w:rPr>
            </w:pPr>
            <w:r>
              <w:rPr>
                <w:color w:val="000000"/>
                <w:sz w:val="18"/>
                <w:szCs w:val="18"/>
              </w:rPr>
              <w:t> </w:t>
            </w:r>
          </w:p>
        </w:tc>
        <w:tc>
          <w:tcPr>
            <w:tcW w:w="698" w:type="dxa"/>
            <w:tcBorders>
              <w:top w:val="nil"/>
              <w:left w:val="nil"/>
              <w:bottom w:val="nil"/>
              <w:right w:val="single" w:sz="4" w:space="0" w:color="800000"/>
            </w:tcBorders>
            <w:shd w:val="clear" w:color="000000" w:fill="FFFFCC"/>
            <w:noWrap/>
            <w:vAlign w:val="bottom"/>
          </w:tcPr>
          <w:p w14:paraId="085048B7" w14:textId="33841277" w:rsidR="008C31AA" w:rsidRPr="007B48E9" w:rsidRDefault="008C31AA" w:rsidP="008C31AA">
            <w:pPr>
              <w:spacing w:line="360" w:lineRule="auto"/>
              <w:jc w:val="right"/>
              <w:rPr>
                <w:b/>
                <w:bCs/>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0B025380" w14:textId="625F7969" w:rsidR="008C31AA" w:rsidRPr="007B48E9" w:rsidRDefault="008C31AA" w:rsidP="008C31AA">
            <w:pPr>
              <w:spacing w:line="360" w:lineRule="auto"/>
              <w:jc w:val="right"/>
              <w:rPr>
                <w:b/>
                <w:bCs/>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tcPr>
          <w:p w14:paraId="7349FFC2" w14:textId="373C4656" w:rsidR="008C31AA" w:rsidRPr="007B48E9" w:rsidRDefault="008C31AA" w:rsidP="008C31AA">
            <w:pPr>
              <w:spacing w:line="360" w:lineRule="auto"/>
              <w:jc w:val="right"/>
              <w:rPr>
                <w:b/>
                <w:bCs/>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tcPr>
          <w:p w14:paraId="78E5A065" w14:textId="59EC3F2B" w:rsidR="008C31AA" w:rsidRPr="007B48E9" w:rsidRDefault="008C31AA" w:rsidP="008C31AA">
            <w:pPr>
              <w:spacing w:line="360" w:lineRule="auto"/>
              <w:jc w:val="right"/>
              <w:rPr>
                <w:b/>
                <w:bCs/>
                <w:color w:val="0070C0"/>
                <w:sz w:val="18"/>
                <w:szCs w:val="18"/>
              </w:rPr>
            </w:pPr>
            <w:r>
              <w:rPr>
                <w:color w:val="000000"/>
                <w:sz w:val="18"/>
                <w:szCs w:val="18"/>
              </w:rPr>
              <w:t> </w:t>
            </w:r>
          </w:p>
        </w:tc>
        <w:tc>
          <w:tcPr>
            <w:tcW w:w="526" w:type="dxa"/>
            <w:tcBorders>
              <w:top w:val="nil"/>
              <w:left w:val="nil"/>
              <w:bottom w:val="nil"/>
              <w:right w:val="single" w:sz="4" w:space="0" w:color="800000"/>
            </w:tcBorders>
            <w:shd w:val="clear" w:color="000000" w:fill="FFFFCC"/>
            <w:noWrap/>
            <w:vAlign w:val="bottom"/>
          </w:tcPr>
          <w:p w14:paraId="1C474AB0" w14:textId="53E17AEF" w:rsidR="008C31AA" w:rsidRPr="007B48E9" w:rsidRDefault="008C31AA" w:rsidP="008C31AA">
            <w:pPr>
              <w:spacing w:line="360" w:lineRule="auto"/>
              <w:jc w:val="right"/>
              <w:rPr>
                <w:b/>
                <w:bCs/>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tcPr>
          <w:p w14:paraId="76090F7C" w14:textId="11D9AD04" w:rsidR="008C31AA" w:rsidRPr="007B48E9" w:rsidRDefault="008C31AA" w:rsidP="008C31AA">
            <w:pPr>
              <w:spacing w:line="360" w:lineRule="auto"/>
              <w:jc w:val="right"/>
              <w:rPr>
                <w:b/>
                <w:bCs/>
                <w:color w:val="0070C0"/>
                <w:sz w:val="18"/>
                <w:szCs w:val="18"/>
              </w:rPr>
            </w:pPr>
            <w:r>
              <w:rPr>
                <w:color w:val="000000"/>
                <w:sz w:val="18"/>
                <w:szCs w:val="18"/>
              </w:rPr>
              <w:t>0,3</w:t>
            </w:r>
          </w:p>
        </w:tc>
        <w:tc>
          <w:tcPr>
            <w:tcW w:w="805" w:type="dxa"/>
            <w:tcBorders>
              <w:top w:val="nil"/>
              <w:left w:val="nil"/>
              <w:bottom w:val="nil"/>
              <w:right w:val="single" w:sz="4" w:space="0" w:color="800000"/>
            </w:tcBorders>
            <w:shd w:val="clear" w:color="000000" w:fill="FFFFCC"/>
            <w:vAlign w:val="bottom"/>
          </w:tcPr>
          <w:p w14:paraId="54A4082C" w14:textId="3284BD6E" w:rsidR="008C31AA" w:rsidRPr="007B48E9" w:rsidRDefault="008C31AA" w:rsidP="008C31AA">
            <w:pPr>
              <w:spacing w:line="360" w:lineRule="auto"/>
              <w:jc w:val="right"/>
              <w:rPr>
                <w:color w:val="0070C0"/>
                <w:sz w:val="18"/>
                <w:szCs w:val="18"/>
              </w:rPr>
            </w:pPr>
            <w:r>
              <w:rPr>
                <w:color w:val="000000"/>
                <w:sz w:val="18"/>
                <w:szCs w:val="18"/>
              </w:rPr>
              <w:t> </w:t>
            </w:r>
          </w:p>
        </w:tc>
      </w:tr>
      <w:tr w:rsidR="008C31AA" w:rsidRPr="007B48E9" w14:paraId="38E70F1D"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5E359CF9" w14:textId="77777777" w:rsidR="008C31AA" w:rsidRPr="00A13F48" w:rsidRDefault="008C31AA" w:rsidP="008C31AA">
            <w:pPr>
              <w:spacing w:line="360" w:lineRule="auto"/>
              <w:rPr>
                <w:b/>
                <w:bCs/>
                <w:sz w:val="18"/>
                <w:szCs w:val="18"/>
              </w:rPr>
            </w:pPr>
            <w:r w:rsidRPr="00A13F48">
              <w:rPr>
                <w:b/>
                <w:bCs/>
                <w:sz w:val="18"/>
                <w:szCs w:val="18"/>
              </w:rPr>
              <w:t xml:space="preserve">  Б. ФИЗИЧЕСКА КУЛТУРА И СПОРТ</w:t>
            </w:r>
          </w:p>
        </w:tc>
        <w:tc>
          <w:tcPr>
            <w:tcW w:w="849" w:type="dxa"/>
            <w:tcBorders>
              <w:top w:val="nil"/>
              <w:left w:val="single" w:sz="4" w:space="0" w:color="800000"/>
              <w:bottom w:val="nil"/>
              <w:right w:val="single" w:sz="4" w:space="0" w:color="800000"/>
            </w:tcBorders>
            <w:shd w:val="clear" w:color="000000" w:fill="FFFFCC"/>
            <w:noWrap/>
            <w:vAlign w:val="bottom"/>
            <w:hideMark/>
          </w:tcPr>
          <w:p w14:paraId="49D3E86E" w14:textId="79756FB2" w:rsidR="008C31AA" w:rsidRPr="007B48E9" w:rsidRDefault="008C31AA" w:rsidP="008C31AA">
            <w:pPr>
              <w:spacing w:line="360" w:lineRule="auto"/>
              <w:jc w:val="right"/>
              <w:rPr>
                <w:b/>
                <w:bCs/>
                <w:color w:val="0070C0"/>
                <w:sz w:val="18"/>
                <w:szCs w:val="18"/>
              </w:rPr>
            </w:pPr>
            <w:r>
              <w:rPr>
                <w:b/>
                <w:bCs/>
                <w:color w:val="000000"/>
                <w:sz w:val="18"/>
                <w:szCs w:val="18"/>
              </w:rPr>
              <w:t>214,1</w:t>
            </w:r>
          </w:p>
        </w:tc>
        <w:tc>
          <w:tcPr>
            <w:tcW w:w="851" w:type="dxa"/>
            <w:tcBorders>
              <w:top w:val="nil"/>
              <w:left w:val="nil"/>
              <w:bottom w:val="nil"/>
              <w:right w:val="single" w:sz="4" w:space="0" w:color="800000"/>
            </w:tcBorders>
            <w:shd w:val="clear" w:color="000000" w:fill="FFFFCC"/>
            <w:noWrap/>
            <w:vAlign w:val="bottom"/>
            <w:hideMark/>
          </w:tcPr>
          <w:p w14:paraId="618893FC" w14:textId="3E6BEC34" w:rsidR="008C31AA" w:rsidRPr="007B48E9" w:rsidRDefault="008C31AA" w:rsidP="008C31AA">
            <w:pPr>
              <w:spacing w:line="360" w:lineRule="auto"/>
              <w:jc w:val="right"/>
              <w:rPr>
                <w:b/>
                <w:bCs/>
                <w:color w:val="0070C0"/>
                <w:sz w:val="18"/>
                <w:szCs w:val="18"/>
              </w:rPr>
            </w:pPr>
            <w:r>
              <w:rPr>
                <w:b/>
                <w:bCs/>
                <w:color w:val="000000"/>
                <w:sz w:val="18"/>
                <w:szCs w:val="18"/>
              </w:rPr>
              <w:t>65,6</w:t>
            </w:r>
          </w:p>
        </w:tc>
        <w:tc>
          <w:tcPr>
            <w:tcW w:w="705" w:type="dxa"/>
            <w:tcBorders>
              <w:top w:val="nil"/>
              <w:left w:val="nil"/>
              <w:bottom w:val="nil"/>
              <w:right w:val="single" w:sz="4" w:space="0" w:color="800000"/>
            </w:tcBorders>
            <w:shd w:val="clear" w:color="000000" w:fill="FFFFCC"/>
            <w:vAlign w:val="bottom"/>
          </w:tcPr>
          <w:p w14:paraId="4FA20416" w14:textId="47320982" w:rsidR="008C31AA" w:rsidRPr="007B48E9" w:rsidRDefault="008C31AA" w:rsidP="008C31AA">
            <w:pPr>
              <w:spacing w:line="360" w:lineRule="auto"/>
              <w:jc w:val="right"/>
              <w:rPr>
                <w:b/>
                <w:bCs/>
                <w:color w:val="0070C0"/>
                <w:sz w:val="18"/>
                <w:szCs w:val="18"/>
              </w:rPr>
            </w:pPr>
            <w:r>
              <w:rPr>
                <w:b/>
                <w:bCs/>
                <w:color w:val="000000"/>
                <w:sz w:val="18"/>
                <w:szCs w:val="18"/>
              </w:rPr>
              <w:t>0,04</w:t>
            </w:r>
          </w:p>
        </w:tc>
        <w:tc>
          <w:tcPr>
            <w:tcW w:w="719" w:type="dxa"/>
            <w:tcBorders>
              <w:top w:val="nil"/>
              <w:left w:val="nil"/>
              <w:bottom w:val="nil"/>
              <w:right w:val="single" w:sz="4" w:space="0" w:color="800000"/>
            </w:tcBorders>
            <w:shd w:val="clear" w:color="000000" w:fill="FFFFCC"/>
            <w:noWrap/>
            <w:vAlign w:val="bottom"/>
            <w:hideMark/>
          </w:tcPr>
          <w:p w14:paraId="15839C28" w14:textId="51F55D5A" w:rsidR="008C31AA" w:rsidRPr="007B48E9" w:rsidRDefault="008C31AA" w:rsidP="008C31AA">
            <w:pPr>
              <w:spacing w:line="360" w:lineRule="auto"/>
              <w:jc w:val="right"/>
              <w:rPr>
                <w:b/>
                <w:bCs/>
                <w:color w:val="0070C0"/>
                <w:sz w:val="18"/>
                <w:szCs w:val="18"/>
              </w:rPr>
            </w:pPr>
            <w:r>
              <w:rPr>
                <w:b/>
                <w:bCs/>
                <w:color w:val="000000"/>
                <w:sz w:val="18"/>
                <w:szCs w:val="18"/>
              </w:rPr>
              <w:t> </w:t>
            </w:r>
          </w:p>
        </w:tc>
        <w:tc>
          <w:tcPr>
            <w:tcW w:w="698" w:type="dxa"/>
            <w:tcBorders>
              <w:top w:val="nil"/>
              <w:left w:val="nil"/>
              <w:bottom w:val="nil"/>
              <w:right w:val="single" w:sz="4" w:space="0" w:color="800000"/>
            </w:tcBorders>
            <w:shd w:val="clear" w:color="000000" w:fill="FFFFCC"/>
            <w:noWrap/>
            <w:vAlign w:val="bottom"/>
            <w:hideMark/>
          </w:tcPr>
          <w:p w14:paraId="750A6E0A" w14:textId="426052EE" w:rsidR="008C31AA" w:rsidRPr="007B48E9" w:rsidRDefault="008C31AA" w:rsidP="008C31AA">
            <w:pPr>
              <w:spacing w:line="360" w:lineRule="auto"/>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C2C68B9" w14:textId="14A3725E" w:rsidR="008C31AA" w:rsidRPr="007B48E9" w:rsidRDefault="008C31AA" w:rsidP="008C31AA">
            <w:pPr>
              <w:spacing w:line="360" w:lineRule="auto"/>
              <w:jc w:val="right"/>
              <w:rPr>
                <w:b/>
                <w:bCs/>
                <w:color w:val="0070C0"/>
                <w:sz w:val="18"/>
                <w:szCs w:val="18"/>
              </w:rPr>
            </w:pPr>
            <w:r>
              <w:rPr>
                <w:b/>
                <w:bCs/>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3EBA5B0C" w14:textId="5C28A7CE" w:rsidR="008C31AA" w:rsidRPr="007B48E9" w:rsidRDefault="008C31AA" w:rsidP="008C31AA">
            <w:pPr>
              <w:spacing w:line="360" w:lineRule="auto"/>
              <w:jc w:val="right"/>
              <w:rPr>
                <w:b/>
                <w:bCs/>
                <w:color w:val="0070C0"/>
                <w:sz w:val="18"/>
                <w:szCs w:val="18"/>
              </w:rPr>
            </w:pPr>
            <w:r>
              <w:rPr>
                <w:b/>
                <w:bCs/>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0E43AD09" w14:textId="6EBCDEF5" w:rsidR="008C31AA" w:rsidRPr="007B48E9" w:rsidRDefault="008C31AA" w:rsidP="008C31AA">
            <w:pPr>
              <w:spacing w:line="360" w:lineRule="auto"/>
              <w:jc w:val="right"/>
              <w:rPr>
                <w:b/>
                <w:bCs/>
                <w:color w:val="0070C0"/>
                <w:sz w:val="18"/>
                <w:szCs w:val="18"/>
              </w:rPr>
            </w:pPr>
            <w:r>
              <w:rPr>
                <w:b/>
                <w:bCs/>
                <w:color w:val="000000"/>
                <w:sz w:val="18"/>
                <w:szCs w:val="18"/>
              </w:rPr>
              <w:t>144,6</w:t>
            </w:r>
          </w:p>
        </w:tc>
        <w:tc>
          <w:tcPr>
            <w:tcW w:w="526" w:type="dxa"/>
            <w:tcBorders>
              <w:top w:val="nil"/>
              <w:left w:val="nil"/>
              <w:bottom w:val="nil"/>
              <w:right w:val="single" w:sz="4" w:space="0" w:color="800000"/>
            </w:tcBorders>
            <w:shd w:val="clear" w:color="000000" w:fill="FFFFCC"/>
            <w:noWrap/>
            <w:vAlign w:val="bottom"/>
            <w:hideMark/>
          </w:tcPr>
          <w:p w14:paraId="5551E54B" w14:textId="6084772D" w:rsidR="008C31AA" w:rsidRPr="007B48E9" w:rsidRDefault="008C31AA" w:rsidP="008C31AA">
            <w:pPr>
              <w:spacing w:line="360" w:lineRule="auto"/>
              <w:jc w:val="right"/>
              <w:rPr>
                <w:b/>
                <w:bCs/>
                <w:color w:val="0070C0"/>
                <w:sz w:val="18"/>
                <w:szCs w:val="18"/>
              </w:rPr>
            </w:pPr>
            <w:r>
              <w:rPr>
                <w:b/>
                <w:bCs/>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41D662D6" w14:textId="388A33FF" w:rsidR="008C31AA" w:rsidRPr="007B48E9" w:rsidRDefault="008C31AA" w:rsidP="008C31AA">
            <w:pPr>
              <w:spacing w:line="360" w:lineRule="auto"/>
              <w:jc w:val="right"/>
              <w:rPr>
                <w:b/>
                <w:bCs/>
                <w:color w:val="0070C0"/>
                <w:sz w:val="18"/>
                <w:szCs w:val="18"/>
              </w:rPr>
            </w:pPr>
            <w:r>
              <w:rPr>
                <w:b/>
                <w:bCs/>
                <w:color w:val="000000"/>
                <w:sz w:val="18"/>
                <w:szCs w:val="18"/>
              </w:rPr>
              <w:t>3,9</w:t>
            </w:r>
          </w:p>
        </w:tc>
        <w:tc>
          <w:tcPr>
            <w:tcW w:w="805" w:type="dxa"/>
            <w:tcBorders>
              <w:top w:val="nil"/>
              <w:left w:val="nil"/>
              <w:bottom w:val="nil"/>
              <w:right w:val="single" w:sz="4" w:space="0" w:color="800000"/>
            </w:tcBorders>
            <w:shd w:val="clear" w:color="000000" w:fill="FFFFCC"/>
            <w:vAlign w:val="bottom"/>
          </w:tcPr>
          <w:p w14:paraId="589A777E" w14:textId="08046E37" w:rsidR="008C31AA" w:rsidRPr="007B48E9" w:rsidRDefault="008C31AA" w:rsidP="008C31AA">
            <w:pPr>
              <w:spacing w:line="360" w:lineRule="auto"/>
              <w:jc w:val="right"/>
              <w:rPr>
                <w:b/>
                <w:bCs/>
                <w:color w:val="0070C0"/>
                <w:sz w:val="18"/>
                <w:szCs w:val="18"/>
              </w:rPr>
            </w:pPr>
            <w:r>
              <w:rPr>
                <w:b/>
                <w:bCs/>
                <w:color w:val="000000"/>
                <w:sz w:val="18"/>
                <w:szCs w:val="18"/>
              </w:rPr>
              <w:t> </w:t>
            </w:r>
          </w:p>
        </w:tc>
      </w:tr>
      <w:tr w:rsidR="008C31AA" w:rsidRPr="007B48E9" w14:paraId="690BC502"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133BAC6C" w14:textId="77777777" w:rsidR="008C31AA" w:rsidRPr="00A13F48" w:rsidRDefault="008C31AA" w:rsidP="008C31AA">
            <w:pPr>
              <w:rPr>
                <w:sz w:val="18"/>
                <w:szCs w:val="18"/>
              </w:rPr>
            </w:pPr>
            <w:r w:rsidRPr="00A13F48">
              <w:rPr>
                <w:sz w:val="18"/>
                <w:szCs w:val="18"/>
              </w:rPr>
              <w:t xml:space="preserve">   Текущи нелихвени разходи</w:t>
            </w:r>
          </w:p>
        </w:tc>
        <w:tc>
          <w:tcPr>
            <w:tcW w:w="849" w:type="dxa"/>
            <w:tcBorders>
              <w:top w:val="nil"/>
              <w:left w:val="single" w:sz="4" w:space="0" w:color="800000"/>
              <w:bottom w:val="nil"/>
              <w:right w:val="single" w:sz="4" w:space="0" w:color="800000"/>
            </w:tcBorders>
            <w:shd w:val="clear" w:color="000000" w:fill="FFFFCC"/>
            <w:noWrap/>
            <w:vAlign w:val="bottom"/>
            <w:hideMark/>
          </w:tcPr>
          <w:p w14:paraId="73525963" w14:textId="2FD16972" w:rsidR="008C31AA" w:rsidRPr="007B48E9" w:rsidRDefault="008C31AA" w:rsidP="008C31AA">
            <w:pPr>
              <w:jc w:val="right"/>
              <w:rPr>
                <w:color w:val="0070C0"/>
                <w:sz w:val="18"/>
                <w:szCs w:val="18"/>
              </w:rPr>
            </w:pPr>
            <w:r>
              <w:rPr>
                <w:color w:val="000000"/>
                <w:sz w:val="18"/>
                <w:szCs w:val="18"/>
              </w:rPr>
              <w:t>163,4</w:t>
            </w:r>
          </w:p>
        </w:tc>
        <w:tc>
          <w:tcPr>
            <w:tcW w:w="851" w:type="dxa"/>
            <w:tcBorders>
              <w:top w:val="nil"/>
              <w:left w:val="nil"/>
              <w:bottom w:val="nil"/>
              <w:right w:val="single" w:sz="4" w:space="0" w:color="800000"/>
            </w:tcBorders>
            <w:shd w:val="clear" w:color="000000" w:fill="FFFFCC"/>
            <w:noWrap/>
            <w:vAlign w:val="bottom"/>
            <w:hideMark/>
          </w:tcPr>
          <w:p w14:paraId="393C26F9" w14:textId="60B1D231" w:rsidR="008C31AA" w:rsidRPr="007B48E9" w:rsidRDefault="008C31AA" w:rsidP="008C31AA">
            <w:pPr>
              <w:jc w:val="right"/>
              <w:rPr>
                <w:color w:val="0070C0"/>
                <w:sz w:val="18"/>
                <w:szCs w:val="18"/>
              </w:rPr>
            </w:pPr>
            <w:r>
              <w:rPr>
                <w:color w:val="000000"/>
                <w:sz w:val="18"/>
                <w:szCs w:val="18"/>
              </w:rPr>
              <w:t>68,4</w:t>
            </w:r>
          </w:p>
        </w:tc>
        <w:tc>
          <w:tcPr>
            <w:tcW w:w="705" w:type="dxa"/>
            <w:tcBorders>
              <w:top w:val="nil"/>
              <w:left w:val="nil"/>
              <w:bottom w:val="nil"/>
              <w:right w:val="single" w:sz="4" w:space="0" w:color="800000"/>
            </w:tcBorders>
            <w:shd w:val="clear" w:color="000000" w:fill="FFFFCC"/>
            <w:vAlign w:val="bottom"/>
          </w:tcPr>
          <w:p w14:paraId="53AFE99C" w14:textId="56378868"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1EA1E6A2" w14:textId="593EFA8A" w:rsidR="008C31AA" w:rsidRPr="007B48E9" w:rsidRDefault="008C31AA" w:rsidP="008C31AA">
            <w:pPr>
              <w:jc w:val="right"/>
              <w:rPr>
                <w:color w:val="0070C0"/>
                <w:sz w:val="18"/>
                <w:szCs w:val="18"/>
              </w:rPr>
            </w:pPr>
            <w:r>
              <w:rPr>
                <w:color w:val="000000"/>
                <w:sz w:val="18"/>
                <w:szCs w:val="18"/>
              </w:rPr>
              <w:t> </w:t>
            </w:r>
          </w:p>
        </w:tc>
        <w:tc>
          <w:tcPr>
            <w:tcW w:w="698" w:type="dxa"/>
            <w:tcBorders>
              <w:top w:val="nil"/>
              <w:left w:val="nil"/>
              <w:bottom w:val="nil"/>
              <w:right w:val="single" w:sz="4" w:space="0" w:color="800000"/>
            </w:tcBorders>
            <w:shd w:val="clear" w:color="000000" w:fill="FFFFCC"/>
            <w:noWrap/>
            <w:vAlign w:val="bottom"/>
            <w:hideMark/>
          </w:tcPr>
          <w:p w14:paraId="441989FA" w14:textId="0A62751F" w:rsidR="008C31AA" w:rsidRPr="007B48E9" w:rsidRDefault="008C31AA" w:rsidP="008C31A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2CF0D58" w14:textId="24B0EACB" w:rsidR="008C31AA" w:rsidRPr="007B48E9" w:rsidRDefault="008C31AA" w:rsidP="008C31AA">
            <w:pPr>
              <w:jc w:val="right"/>
              <w:rPr>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7C3FB46B" w14:textId="64D7B8C9"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32F969B4" w14:textId="18185CD0" w:rsidR="008C31AA" w:rsidRPr="007B48E9" w:rsidRDefault="008C31AA" w:rsidP="008C31AA">
            <w:pPr>
              <w:jc w:val="right"/>
              <w:rPr>
                <w:color w:val="0070C0"/>
                <w:sz w:val="18"/>
                <w:szCs w:val="18"/>
              </w:rPr>
            </w:pPr>
            <w:r>
              <w:rPr>
                <w:color w:val="000000"/>
                <w:sz w:val="18"/>
                <w:szCs w:val="18"/>
              </w:rPr>
              <w:t>94,8</w:t>
            </w:r>
          </w:p>
        </w:tc>
        <w:tc>
          <w:tcPr>
            <w:tcW w:w="526" w:type="dxa"/>
            <w:tcBorders>
              <w:top w:val="nil"/>
              <w:left w:val="nil"/>
              <w:bottom w:val="nil"/>
              <w:right w:val="single" w:sz="4" w:space="0" w:color="800000"/>
            </w:tcBorders>
            <w:shd w:val="clear" w:color="000000" w:fill="FFFFCC"/>
            <w:noWrap/>
            <w:vAlign w:val="bottom"/>
            <w:hideMark/>
          </w:tcPr>
          <w:p w14:paraId="2558E98C" w14:textId="0B046F33" w:rsidR="008C31AA" w:rsidRPr="007B48E9" w:rsidRDefault="008C31AA" w:rsidP="008C31AA">
            <w:pPr>
              <w:jc w:val="right"/>
              <w:rPr>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5F045A74" w14:textId="36C37672" w:rsidR="008C31AA" w:rsidRPr="007B48E9" w:rsidRDefault="008C31AA" w:rsidP="008C31AA">
            <w:pPr>
              <w:jc w:val="right"/>
              <w:rPr>
                <w:color w:val="0070C0"/>
                <w:sz w:val="18"/>
                <w:szCs w:val="18"/>
              </w:rPr>
            </w:pPr>
            <w:r>
              <w:rPr>
                <w:color w:val="000000"/>
                <w:sz w:val="18"/>
                <w:szCs w:val="18"/>
              </w:rPr>
              <w:t>0,3</w:t>
            </w:r>
          </w:p>
        </w:tc>
        <w:tc>
          <w:tcPr>
            <w:tcW w:w="805" w:type="dxa"/>
            <w:tcBorders>
              <w:top w:val="nil"/>
              <w:left w:val="nil"/>
              <w:bottom w:val="nil"/>
              <w:right w:val="single" w:sz="4" w:space="0" w:color="800000"/>
            </w:tcBorders>
            <w:shd w:val="clear" w:color="000000" w:fill="FFFFCC"/>
            <w:vAlign w:val="bottom"/>
          </w:tcPr>
          <w:p w14:paraId="450EEFA1" w14:textId="3D8D4DB8" w:rsidR="008C31AA" w:rsidRPr="007B48E9" w:rsidRDefault="008C31AA" w:rsidP="008C31AA">
            <w:pPr>
              <w:jc w:val="right"/>
              <w:rPr>
                <w:color w:val="0070C0"/>
                <w:sz w:val="18"/>
                <w:szCs w:val="18"/>
              </w:rPr>
            </w:pPr>
            <w:r>
              <w:rPr>
                <w:color w:val="000000"/>
                <w:sz w:val="18"/>
                <w:szCs w:val="18"/>
              </w:rPr>
              <w:t> </w:t>
            </w:r>
          </w:p>
        </w:tc>
      </w:tr>
      <w:tr w:rsidR="008C31AA" w:rsidRPr="007B48E9" w14:paraId="08EDF252"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0391CF8C" w14:textId="77777777" w:rsidR="008C31AA" w:rsidRPr="00A13F48" w:rsidRDefault="008C31AA" w:rsidP="008C31AA">
            <w:pPr>
              <w:rPr>
                <w:sz w:val="18"/>
                <w:szCs w:val="18"/>
              </w:rPr>
            </w:pPr>
            <w:r w:rsidRPr="00A13F48">
              <w:rPr>
                <w:sz w:val="18"/>
                <w:szCs w:val="18"/>
              </w:rPr>
              <w:t xml:space="preserve">   Капиталови разходи</w:t>
            </w:r>
          </w:p>
        </w:tc>
        <w:tc>
          <w:tcPr>
            <w:tcW w:w="849" w:type="dxa"/>
            <w:tcBorders>
              <w:top w:val="nil"/>
              <w:left w:val="single" w:sz="4" w:space="0" w:color="800000"/>
              <w:bottom w:val="nil"/>
              <w:right w:val="single" w:sz="4" w:space="0" w:color="800000"/>
            </w:tcBorders>
            <w:shd w:val="clear" w:color="000000" w:fill="FFFFCC"/>
            <w:noWrap/>
            <w:vAlign w:val="bottom"/>
            <w:hideMark/>
          </w:tcPr>
          <w:p w14:paraId="0BD3DDF8" w14:textId="0EC8DD5B" w:rsidR="008C31AA" w:rsidRPr="007B48E9" w:rsidRDefault="008C31AA" w:rsidP="008C31AA">
            <w:pPr>
              <w:jc w:val="right"/>
              <w:rPr>
                <w:color w:val="0070C0"/>
                <w:sz w:val="18"/>
                <w:szCs w:val="18"/>
              </w:rPr>
            </w:pPr>
            <w:r>
              <w:rPr>
                <w:color w:val="000000"/>
                <w:sz w:val="18"/>
                <w:szCs w:val="18"/>
              </w:rPr>
              <w:t>50,7</w:t>
            </w:r>
          </w:p>
        </w:tc>
        <w:tc>
          <w:tcPr>
            <w:tcW w:w="851" w:type="dxa"/>
            <w:tcBorders>
              <w:top w:val="nil"/>
              <w:left w:val="nil"/>
              <w:bottom w:val="nil"/>
              <w:right w:val="single" w:sz="4" w:space="0" w:color="800000"/>
            </w:tcBorders>
            <w:shd w:val="clear" w:color="000000" w:fill="FFFFCC"/>
            <w:noWrap/>
            <w:vAlign w:val="bottom"/>
            <w:hideMark/>
          </w:tcPr>
          <w:p w14:paraId="59F717BC" w14:textId="29297BDA" w:rsidR="008C31AA" w:rsidRPr="007B48E9" w:rsidRDefault="008C31AA" w:rsidP="008C31AA">
            <w:pPr>
              <w:jc w:val="right"/>
              <w:rPr>
                <w:color w:val="0070C0"/>
                <w:sz w:val="18"/>
                <w:szCs w:val="18"/>
              </w:rPr>
            </w:pPr>
            <w:r>
              <w:rPr>
                <w:color w:val="000000"/>
                <w:sz w:val="18"/>
                <w:szCs w:val="18"/>
              </w:rPr>
              <w:t>-2,8</w:t>
            </w:r>
          </w:p>
        </w:tc>
        <w:tc>
          <w:tcPr>
            <w:tcW w:w="705" w:type="dxa"/>
            <w:tcBorders>
              <w:top w:val="nil"/>
              <w:left w:val="nil"/>
              <w:bottom w:val="nil"/>
              <w:right w:val="single" w:sz="4" w:space="0" w:color="800000"/>
            </w:tcBorders>
            <w:shd w:val="clear" w:color="000000" w:fill="FFFFCC"/>
            <w:vAlign w:val="bottom"/>
          </w:tcPr>
          <w:p w14:paraId="77565A50" w14:textId="723D545F" w:rsidR="008C31AA" w:rsidRPr="007B48E9" w:rsidRDefault="008C31AA" w:rsidP="008C31AA">
            <w:pPr>
              <w:jc w:val="right"/>
              <w:rPr>
                <w:color w:val="0070C0"/>
                <w:sz w:val="18"/>
                <w:szCs w:val="18"/>
              </w:rPr>
            </w:pPr>
            <w:r>
              <w:rPr>
                <w:color w:val="000000"/>
                <w:sz w:val="18"/>
                <w:szCs w:val="18"/>
              </w:rPr>
              <w:t>0,04</w:t>
            </w:r>
          </w:p>
        </w:tc>
        <w:tc>
          <w:tcPr>
            <w:tcW w:w="719" w:type="dxa"/>
            <w:tcBorders>
              <w:top w:val="nil"/>
              <w:left w:val="nil"/>
              <w:bottom w:val="nil"/>
              <w:right w:val="single" w:sz="4" w:space="0" w:color="800000"/>
            </w:tcBorders>
            <w:shd w:val="clear" w:color="000000" w:fill="FFFFCC"/>
            <w:noWrap/>
            <w:vAlign w:val="bottom"/>
            <w:hideMark/>
          </w:tcPr>
          <w:p w14:paraId="46D3B928" w14:textId="21401F56" w:rsidR="008C31AA" w:rsidRPr="007B48E9" w:rsidRDefault="008C31AA" w:rsidP="008C31AA">
            <w:pPr>
              <w:jc w:val="right"/>
              <w:rPr>
                <w:color w:val="0070C0"/>
                <w:sz w:val="18"/>
                <w:szCs w:val="18"/>
              </w:rPr>
            </w:pPr>
            <w:r>
              <w:rPr>
                <w:color w:val="000000"/>
                <w:sz w:val="18"/>
                <w:szCs w:val="18"/>
              </w:rPr>
              <w:t> </w:t>
            </w:r>
          </w:p>
        </w:tc>
        <w:tc>
          <w:tcPr>
            <w:tcW w:w="698" w:type="dxa"/>
            <w:tcBorders>
              <w:top w:val="nil"/>
              <w:left w:val="nil"/>
              <w:bottom w:val="nil"/>
              <w:right w:val="single" w:sz="4" w:space="0" w:color="800000"/>
            </w:tcBorders>
            <w:shd w:val="clear" w:color="000000" w:fill="FFFFCC"/>
            <w:noWrap/>
            <w:vAlign w:val="bottom"/>
            <w:hideMark/>
          </w:tcPr>
          <w:p w14:paraId="43730461" w14:textId="56CD2D28" w:rsidR="008C31AA" w:rsidRPr="007B48E9" w:rsidRDefault="008C31AA" w:rsidP="008C31A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2E7BD6B4" w14:textId="7226B1BD" w:rsidR="008C31AA" w:rsidRPr="007B48E9" w:rsidRDefault="008C31AA" w:rsidP="008C31AA">
            <w:pPr>
              <w:jc w:val="right"/>
              <w:rPr>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5FE88C95" w14:textId="5C424968"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77661E1F" w14:textId="059555E9" w:rsidR="008C31AA" w:rsidRPr="007B48E9" w:rsidRDefault="008C31AA" w:rsidP="008C31AA">
            <w:pPr>
              <w:jc w:val="right"/>
              <w:rPr>
                <w:color w:val="0070C0"/>
                <w:sz w:val="18"/>
                <w:szCs w:val="18"/>
              </w:rPr>
            </w:pPr>
            <w:r>
              <w:rPr>
                <w:color w:val="000000"/>
                <w:sz w:val="18"/>
                <w:szCs w:val="18"/>
              </w:rPr>
              <w:t>49,9</w:t>
            </w:r>
          </w:p>
        </w:tc>
        <w:tc>
          <w:tcPr>
            <w:tcW w:w="526" w:type="dxa"/>
            <w:tcBorders>
              <w:top w:val="nil"/>
              <w:left w:val="nil"/>
              <w:bottom w:val="nil"/>
              <w:right w:val="single" w:sz="4" w:space="0" w:color="800000"/>
            </w:tcBorders>
            <w:shd w:val="clear" w:color="000000" w:fill="FFFFCC"/>
            <w:noWrap/>
            <w:vAlign w:val="bottom"/>
            <w:hideMark/>
          </w:tcPr>
          <w:p w14:paraId="239E7DFB" w14:textId="187F6932" w:rsidR="008C31AA" w:rsidRPr="007B48E9" w:rsidRDefault="008C31AA" w:rsidP="008C31AA">
            <w:pPr>
              <w:jc w:val="right"/>
              <w:rPr>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1253BD42" w14:textId="1820F748" w:rsidR="008C31AA" w:rsidRPr="007B48E9" w:rsidRDefault="008C31AA" w:rsidP="008C31AA">
            <w:pPr>
              <w:jc w:val="right"/>
              <w:rPr>
                <w:color w:val="0070C0"/>
                <w:sz w:val="18"/>
                <w:szCs w:val="18"/>
              </w:rPr>
            </w:pPr>
            <w:r>
              <w:rPr>
                <w:color w:val="000000"/>
                <w:sz w:val="18"/>
                <w:szCs w:val="18"/>
              </w:rPr>
              <w:t>3,6</w:t>
            </w:r>
          </w:p>
        </w:tc>
        <w:tc>
          <w:tcPr>
            <w:tcW w:w="805" w:type="dxa"/>
            <w:tcBorders>
              <w:top w:val="nil"/>
              <w:left w:val="nil"/>
              <w:bottom w:val="nil"/>
              <w:right w:val="single" w:sz="4" w:space="0" w:color="800000"/>
            </w:tcBorders>
            <w:shd w:val="clear" w:color="000000" w:fill="FFFFCC"/>
            <w:vAlign w:val="bottom"/>
          </w:tcPr>
          <w:p w14:paraId="319053DC" w14:textId="032A517D" w:rsidR="008C31AA" w:rsidRPr="007B48E9" w:rsidRDefault="008C31AA" w:rsidP="008C31AA">
            <w:pPr>
              <w:jc w:val="right"/>
              <w:rPr>
                <w:color w:val="0070C0"/>
                <w:sz w:val="18"/>
                <w:szCs w:val="18"/>
              </w:rPr>
            </w:pPr>
            <w:r>
              <w:rPr>
                <w:color w:val="000000"/>
                <w:sz w:val="18"/>
                <w:szCs w:val="18"/>
              </w:rPr>
              <w:t> </w:t>
            </w:r>
          </w:p>
        </w:tc>
      </w:tr>
      <w:tr w:rsidR="008C31AA" w:rsidRPr="007B48E9" w14:paraId="1216FB89"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2B75EDA3" w14:textId="77777777" w:rsidR="008C31AA" w:rsidRPr="00A13F48" w:rsidRDefault="008C31AA" w:rsidP="008C31AA">
            <w:pPr>
              <w:rPr>
                <w:sz w:val="18"/>
                <w:szCs w:val="18"/>
              </w:rPr>
            </w:pPr>
            <w:r w:rsidRPr="00A13F48">
              <w:rPr>
                <w:sz w:val="18"/>
                <w:szCs w:val="18"/>
              </w:rPr>
              <w:t xml:space="preserve">   Пред. тек. и кап. тр/ри за чужбина</w:t>
            </w:r>
          </w:p>
        </w:tc>
        <w:tc>
          <w:tcPr>
            <w:tcW w:w="849" w:type="dxa"/>
            <w:tcBorders>
              <w:top w:val="nil"/>
              <w:left w:val="single" w:sz="4" w:space="0" w:color="800000"/>
              <w:bottom w:val="nil"/>
              <w:right w:val="single" w:sz="4" w:space="0" w:color="800000"/>
            </w:tcBorders>
            <w:shd w:val="clear" w:color="000000" w:fill="FFFFCC"/>
            <w:noWrap/>
            <w:vAlign w:val="bottom"/>
            <w:hideMark/>
          </w:tcPr>
          <w:p w14:paraId="662A4261" w14:textId="4A25176E" w:rsidR="008C31AA" w:rsidRPr="007B48E9" w:rsidRDefault="008C31AA" w:rsidP="008C31AA">
            <w:pPr>
              <w:jc w:val="right"/>
              <w:rPr>
                <w:color w:val="0070C0"/>
                <w:sz w:val="18"/>
                <w:szCs w:val="18"/>
              </w:rPr>
            </w:pPr>
            <w:r>
              <w:rPr>
                <w:color w:val="000000"/>
                <w:sz w:val="18"/>
                <w:szCs w:val="18"/>
              </w:rPr>
              <w:t> </w:t>
            </w:r>
          </w:p>
        </w:tc>
        <w:tc>
          <w:tcPr>
            <w:tcW w:w="851" w:type="dxa"/>
            <w:tcBorders>
              <w:top w:val="nil"/>
              <w:left w:val="nil"/>
              <w:bottom w:val="nil"/>
              <w:right w:val="single" w:sz="4" w:space="0" w:color="800000"/>
            </w:tcBorders>
            <w:shd w:val="clear" w:color="000000" w:fill="FFFFCC"/>
            <w:noWrap/>
            <w:vAlign w:val="bottom"/>
            <w:hideMark/>
          </w:tcPr>
          <w:p w14:paraId="7E417DF8" w14:textId="12B330D1" w:rsidR="008C31AA" w:rsidRPr="007B48E9" w:rsidRDefault="008C31AA" w:rsidP="008C31AA">
            <w:pPr>
              <w:jc w:val="right"/>
              <w:rPr>
                <w:color w:val="0070C0"/>
                <w:sz w:val="18"/>
                <w:szCs w:val="18"/>
              </w:rPr>
            </w:pPr>
            <w:r>
              <w:rPr>
                <w:color w:val="000000"/>
                <w:sz w:val="18"/>
                <w:szCs w:val="18"/>
              </w:rPr>
              <w:t> </w:t>
            </w:r>
          </w:p>
        </w:tc>
        <w:tc>
          <w:tcPr>
            <w:tcW w:w="705" w:type="dxa"/>
            <w:tcBorders>
              <w:top w:val="nil"/>
              <w:left w:val="nil"/>
              <w:bottom w:val="nil"/>
              <w:right w:val="single" w:sz="4" w:space="0" w:color="800000"/>
            </w:tcBorders>
            <w:shd w:val="clear" w:color="000000" w:fill="FFFFCC"/>
            <w:vAlign w:val="bottom"/>
          </w:tcPr>
          <w:p w14:paraId="318A812A" w14:textId="4B382AC1"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2989FBA8" w14:textId="09CAE0E7" w:rsidR="008C31AA" w:rsidRPr="007B48E9" w:rsidRDefault="008C31AA" w:rsidP="008C31AA">
            <w:pPr>
              <w:jc w:val="right"/>
              <w:rPr>
                <w:color w:val="0070C0"/>
                <w:sz w:val="18"/>
                <w:szCs w:val="18"/>
              </w:rPr>
            </w:pPr>
            <w:r>
              <w:rPr>
                <w:color w:val="000000"/>
                <w:sz w:val="18"/>
                <w:szCs w:val="18"/>
              </w:rPr>
              <w:t> </w:t>
            </w:r>
          </w:p>
        </w:tc>
        <w:tc>
          <w:tcPr>
            <w:tcW w:w="698" w:type="dxa"/>
            <w:tcBorders>
              <w:top w:val="nil"/>
              <w:left w:val="nil"/>
              <w:bottom w:val="nil"/>
              <w:right w:val="single" w:sz="4" w:space="0" w:color="800000"/>
            </w:tcBorders>
            <w:shd w:val="clear" w:color="000000" w:fill="FFFFCC"/>
            <w:noWrap/>
            <w:vAlign w:val="bottom"/>
            <w:hideMark/>
          </w:tcPr>
          <w:p w14:paraId="2D8815E1" w14:textId="171F16D6" w:rsidR="008C31AA" w:rsidRPr="007B48E9" w:rsidRDefault="008C31AA" w:rsidP="008C31A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58BC14E8" w14:textId="233498EA" w:rsidR="008C31AA" w:rsidRPr="007B48E9" w:rsidRDefault="008C31AA" w:rsidP="008C31AA">
            <w:pPr>
              <w:jc w:val="right"/>
              <w:rPr>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427ADCA7" w14:textId="7816F909"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7E6FBA5F" w14:textId="17DCC489" w:rsidR="008C31AA" w:rsidRPr="007B48E9" w:rsidRDefault="008C31AA" w:rsidP="008C31AA">
            <w:pPr>
              <w:jc w:val="right"/>
              <w:rPr>
                <w:color w:val="0070C0"/>
                <w:sz w:val="18"/>
                <w:szCs w:val="18"/>
              </w:rPr>
            </w:pPr>
            <w:r>
              <w:rPr>
                <w:color w:val="000000"/>
                <w:sz w:val="18"/>
                <w:szCs w:val="18"/>
              </w:rPr>
              <w:t> </w:t>
            </w:r>
          </w:p>
        </w:tc>
        <w:tc>
          <w:tcPr>
            <w:tcW w:w="526" w:type="dxa"/>
            <w:tcBorders>
              <w:top w:val="nil"/>
              <w:left w:val="nil"/>
              <w:bottom w:val="nil"/>
              <w:right w:val="single" w:sz="4" w:space="0" w:color="800000"/>
            </w:tcBorders>
            <w:shd w:val="clear" w:color="000000" w:fill="FFFFCC"/>
            <w:noWrap/>
            <w:vAlign w:val="bottom"/>
            <w:hideMark/>
          </w:tcPr>
          <w:p w14:paraId="1F4DC833" w14:textId="5939BDF7" w:rsidR="008C31AA" w:rsidRPr="007B48E9" w:rsidRDefault="008C31AA" w:rsidP="008C31AA">
            <w:pPr>
              <w:jc w:val="right"/>
              <w:rPr>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0605FF68" w14:textId="14C142A7" w:rsidR="008C31AA" w:rsidRPr="007B48E9" w:rsidRDefault="008C31AA" w:rsidP="008C31AA">
            <w:pPr>
              <w:jc w:val="right"/>
              <w:rPr>
                <w:color w:val="0070C0"/>
                <w:sz w:val="18"/>
                <w:szCs w:val="18"/>
              </w:rPr>
            </w:pPr>
            <w:r>
              <w:rPr>
                <w:color w:val="000000"/>
                <w:sz w:val="18"/>
                <w:szCs w:val="18"/>
              </w:rPr>
              <w:t> </w:t>
            </w:r>
          </w:p>
        </w:tc>
        <w:tc>
          <w:tcPr>
            <w:tcW w:w="805" w:type="dxa"/>
            <w:tcBorders>
              <w:top w:val="nil"/>
              <w:left w:val="nil"/>
              <w:bottom w:val="nil"/>
              <w:right w:val="single" w:sz="4" w:space="0" w:color="800000"/>
            </w:tcBorders>
            <w:shd w:val="clear" w:color="000000" w:fill="FFFFCC"/>
            <w:vAlign w:val="bottom"/>
          </w:tcPr>
          <w:p w14:paraId="2F23F912" w14:textId="4C4C3969" w:rsidR="008C31AA" w:rsidRPr="007B48E9" w:rsidRDefault="008C31AA" w:rsidP="008C31AA">
            <w:pPr>
              <w:jc w:val="right"/>
              <w:rPr>
                <w:color w:val="0070C0"/>
                <w:sz w:val="18"/>
                <w:szCs w:val="18"/>
              </w:rPr>
            </w:pPr>
            <w:r>
              <w:rPr>
                <w:color w:val="000000"/>
                <w:sz w:val="18"/>
                <w:szCs w:val="18"/>
              </w:rPr>
              <w:t> </w:t>
            </w:r>
          </w:p>
        </w:tc>
      </w:tr>
      <w:tr w:rsidR="008C31AA" w:rsidRPr="007B48E9" w14:paraId="2DB5B586"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16BC8200" w14:textId="77777777" w:rsidR="008C31AA" w:rsidRPr="00A13F48" w:rsidRDefault="008C31AA" w:rsidP="008C31AA">
            <w:pPr>
              <w:rPr>
                <w:b/>
                <w:bCs/>
                <w:sz w:val="18"/>
                <w:szCs w:val="18"/>
              </w:rPr>
            </w:pPr>
            <w:r w:rsidRPr="00A13F48">
              <w:rPr>
                <w:b/>
                <w:bCs/>
                <w:sz w:val="18"/>
                <w:szCs w:val="18"/>
              </w:rPr>
              <w:t xml:space="preserve">  В. КУЛТУРА</w:t>
            </w:r>
          </w:p>
        </w:tc>
        <w:tc>
          <w:tcPr>
            <w:tcW w:w="849" w:type="dxa"/>
            <w:tcBorders>
              <w:top w:val="nil"/>
              <w:left w:val="single" w:sz="4" w:space="0" w:color="800000"/>
              <w:bottom w:val="nil"/>
              <w:right w:val="single" w:sz="4" w:space="0" w:color="800000"/>
            </w:tcBorders>
            <w:shd w:val="clear" w:color="000000" w:fill="FFFFCC"/>
            <w:noWrap/>
            <w:vAlign w:val="bottom"/>
            <w:hideMark/>
          </w:tcPr>
          <w:p w14:paraId="58D3FB90" w14:textId="67AED692" w:rsidR="008C31AA" w:rsidRPr="007B48E9" w:rsidRDefault="008C31AA" w:rsidP="008C31AA">
            <w:pPr>
              <w:jc w:val="right"/>
              <w:rPr>
                <w:b/>
                <w:bCs/>
                <w:color w:val="0070C0"/>
                <w:sz w:val="18"/>
                <w:szCs w:val="18"/>
              </w:rPr>
            </w:pPr>
            <w:r>
              <w:rPr>
                <w:b/>
                <w:bCs/>
                <w:color w:val="000000"/>
                <w:sz w:val="18"/>
                <w:szCs w:val="18"/>
              </w:rPr>
              <w:t>897,7</w:t>
            </w:r>
          </w:p>
        </w:tc>
        <w:tc>
          <w:tcPr>
            <w:tcW w:w="851" w:type="dxa"/>
            <w:tcBorders>
              <w:top w:val="nil"/>
              <w:left w:val="nil"/>
              <w:bottom w:val="nil"/>
              <w:right w:val="single" w:sz="4" w:space="0" w:color="800000"/>
            </w:tcBorders>
            <w:shd w:val="clear" w:color="000000" w:fill="FFFFCC"/>
            <w:noWrap/>
            <w:vAlign w:val="bottom"/>
            <w:hideMark/>
          </w:tcPr>
          <w:p w14:paraId="57669AAE" w14:textId="47442389" w:rsidR="008C31AA" w:rsidRPr="007B48E9" w:rsidRDefault="008C31AA" w:rsidP="008C31AA">
            <w:pPr>
              <w:jc w:val="right"/>
              <w:rPr>
                <w:b/>
                <w:bCs/>
                <w:color w:val="0070C0"/>
                <w:sz w:val="18"/>
                <w:szCs w:val="18"/>
              </w:rPr>
            </w:pPr>
            <w:r>
              <w:rPr>
                <w:b/>
                <w:bCs/>
                <w:color w:val="000000"/>
                <w:sz w:val="18"/>
                <w:szCs w:val="18"/>
              </w:rPr>
              <w:t>271,1</w:t>
            </w:r>
          </w:p>
        </w:tc>
        <w:tc>
          <w:tcPr>
            <w:tcW w:w="705" w:type="dxa"/>
            <w:tcBorders>
              <w:top w:val="nil"/>
              <w:left w:val="nil"/>
              <w:bottom w:val="nil"/>
              <w:right w:val="single" w:sz="4" w:space="0" w:color="800000"/>
            </w:tcBorders>
            <w:shd w:val="clear" w:color="000000" w:fill="FFFFCC"/>
            <w:vAlign w:val="bottom"/>
          </w:tcPr>
          <w:p w14:paraId="1648D71C" w14:textId="4B00BED5" w:rsidR="008C31AA" w:rsidRPr="007B48E9" w:rsidRDefault="008C31AA" w:rsidP="008C31AA">
            <w:pPr>
              <w:jc w:val="right"/>
              <w:rPr>
                <w:b/>
                <w:bCs/>
                <w:color w:val="0070C0"/>
                <w:sz w:val="18"/>
                <w:szCs w:val="18"/>
              </w:rPr>
            </w:pPr>
            <w:r>
              <w:rPr>
                <w:b/>
                <w:bCs/>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0371151B" w14:textId="53E778B1" w:rsidR="008C31AA" w:rsidRPr="007B48E9" w:rsidRDefault="008C31AA" w:rsidP="008C31AA">
            <w:pPr>
              <w:jc w:val="right"/>
              <w:rPr>
                <w:b/>
                <w:bCs/>
                <w:color w:val="0070C0"/>
                <w:sz w:val="18"/>
                <w:szCs w:val="18"/>
              </w:rPr>
            </w:pPr>
            <w:r>
              <w:rPr>
                <w:b/>
                <w:bCs/>
                <w:color w:val="000000"/>
                <w:sz w:val="18"/>
                <w:szCs w:val="18"/>
              </w:rPr>
              <w:t>5,8</w:t>
            </w:r>
          </w:p>
        </w:tc>
        <w:tc>
          <w:tcPr>
            <w:tcW w:w="698" w:type="dxa"/>
            <w:tcBorders>
              <w:top w:val="nil"/>
              <w:left w:val="nil"/>
              <w:bottom w:val="nil"/>
              <w:right w:val="single" w:sz="4" w:space="0" w:color="800000"/>
            </w:tcBorders>
            <w:shd w:val="clear" w:color="000000" w:fill="FFFFCC"/>
            <w:noWrap/>
            <w:vAlign w:val="bottom"/>
            <w:hideMark/>
          </w:tcPr>
          <w:p w14:paraId="24436EAC" w14:textId="1FA16FF9" w:rsidR="008C31AA" w:rsidRPr="007B48E9" w:rsidRDefault="008C31AA" w:rsidP="008C31AA">
            <w:pPr>
              <w:jc w:val="right"/>
              <w:rPr>
                <w:b/>
                <w:bCs/>
                <w:color w:val="0070C0"/>
                <w:sz w:val="18"/>
                <w:szCs w:val="18"/>
              </w:rPr>
            </w:pPr>
            <w:r>
              <w:rPr>
                <w:b/>
                <w:bCs/>
                <w:color w:val="000000"/>
                <w:sz w:val="18"/>
                <w:szCs w:val="18"/>
              </w:rPr>
              <w:t>57,0</w:t>
            </w:r>
          </w:p>
        </w:tc>
        <w:tc>
          <w:tcPr>
            <w:tcW w:w="709" w:type="dxa"/>
            <w:tcBorders>
              <w:top w:val="nil"/>
              <w:left w:val="nil"/>
              <w:bottom w:val="nil"/>
              <w:right w:val="single" w:sz="4" w:space="0" w:color="800000"/>
            </w:tcBorders>
            <w:shd w:val="clear" w:color="000000" w:fill="FFFFCC"/>
            <w:noWrap/>
            <w:vAlign w:val="bottom"/>
            <w:hideMark/>
          </w:tcPr>
          <w:p w14:paraId="49F9895C" w14:textId="40EDC490" w:rsidR="008C31AA" w:rsidRPr="007B48E9" w:rsidRDefault="008C31AA" w:rsidP="008C31AA">
            <w:pPr>
              <w:jc w:val="right"/>
              <w:rPr>
                <w:b/>
                <w:bCs/>
                <w:color w:val="0070C0"/>
                <w:sz w:val="18"/>
                <w:szCs w:val="18"/>
              </w:rPr>
            </w:pPr>
            <w:r>
              <w:rPr>
                <w:b/>
                <w:bCs/>
                <w:color w:val="000000"/>
                <w:sz w:val="18"/>
                <w:szCs w:val="18"/>
              </w:rPr>
              <w:t>93,1</w:t>
            </w:r>
          </w:p>
        </w:tc>
        <w:tc>
          <w:tcPr>
            <w:tcW w:w="600" w:type="dxa"/>
            <w:tcBorders>
              <w:top w:val="nil"/>
              <w:left w:val="nil"/>
              <w:bottom w:val="nil"/>
              <w:right w:val="single" w:sz="4" w:space="0" w:color="800000"/>
            </w:tcBorders>
            <w:shd w:val="clear" w:color="000000" w:fill="FFFFCC"/>
            <w:noWrap/>
            <w:vAlign w:val="bottom"/>
            <w:hideMark/>
          </w:tcPr>
          <w:p w14:paraId="05177634" w14:textId="520F5211" w:rsidR="008C31AA" w:rsidRPr="007B48E9" w:rsidRDefault="008C31AA" w:rsidP="008C31AA">
            <w:pPr>
              <w:jc w:val="right"/>
              <w:rPr>
                <w:b/>
                <w:bCs/>
                <w:color w:val="0070C0"/>
                <w:sz w:val="18"/>
                <w:szCs w:val="18"/>
              </w:rPr>
            </w:pPr>
            <w:r>
              <w:rPr>
                <w:b/>
                <w:bCs/>
                <w:color w:val="000000"/>
                <w:sz w:val="18"/>
                <w:szCs w:val="18"/>
              </w:rPr>
              <w:t>10,2</w:t>
            </w:r>
          </w:p>
        </w:tc>
        <w:tc>
          <w:tcPr>
            <w:tcW w:w="850" w:type="dxa"/>
            <w:tcBorders>
              <w:top w:val="nil"/>
              <w:left w:val="nil"/>
              <w:bottom w:val="nil"/>
              <w:right w:val="single" w:sz="4" w:space="0" w:color="800000"/>
            </w:tcBorders>
            <w:shd w:val="clear" w:color="000000" w:fill="FFFFCC"/>
            <w:noWrap/>
            <w:vAlign w:val="bottom"/>
            <w:hideMark/>
          </w:tcPr>
          <w:p w14:paraId="701E4BF4" w14:textId="233B680F" w:rsidR="008C31AA" w:rsidRPr="007B48E9" w:rsidRDefault="008C31AA" w:rsidP="008C31AA">
            <w:pPr>
              <w:jc w:val="right"/>
              <w:rPr>
                <w:b/>
                <w:bCs/>
                <w:color w:val="0070C0"/>
                <w:sz w:val="18"/>
                <w:szCs w:val="18"/>
              </w:rPr>
            </w:pPr>
            <w:r>
              <w:rPr>
                <w:b/>
                <w:bCs/>
                <w:color w:val="000000"/>
                <w:sz w:val="18"/>
                <w:szCs w:val="18"/>
              </w:rPr>
              <w:t>394,4</w:t>
            </w:r>
          </w:p>
        </w:tc>
        <w:tc>
          <w:tcPr>
            <w:tcW w:w="526" w:type="dxa"/>
            <w:tcBorders>
              <w:top w:val="nil"/>
              <w:left w:val="nil"/>
              <w:bottom w:val="nil"/>
              <w:right w:val="single" w:sz="4" w:space="0" w:color="800000"/>
            </w:tcBorders>
            <w:shd w:val="clear" w:color="000000" w:fill="FFFFCC"/>
            <w:noWrap/>
            <w:vAlign w:val="bottom"/>
            <w:hideMark/>
          </w:tcPr>
          <w:p w14:paraId="5554D024" w14:textId="4929F767" w:rsidR="008C31AA" w:rsidRPr="007B48E9" w:rsidRDefault="008C31AA" w:rsidP="008C31AA">
            <w:pPr>
              <w:jc w:val="right"/>
              <w:rPr>
                <w:b/>
                <w:bCs/>
                <w:color w:val="0070C0"/>
                <w:sz w:val="18"/>
                <w:szCs w:val="18"/>
              </w:rPr>
            </w:pPr>
            <w:r>
              <w:rPr>
                <w:b/>
                <w:bCs/>
                <w:color w:val="000000"/>
                <w:sz w:val="18"/>
                <w:szCs w:val="18"/>
              </w:rPr>
              <w:t>3,2</w:t>
            </w:r>
          </w:p>
        </w:tc>
        <w:tc>
          <w:tcPr>
            <w:tcW w:w="741" w:type="dxa"/>
            <w:tcBorders>
              <w:top w:val="nil"/>
              <w:left w:val="nil"/>
              <w:bottom w:val="nil"/>
              <w:right w:val="single" w:sz="4" w:space="0" w:color="800000"/>
            </w:tcBorders>
            <w:shd w:val="clear" w:color="000000" w:fill="FFFFCC"/>
            <w:noWrap/>
            <w:vAlign w:val="bottom"/>
            <w:hideMark/>
          </w:tcPr>
          <w:p w14:paraId="31C1E2B3" w14:textId="5C6D3610" w:rsidR="008C31AA" w:rsidRPr="007B48E9" w:rsidRDefault="008C31AA" w:rsidP="008C31AA">
            <w:pPr>
              <w:jc w:val="right"/>
              <w:rPr>
                <w:b/>
                <w:bCs/>
                <w:color w:val="0070C0"/>
                <w:sz w:val="18"/>
                <w:szCs w:val="18"/>
              </w:rPr>
            </w:pPr>
            <w:r>
              <w:rPr>
                <w:b/>
                <w:bCs/>
                <w:color w:val="000000"/>
                <w:sz w:val="18"/>
                <w:szCs w:val="18"/>
              </w:rPr>
              <w:t>62,9</w:t>
            </w:r>
          </w:p>
        </w:tc>
        <w:tc>
          <w:tcPr>
            <w:tcW w:w="805" w:type="dxa"/>
            <w:tcBorders>
              <w:top w:val="nil"/>
              <w:left w:val="nil"/>
              <w:bottom w:val="nil"/>
              <w:right w:val="single" w:sz="4" w:space="0" w:color="800000"/>
            </w:tcBorders>
            <w:shd w:val="clear" w:color="000000" w:fill="FFFFCC"/>
            <w:vAlign w:val="bottom"/>
          </w:tcPr>
          <w:p w14:paraId="7622BCE6" w14:textId="3161CD6D" w:rsidR="008C31AA" w:rsidRPr="007B48E9" w:rsidRDefault="008C31AA" w:rsidP="008C31AA">
            <w:pPr>
              <w:jc w:val="right"/>
              <w:rPr>
                <w:b/>
                <w:bCs/>
                <w:color w:val="0070C0"/>
                <w:sz w:val="18"/>
                <w:szCs w:val="18"/>
              </w:rPr>
            </w:pPr>
            <w:r>
              <w:rPr>
                <w:b/>
                <w:bCs/>
                <w:color w:val="000000"/>
                <w:sz w:val="18"/>
                <w:szCs w:val="18"/>
              </w:rPr>
              <w:t>0,05</w:t>
            </w:r>
          </w:p>
        </w:tc>
      </w:tr>
      <w:tr w:rsidR="008C31AA" w:rsidRPr="007B48E9" w14:paraId="169E1E43"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2F0193CC" w14:textId="77777777" w:rsidR="008C31AA" w:rsidRPr="00A13F48" w:rsidRDefault="008C31AA" w:rsidP="008C31AA">
            <w:pPr>
              <w:rPr>
                <w:sz w:val="18"/>
                <w:szCs w:val="18"/>
              </w:rPr>
            </w:pPr>
            <w:r w:rsidRPr="00A13F48">
              <w:rPr>
                <w:sz w:val="18"/>
                <w:szCs w:val="18"/>
              </w:rPr>
              <w:t xml:space="preserve">   Текущи нелихвени разходи</w:t>
            </w:r>
          </w:p>
        </w:tc>
        <w:tc>
          <w:tcPr>
            <w:tcW w:w="849" w:type="dxa"/>
            <w:tcBorders>
              <w:top w:val="nil"/>
              <w:left w:val="single" w:sz="4" w:space="0" w:color="800000"/>
              <w:bottom w:val="nil"/>
              <w:right w:val="single" w:sz="4" w:space="0" w:color="800000"/>
            </w:tcBorders>
            <w:shd w:val="clear" w:color="000000" w:fill="FFFFCC"/>
            <w:noWrap/>
            <w:vAlign w:val="bottom"/>
            <w:hideMark/>
          </w:tcPr>
          <w:p w14:paraId="6A8FC2D6" w14:textId="33A44717" w:rsidR="008C31AA" w:rsidRPr="007B48E9" w:rsidRDefault="008C31AA" w:rsidP="008C31AA">
            <w:pPr>
              <w:jc w:val="right"/>
              <w:rPr>
                <w:color w:val="0070C0"/>
                <w:sz w:val="18"/>
                <w:szCs w:val="18"/>
              </w:rPr>
            </w:pPr>
            <w:r>
              <w:rPr>
                <w:color w:val="000000"/>
                <w:sz w:val="18"/>
                <w:szCs w:val="18"/>
              </w:rPr>
              <w:t>760,6</w:t>
            </w:r>
          </w:p>
        </w:tc>
        <w:tc>
          <w:tcPr>
            <w:tcW w:w="851" w:type="dxa"/>
            <w:tcBorders>
              <w:top w:val="nil"/>
              <w:left w:val="nil"/>
              <w:bottom w:val="nil"/>
              <w:right w:val="single" w:sz="4" w:space="0" w:color="800000"/>
            </w:tcBorders>
            <w:shd w:val="clear" w:color="000000" w:fill="FFFFCC"/>
            <w:noWrap/>
            <w:vAlign w:val="bottom"/>
            <w:hideMark/>
          </w:tcPr>
          <w:p w14:paraId="283281C2" w14:textId="25C90C34" w:rsidR="008C31AA" w:rsidRPr="007B48E9" w:rsidRDefault="008C31AA" w:rsidP="008C31AA">
            <w:pPr>
              <w:jc w:val="right"/>
              <w:rPr>
                <w:color w:val="0070C0"/>
                <w:sz w:val="18"/>
                <w:szCs w:val="18"/>
              </w:rPr>
            </w:pPr>
            <w:r>
              <w:rPr>
                <w:color w:val="000000"/>
                <w:sz w:val="18"/>
                <w:szCs w:val="18"/>
              </w:rPr>
              <w:t>258,5</w:t>
            </w:r>
          </w:p>
        </w:tc>
        <w:tc>
          <w:tcPr>
            <w:tcW w:w="705" w:type="dxa"/>
            <w:tcBorders>
              <w:top w:val="nil"/>
              <w:left w:val="nil"/>
              <w:bottom w:val="nil"/>
              <w:right w:val="single" w:sz="4" w:space="0" w:color="800000"/>
            </w:tcBorders>
            <w:shd w:val="clear" w:color="000000" w:fill="FFFFCC"/>
            <w:vAlign w:val="bottom"/>
          </w:tcPr>
          <w:p w14:paraId="34A8A62D" w14:textId="0D01EB44"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44FBD6C0" w14:textId="500EB86E" w:rsidR="008C31AA" w:rsidRPr="007B48E9" w:rsidRDefault="008C31AA" w:rsidP="008C31AA">
            <w:pPr>
              <w:jc w:val="right"/>
              <w:rPr>
                <w:color w:val="0070C0"/>
                <w:sz w:val="18"/>
                <w:szCs w:val="18"/>
              </w:rPr>
            </w:pPr>
            <w:r>
              <w:rPr>
                <w:color w:val="000000"/>
                <w:sz w:val="18"/>
                <w:szCs w:val="18"/>
              </w:rPr>
              <w:t>5,5</w:t>
            </w:r>
          </w:p>
        </w:tc>
        <w:tc>
          <w:tcPr>
            <w:tcW w:w="698" w:type="dxa"/>
            <w:tcBorders>
              <w:top w:val="nil"/>
              <w:left w:val="nil"/>
              <w:bottom w:val="nil"/>
              <w:right w:val="single" w:sz="4" w:space="0" w:color="800000"/>
            </w:tcBorders>
            <w:shd w:val="clear" w:color="000000" w:fill="FFFFCC"/>
            <w:noWrap/>
            <w:vAlign w:val="bottom"/>
            <w:hideMark/>
          </w:tcPr>
          <w:p w14:paraId="0C6A6BC1" w14:textId="54363C59" w:rsidR="008C31AA" w:rsidRPr="007B48E9" w:rsidRDefault="008C31AA" w:rsidP="008C31AA">
            <w:pPr>
              <w:jc w:val="right"/>
              <w:rPr>
                <w:color w:val="0070C0"/>
                <w:sz w:val="18"/>
                <w:szCs w:val="18"/>
              </w:rPr>
            </w:pPr>
            <w:r>
              <w:rPr>
                <w:color w:val="000000"/>
                <w:sz w:val="18"/>
                <w:szCs w:val="18"/>
              </w:rPr>
              <w:t>53,4</w:t>
            </w:r>
          </w:p>
        </w:tc>
        <w:tc>
          <w:tcPr>
            <w:tcW w:w="709" w:type="dxa"/>
            <w:tcBorders>
              <w:top w:val="nil"/>
              <w:left w:val="nil"/>
              <w:bottom w:val="nil"/>
              <w:right w:val="single" w:sz="4" w:space="0" w:color="800000"/>
            </w:tcBorders>
            <w:shd w:val="clear" w:color="000000" w:fill="FFFFCC"/>
            <w:noWrap/>
            <w:vAlign w:val="bottom"/>
            <w:hideMark/>
          </w:tcPr>
          <w:p w14:paraId="69B48315" w14:textId="4239456F" w:rsidR="008C31AA" w:rsidRPr="007B48E9" w:rsidRDefault="008C31AA" w:rsidP="008C31AA">
            <w:pPr>
              <w:jc w:val="right"/>
              <w:rPr>
                <w:color w:val="0070C0"/>
                <w:sz w:val="18"/>
                <w:szCs w:val="18"/>
              </w:rPr>
            </w:pPr>
            <w:r>
              <w:rPr>
                <w:color w:val="000000"/>
                <w:sz w:val="18"/>
                <w:szCs w:val="18"/>
              </w:rPr>
              <w:t>71,0</w:t>
            </w:r>
          </w:p>
        </w:tc>
        <w:tc>
          <w:tcPr>
            <w:tcW w:w="600" w:type="dxa"/>
            <w:tcBorders>
              <w:top w:val="nil"/>
              <w:left w:val="nil"/>
              <w:bottom w:val="nil"/>
              <w:right w:val="single" w:sz="4" w:space="0" w:color="800000"/>
            </w:tcBorders>
            <w:shd w:val="clear" w:color="000000" w:fill="FFFFCC"/>
            <w:noWrap/>
            <w:vAlign w:val="bottom"/>
            <w:hideMark/>
          </w:tcPr>
          <w:p w14:paraId="4D15B0C4" w14:textId="17A34FBA" w:rsidR="008C31AA" w:rsidRPr="007B48E9" w:rsidRDefault="008C31AA" w:rsidP="008C31AA">
            <w:pPr>
              <w:jc w:val="right"/>
              <w:rPr>
                <w:color w:val="0070C0"/>
                <w:sz w:val="18"/>
                <w:szCs w:val="18"/>
              </w:rPr>
            </w:pPr>
            <w:r>
              <w:rPr>
                <w:color w:val="000000"/>
                <w:sz w:val="18"/>
                <w:szCs w:val="18"/>
              </w:rPr>
              <w:t>10,0</w:t>
            </w:r>
          </w:p>
        </w:tc>
        <w:tc>
          <w:tcPr>
            <w:tcW w:w="850" w:type="dxa"/>
            <w:tcBorders>
              <w:top w:val="nil"/>
              <w:left w:val="nil"/>
              <w:bottom w:val="nil"/>
              <w:right w:val="single" w:sz="4" w:space="0" w:color="800000"/>
            </w:tcBorders>
            <w:shd w:val="clear" w:color="000000" w:fill="FFFFCC"/>
            <w:noWrap/>
            <w:vAlign w:val="bottom"/>
            <w:hideMark/>
          </w:tcPr>
          <w:p w14:paraId="542B3DDF" w14:textId="0F32D728" w:rsidR="008C31AA" w:rsidRPr="007B48E9" w:rsidRDefault="008C31AA" w:rsidP="008C31AA">
            <w:pPr>
              <w:jc w:val="right"/>
              <w:rPr>
                <w:color w:val="0070C0"/>
                <w:sz w:val="18"/>
                <w:szCs w:val="18"/>
              </w:rPr>
            </w:pPr>
            <w:r>
              <w:rPr>
                <w:color w:val="000000"/>
                <w:sz w:val="18"/>
                <w:szCs w:val="18"/>
              </w:rPr>
              <w:t>353,1</w:t>
            </w:r>
          </w:p>
        </w:tc>
        <w:tc>
          <w:tcPr>
            <w:tcW w:w="526" w:type="dxa"/>
            <w:tcBorders>
              <w:top w:val="nil"/>
              <w:left w:val="nil"/>
              <w:bottom w:val="nil"/>
              <w:right w:val="single" w:sz="4" w:space="0" w:color="800000"/>
            </w:tcBorders>
            <w:shd w:val="clear" w:color="000000" w:fill="FFFFCC"/>
            <w:noWrap/>
            <w:vAlign w:val="bottom"/>
            <w:hideMark/>
          </w:tcPr>
          <w:p w14:paraId="19F178B8" w14:textId="19370866" w:rsidR="008C31AA" w:rsidRPr="007B48E9" w:rsidRDefault="008C31AA" w:rsidP="008C31AA">
            <w:pPr>
              <w:jc w:val="right"/>
              <w:rPr>
                <w:color w:val="0070C0"/>
                <w:sz w:val="18"/>
                <w:szCs w:val="18"/>
              </w:rPr>
            </w:pPr>
            <w:r>
              <w:rPr>
                <w:color w:val="000000"/>
                <w:sz w:val="18"/>
                <w:szCs w:val="18"/>
              </w:rPr>
              <w:t>2,2</w:t>
            </w:r>
          </w:p>
        </w:tc>
        <w:tc>
          <w:tcPr>
            <w:tcW w:w="741" w:type="dxa"/>
            <w:tcBorders>
              <w:top w:val="nil"/>
              <w:left w:val="nil"/>
              <w:bottom w:val="nil"/>
              <w:right w:val="single" w:sz="4" w:space="0" w:color="800000"/>
            </w:tcBorders>
            <w:shd w:val="clear" w:color="000000" w:fill="FFFFCC"/>
            <w:noWrap/>
            <w:vAlign w:val="bottom"/>
            <w:hideMark/>
          </w:tcPr>
          <w:p w14:paraId="5FB0E31D" w14:textId="03D9242A" w:rsidR="008C31AA" w:rsidRPr="007B48E9" w:rsidRDefault="008C31AA" w:rsidP="008C31AA">
            <w:pPr>
              <w:jc w:val="right"/>
              <w:rPr>
                <w:color w:val="0070C0"/>
                <w:sz w:val="18"/>
                <w:szCs w:val="18"/>
              </w:rPr>
            </w:pPr>
            <w:r>
              <w:rPr>
                <w:color w:val="000000"/>
                <w:sz w:val="18"/>
                <w:szCs w:val="18"/>
              </w:rPr>
              <w:t>6,9</w:t>
            </w:r>
          </w:p>
        </w:tc>
        <w:tc>
          <w:tcPr>
            <w:tcW w:w="805" w:type="dxa"/>
            <w:tcBorders>
              <w:top w:val="nil"/>
              <w:left w:val="nil"/>
              <w:bottom w:val="nil"/>
              <w:right w:val="single" w:sz="4" w:space="0" w:color="800000"/>
            </w:tcBorders>
            <w:shd w:val="clear" w:color="000000" w:fill="FFFFCC"/>
            <w:vAlign w:val="bottom"/>
          </w:tcPr>
          <w:p w14:paraId="2005B930" w14:textId="73BD8900" w:rsidR="008C31AA" w:rsidRPr="007B48E9" w:rsidRDefault="008C31AA" w:rsidP="008C31AA">
            <w:pPr>
              <w:jc w:val="right"/>
              <w:rPr>
                <w:color w:val="0070C0"/>
                <w:sz w:val="18"/>
                <w:szCs w:val="18"/>
              </w:rPr>
            </w:pPr>
            <w:r>
              <w:rPr>
                <w:color w:val="000000"/>
                <w:sz w:val="18"/>
                <w:szCs w:val="18"/>
              </w:rPr>
              <w:t>0,05</w:t>
            </w:r>
          </w:p>
        </w:tc>
      </w:tr>
      <w:tr w:rsidR="008C31AA" w:rsidRPr="007B48E9" w14:paraId="1A6228C3"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4AFBB02E" w14:textId="77777777" w:rsidR="008C31AA" w:rsidRPr="00A13F48" w:rsidRDefault="008C31AA" w:rsidP="008C31AA">
            <w:pPr>
              <w:rPr>
                <w:sz w:val="18"/>
                <w:szCs w:val="18"/>
              </w:rPr>
            </w:pPr>
            <w:r w:rsidRPr="00A13F48">
              <w:rPr>
                <w:sz w:val="18"/>
                <w:szCs w:val="18"/>
              </w:rPr>
              <w:t xml:space="preserve">   Капиталови разходи</w:t>
            </w:r>
          </w:p>
        </w:tc>
        <w:tc>
          <w:tcPr>
            <w:tcW w:w="849" w:type="dxa"/>
            <w:tcBorders>
              <w:top w:val="nil"/>
              <w:left w:val="single" w:sz="4" w:space="0" w:color="800000"/>
              <w:bottom w:val="nil"/>
              <w:right w:val="single" w:sz="4" w:space="0" w:color="800000"/>
            </w:tcBorders>
            <w:shd w:val="clear" w:color="000000" w:fill="FFFFCC"/>
            <w:noWrap/>
            <w:vAlign w:val="bottom"/>
            <w:hideMark/>
          </w:tcPr>
          <w:p w14:paraId="34A2A543" w14:textId="60E2F7B9" w:rsidR="008C31AA" w:rsidRPr="007B48E9" w:rsidRDefault="008C31AA" w:rsidP="008C31AA">
            <w:pPr>
              <w:jc w:val="right"/>
              <w:rPr>
                <w:color w:val="0070C0"/>
                <w:sz w:val="18"/>
                <w:szCs w:val="18"/>
              </w:rPr>
            </w:pPr>
            <w:r>
              <w:rPr>
                <w:color w:val="000000"/>
                <w:sz w:val="18"/>
                <w:szCs w:val="18"/>
              </w:rPr>
              <w:t>134,8</w:t>
            </w:r>
          </w:p>
        </w:tc>
        <w:tc>
          <w:tcPr>
            <w:tcW w:w="851" w:type="dxa"/>
            <w:tcBorders>
              <w:top w:val="nil"/>
              <w:left w:val="nil"/>
              <w:bottom w:val="nil"/>
              <w:right w:val="single" w:sz="4" w:space="0" w:color="800000"/>
            </w:tcBorders>
            <w:shd w:val="clear" w:color="000000" w:fill="FFFFCC"/>
            <w:noWrap/>
            <w:vAlign w:val="bottom"/>
            <w:hideMark/>
          </w:tcPr>
          <w:p w14:paraId="5EAAB8EE" w14:textId="6D54AFB0" w:rsidR="008C31AA" w:rsidRPr="007B48E9" w:rsidRDefault="008C31AA" w:rsidP="008C31AA">
            <w:pPr>
              <w:jc w:val="right"/>
              <w:rPr>
                <w:color w:val="0070C0"/>
                <w:sz w:val="18"/>
                <w:szCs w:val="18"/>
              </w:rPr>
            </w:pPr>
            <w:r>
              <w:rPr>
                <w:color w:val="000000"/>
                <w:sz w:val="18"/>
                <w:szCs w:val="18"/>
              </w:rPr>
              <w:t>12,5</w:t>
            </w:r>
          </w:p>
        </w:tc>
        <w:tc>
          <w:tcPr>
            <w:tcW w:w="705" w:type="dxa"/>
            <w:tcBorders>
              <w:top w:val="nil"/>
              <w:left w:val="nil"/>
              <w:bottom w:val="nil"/>
              <w:right w:val="single" w:sz="4" w:space="0" w:color="800000"/>
            </w:tcBorders>
            <w:shd w:val="clear" w:color="000000" w:fill="FFFFCC"/>
            <w:vAlign w:val="bottom"/>
          </w:tcPr>
          <w:p w14:paraId="56856823" w14:textId="3D310AC2"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56F8F336" w14:textId="67BD30EA" w:rsidR="008C31AA" w:rsidRPr="007B48E9" w:rsidRDefault="008C31AA" w:rsidP="008C31AA">
            <w:pPr>
              <w:jc w:val="right"/>
              <w:rPr>
                <w:color w:val="0070C0"/>
                <w:sz w:val="18"/>
                <w:szCs w:val="18"/>
              </w:rPr>
            </w:pPr>
            <w:r>
              <w:rPr>
                <w:color w:val="000000"/>
                <w:sz w:val="18"/>
                <w:szCs w:val="18"/>
              </w:rPr>
              <w:t>0,2</w:t>
            </w:r>
          </w:p>
        </w:tc>
        <w:tc>
          <w:tcPr>
            <w:tcW w:w="698" w:type="dxa"/>
            <w:tcBorders>
              <w:top w:val="nil"/>
              <w:left w:val="nil"/>
              <w:bottom w:val="nil"/>
              <w:right w:val="single" w:sz="4" w:space="0" w:color="800000"/>
            </w:tcBorders>
            <w:shd w:val="clear" w:color="000000" w:fill="FFFFCC"/>
            <w:noWrap/>
            <w:vAlign w:val="bottom"/>
            <w:hideMark/>
          </w:tcPr>
          <w:p w14:paraId="2797390F" w14:textId="0D063210" w:rsidR="008C31AA" w:rsidRPr="007B48E9" w:rsidRDefault="008C31AA" w:rsidP="008C31AA">
            <w:pPr>
              <w:jc w:val="right"/>
              <w:rPr>
                <w:color w:val="0070C0"/>
                <w:sz w:val="18"/>
                <w:szCs w:val="18"/>
              </w:rPr>
            </w:pPr>
            <w:r>
              <w:rPr>
                <w:color w:val="000000"/>
                <w:sz w:val="18"/>
                <w:szCs w:val="18"/>
              </w:rPr>
              <w:t>3,7</w:t>
            </w:r>
          </w:p>
        </w:tc>
        <w:tc>
          <w:tcPr>
            <w:tcW w:w="709" w:type="dxa"/>
            <w:tcBorders>
              <w:top w:val="nil"/>
              <w:left w:val="nil"/>
              <w:bottom w:val="nil"/>
              <w:right w:val="single" w:sz="4" w:space="0" w:color="800000"/>
            </w:tcBorders>
            <w:shd w:val="clear" w:color="000000" w:fill="FFFFCC"/>
            <w:noWrap/>
            <w:vAlign w:val="bottom"/>
            <w:hideMark/>
          </w:tcPr>
          <w:p w14:paraId="6F74B123" w14:textId="46B56F34" w:rsidR="008C31AA" w:rsidRPr="007B48E9" w:rsidRDefault="008C31AA" w:rsidP="008C31AA">
            <w:pPr>
              <w:jc w:val="right"/>
              <w:rPr>
                <w:color w:val="0070C0"/>
                <w:sz w:val="18"/>
                <w:szCs w:val="18"/>
              </w:rPr>
            </w:pPr>
            <w:r>
              <w:rPr>
                <w:color w:val="000000"/>
                <w:sz w:val="18"/>
                <w:szCs w:val="18"/>
              </w:rPr>
              <w:t>22,1</w:t>
            </w:r>
          </w:p>
        </w:tc>
        <w:tc>
          <w:tcPr>
            <w:tcW w:w="600" w:type="dxa"/>
            <w:tcBorders>
              <w:top w:val="nil"/>
              <w:left w:val="nil"/>
              <w:bottom w:val="nil"/>
              <w:right w:val="single" w:sz="4" w:space="0" w:color="800000"/>
            </w:tcBorders>
            <w:shd w:val="clear" w:color="000000" w:fill="FFFFCC"/>
            <w:noWrap/>
            <w:vAlign w:val="bottom"/>
            <w:hideMark/>
          </w:tcPr>
          <w:p w14:paraId="6ABC90DC" w14:textId="7F03DAB6" w:rsidR="008C31AA" w:rsidRPr="007B48E9" w:rsidRDefault="008C31AA" w:rsidP="0035187B">
            <w:pPr>
              <w:jc w:val="right"/>
              <w:rPr>
                <w:color w:val="0070C0"/>
                <w:sz w:val="18"/>
                <w:szCs w:val="18"/>
              </w:rPr>
            </w:pPr>
            <w:r>
              <w:rPr>
                <w:color w:val="000000"/>
                <w:sz w:val="18"/>
                <w:szCs w:val="18"/>
              </w:rPr>
              <w:t>0,2</w:t>
            </w:r>
          </w:p>
        </w:tc>
        <w:tc>
          <w:tcPr>
            <w:tcW w:w="850" w:type="dxa"/>
            <w:tcBorders>
              <w:top w:val="nil"/>
              <w:left w:val="nil"/>
              <w:bottom w:val="nil"/>
              <w:right w:val="single" w:sz="4" w:space="0" w:color="800000"/>
            </w:tcBorders>
            <w:shd w:val="clear" w:color="000000" w:fill="FFFFCC"/>
            <w:noWrap/>
            <w:vAlign w:val="bottom"/>
            <w:hideMark/>
          </w:tcPr>
          <w:p w14:paraId="5F0E3F95" w14:textId="0B19F8D6" w:rsidR="008C31AA" w:rsidRPr="007B48E9" w:rsidRDefault="008C31AA" w:rsidP="008C31AA">
            <w:pPr>
              <w:jc w:val="right"/>
              <w:rPr>
                <w:color w:val="0070C0"/>
                <w:sz w:val="18"/>
                <w:szCs w:val="18"/>
              </w:rPr>
            </w:pPr>
            <w:r>
              <w:rPr>
                <w:color w:val="000000"/>
                <w:sz w:val="18"/>
                <w:szCs w:val="18"/>
              </w:rPr>
              <w:t>41,3</w:t>
            </w:r>
          </w:p>
        </w:tc>
        <w:tc>
          <w:tcPr>
            <w:tcW w:w="526" w:type="dxa"/>
            <w:tcBorders>
              <w:top w:val="nil"/>
              <w:left w:val="nil"/>
              <w:bottom w:val="nil"/>
              <w:right w:val="single" w:sz="4" w:space="0" w:color="800000"/>
            </w:tcBorders>
            <w:shd w:val="clear" w:color="000000" w:fill="FFFFCC"/>
            <w:noWrap/>
            <w:vAlign w:val="bottom"/>
            <w:hideMark/>
          </w:tcPr>
          <w:p w14:paraId="40AA140A" w14:textId="0CAAACA8" w:rsidR="008C31AA" w:rsidRPr="007B48E9" w:rsidRDefault="008C31AA" w:rsidP="008C31AA">
            <w:pPr>
              <w:jc w:val="right"/>
              <w:rPr>
                <w:color w:val="0070C0"/>
                <w:sz w:val="18"/>
                <w:szCs w:val="18"/>
              </w:rPr>
            </w:pPr>
            <w:r>
              <w:rPr>
                <w:color w:val="000000"/>
                <w:sz w:val="18"/>
                <w:szCs w:val="18"/>
              </w:rPr>
              <w:t>1,0</w:t>
            </w:r>
          </w:p>
        </w:tc>
        <w:tc>
          <w:tcPr>
            <w:tcW w:w="741" w:type="dxa"/>
            <w:tcBorders>
              <w:top w:val="nil"/>
              <w:left w:val="nil"/>
              <w:bottom w:val="nil"/>
              <w:right w:val="single" w:sz="4" w:space="0" w:color="800000"/>
            </w:tcBorders>
            <w:shd w:val="clear" w:color="000000" w:fill="FFFFCC"/>
            <w:noWrap/>
            <w:vAlign w:val="bottom"/>
            <w:hideMark/>
          </w:tcPr>
          <w:p w14:paraId="57CFA676" w14:textId="5C98CA7C" w:rsidR="008C31AA" w:rsidRPr="007B48E9" w:rsidRDefault="008C31AA" w:rsidP="008C31AA">
            <w:pPr>
              <w:jc w:val="right"/>
              <w:rPr>
                <w:color w:val="0070C0"/>
                <w:sz w:val="18"/>
                <w:szCs w:val="18"/>
              </w:rPr>
            </w:pPr>
            <w:r>
              <w:rPr>
                <w:color w:val="000000"/>
                <w:sz w:val="18"/>
                <w:szCs w:val="18"/>
              </w:rPr>
              <w:t>53,8</w:t>
            </w:r>
          </w:p>
        </w:tc>
        <w:tc>
          <w:tcPr>
            <w:tcW w:w="805" w:type="dxa"/>
            <w:tcBorders>
              <w:top w:val="nil"/>
              <w:left w:val="nil"/>
              <w:bottom w:val="nil"/>
              <w:right w:val="single" w:sz="4" w:space="0" w:color="800000"/>
            </w:tcBorders>
            <w:shd w:val="clear" w:color="000000" w:fill="FFFFCC"/>
            <w:vAlign w:val="bottom"/>
          </w:tcPr>
          <w:p w14:paraId="5431ED1C" w14:textId="5A75FE90" w:rsidR="008C31AA" w:rsidRPr="007B48E9" w:rsidRDefault="008C31AA" w:rsidP="008C31AA">
            <w:pPr>
              <w:jc w:val="right"/>
              <w:rPr>
                <w:color w:val="0070C0"/>
                <w:sz w:val="18"/>
                <w:szCs w:val="18"/>
              </w:rPr>
            </w:pPr>
            <w:r>
              <w:rPr>
                <w:color w:val="000000"/>
                <w:sz w:val="18"/>
                <w:szCs w:val="18"/>
              </w:rPr>
              <w:t> </w:t>
            </w:r>
          </w:p>
        </w:tc>
      </w:tr>
      <w:tr w:rsidR="008C31AA" w:rsidRPr="007B48E9" w14:paraId="6D6E39AD" w14:textId="77777777" w:rsidTr="003B085A">
        <w:trPr>
          <w:trHeight w:val="293"/>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42C26F4C" w14:textId="77777777" w:rsidR="008C31AA" w:rsidRPr="00A13F48" w:rsidRDefault="008C31AA" w:rsidP="008C31AA">
            <w:pPr>
              <w:rPr>
                <w:sz w:val="18"/>
                <w:szCs w:val="18"/>
              </w:rPr>
            </w:pPr>
            <w:r w:rsidRPr="00A13F48">
              <w:rPr>
                <w:sz w:val="18"/>
                <w:szCs w:val="18"/>
              </w:rPr>
              <w:t xml:space="preserve">   Пред. тек. и кап. тр/ри за чужбина</w:t>
            </w:r>
          </w:p>
        </w:tc>
        <w:tc>
          <w:tcPr>
            <w:tcW w:w="849" w:type="dxa"/>
            <w:tcBorders>
              <w:top w:val="nil"/>
              <w:left w:val="single" w:sz="4" w:space="0" w:color="800000"/>
              <w:bottom w:val="nil"/>
              <w:right w:val="single" w:sz="4" w:space="0" w:color="800000"/>
            </w:tcBorders>
            <w:shd w:val="clear" w:color="000000" w:fill="FFFFCC"/>
            <w:noWrap/>
            <w:vAlign w:val="bottom"/>
            <w:hideMark/>
          </w:tcPr>
          <w:p w14:paraId="383481C3" w14:textId="38BF8615" w:rsidR="008C31AA" w:rsidRPr="007B48E9" w:rsidRDefault="008C31AA" w:rsidP="008C31AA">
            <w:pPr>
              <w:jc w:val="right"/>
              <w:rPr>
                <w:color w:val="0070C0"/>
                <w:sz w:val="18"/>
                <w:szCs w:val="18"/>
              </w:rPr>
            </w:pPr>
            <w:r>
              <w:rPr>
                <w:color w:val="000000"/>
                <w:sz w:val="18"/>
                <w:szCs w:val="18"/>
              </w:rPr>
              <w:t>2,3</w:t>
            </w:r>
          </w:p>
        </w:tc>
        <w:tc>
          <w:tcPr>
            <w:tcW w:w="851" w:type="dxa"/>
            <w:tcBorders>
              <w:top w:val="nil"/>
              <w:left w:val="nil"/>
              <w:bottom w:val="nil"/>
              <w:right w:val="single" w:sz="4" w:space="0" w:color="800000"/>
            </w:tcBorders>
            <w:shd w:val="clear" w:color="000000" w:fill="FFFFCC"/>
            <w:noWrap/>
            <w:vAlign w:val="bottom"/>
            <w:hideMark/>
          </w:tcPr>
          <w:p w14:paraId="5162F6CC" w14:textId="3B7BC445" w:rsidR="008C31AA" w:rsidRPr="007B48E9" w:rsidRDefault="008C31AA" w:rsidP="008C31AA">
            <w:pPr>
              <w:jc w:val="right"/>
              <w:rPr>
                <w:color w:val="0070C0"/>
                <w:sz w:val="18"/>
                <w:szCs w:val="18"/>
              </w:rPr>
            </w:pPr>
            <w:r>
              <w:rPr>
                <w:color w:val="000000"/>
                <w:sz w:val="18"/>
                <w:szCs w:val="18"/>
              </w:rPr>
              <w:t> </w:t>
            </w:r>
          </w:p>
        </w:tc>
        <w:tc>
          <w:tcPr>
            <w:tcW w:w="705" w:type="dxa"/>
            <w:tcBorders>
              <w:top w:val="nil"/>
              <w:left w:val="nil"/>
              <w:bottom w:val="nil"/>
              <w:right w:val="single" w:sz="4" w:space="0" w:color="800000"/>
            </w:tcBorders>
            <w:shd w:val="clear" w:color="000000" w:fill="FFFFCC"/>
            <w:vAlign w:val="bottom"/>
          </w:tcPr>
          <w:p w14:paraId="5CA2CB98" w14:textId="3318AFE7"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6C697E1A" w14:textId="6F3F0ACD" w:rsidR="008C31AA" w:rsidRPr="007B48E9" w:rsidRDefault="008C31AA" w:rsidP="008C31AA">
            <w:pPr>
              <w:jc w:val="right"/>
              <w:rPr>
                <w:color w:val="0070C0"/>
                <w:sz w:val="18"/>
                <w:szCs w:val="18"/>
              </w:rPr>
            </w:pPr>
            <w:r>
              <w:rPr>
                <w:color w:val="000000"/>
                <w:sz w:val="18"/>
                <w:szCs w:val="18"/>
              </w:rPr>
              <w:t> </w:t>
            </w:r>
          </w:p>
        </w:tc>
        <w:tc>
          <w:tcPr>
            <w:tcW w:w="698" w:type="dxa"/>
            <w:tcBorders>
              <w:top w:val="nil"/>
              <w:left w:val="nil"/>
              <w:bottom w:val="nil"/>
              <w:right w:val="single" w:sz="4" w:space="0" w:color="800000"/>
            </w:tcBorders>
            <w:shd w:val="clear" w:color="000000" w:fill="FFFFCC"/>
            <w:noWrap/>
            <w:vAlign w:val="bottom"/>
            <w:hideMark/>
          </w:tcPr>
          <w:p w14:paraId="26179D43" w14:textId="4F64BA2A" w:rsidR="008C31AA" w:rsidRPr="007B48E9" w:rsidRDefault="008C31AA" w:rsidP="008C31A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72F8E9E1" w14:textId="429A63DD" w:rsidR="008C31AA" w:rsidRPr="007B48E9" w:rsidRDefault="008C31AA" w:rsidP="008C31AA">
            <w:pPr>
              <w:jc w:val="right"/>
              <w:rPr>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52315513" w14:textId="73647374"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499988F4" w14:textId="07A5C472" w:rsidR="008C31AA" w:rsidRPr="007B48E9" w:rsidRDefault="008C31AA" w:rsidP="008C31AA">
            <w:pPr>
              <w:jc w:val="right"/>
              <w:rPr>
                <w:color w:val="0070C0"/>
                <w:sz w:val="18"/>
                <w:szCs w:val="18"/>
              </w:rPr>
            </w:pPr>
            <w:r>
              <w:rPr>
                <w:color w:val="000000"/>
                <w:sz w:val="18"/>
                <w:szCs w:val="18"/>
              </w:rPr>
              <w:t> </w:t>
            </w:r>
          </w:p>
        </w:tc>
        <w:tc>
          <w:tcPr>
            <w:tcW w:w="526" w:type="dxa"/>
            <w:tcBorders>
              <w:top w:val="nil"/>
              <w:left w:val="nil"/>
              <w:bottom w:val="nil"/>
              <w:right w:val="single" w:sz="4" w:space="0" w:color="800000"/>
            </w:tcBorders>
            <w:shd w:val="clear" w:color="000000" w:fill="FFFFCC"/>
            <w:noWrap/>
            <w:vAlign w:val="bottom"/>
            <w:hideMark/>
          </w:tcPr>
          <w:p w14:paraId="2227C452" w14:textId="007CFDA4" w:rsidR="008C31AA" w:rsidRPr="007B48E9" w:rsidRDefault="008C31AA" w:rsidP="008C31AA">
            <w:pPr>
              <w:jc w:val="right"/>
              <w:rPr>
                <w:color w:val="0070C0"/>
                <w:sz w:val="18"/>
                <w:szCs w:val="18"/>
              </w:rPr>
            </w:pPr>
            <w:r>
              <w:rPr>
                <w:color w:val="000000"/>
                <w:sz w:val="18"/>
                <w:szCs w:val="18"/>
              </w:rPr>
              <w:t>0,02</w:t>
            </w:r>
          </w:p>
        </w:tc>
        <w:tc>
          <w:tcPr>
            <w:tcW w:w="741" w:type="dxa"/>
            <w:tcBorders>
              <w:top w:val="nil"/>
              <w:left w:val="nil"/>
              <w:bottom w:val="nil"/>
              <w:right w:val="single" w:sz="4" w:space="0" w:color="800000"/>
            </w:tcBorders>
            <w:shd w:val="clear" w:color="000000" w:fill="FFFFCC"/>
            <w:noWrap/>
            <w:vAlign w:val="bottom"/>
            <w:hideMark/>
          </w:tcPr>
          <w:p w14:paraId="6AA342CC" w14:textId="6BE15CD3" w:rsidR="008C31AA" w:rsidRPr="007B48E9" w:rsidRDefault="008C31AA" w:rsidP="008C31AA">
            <w:pPr>
              <w:jc w:val="right"/>
              <w:rPr>
                <w:color w:val="0070C0"/>
                <w:sz w:val="18"/>
                <w:szCs w:val="18"/>
              </w:rPr>
            </w:pPr>
            <w:r>
              <w:rPr>
                <w:color w:val="000000"/>
                <w:sz w:val="18"/>
                <w:szCs w:val="18"/>
              </w:rPr>
              <w:t>2,2</w:t>
            </w:r>
          </w:p>
        </w:tc>
        <w:tc>
          <w:tcPr>
            <w:tcW w:w="805" w:type="dxa"/>
            <w:tcBorders>
              <w:top w:val="nil"/>
              <w:left w:val="nil"/>
              <w:bottom w:val="nil"/>
              <w:right w:val="single" w:sz="4" w:space="0" w:color="800000"/>
            </w:tcBorders>
            <w:shd w:val="clear" w:color="000000" w:fill="FFFFCC"/>
            <w:vAlign w:val="bottom"/>
          </w:tcPr>
          <w:p w14:paraId="1446711E" w14:textId="52BCE4FE" w:rsidR="008C31AA" w:rsidRPr="007B48E9" w:rsidRDefault="008C31AA" w:rsidP="008C31AA">
            <w:pPr>
              <w:jc w:val="right"/>
              <w:rPr>
                <w:color w:val="0070C0"/>
                <w:sz w:val="18"/>
                <w:szCs w:val="18"/>
              </w:rPr>
            </w:pPr>
            <w:r>
              <w:rPr>
                <w:color w:val="000000"/>
                <w:sz w:val="18"/>
                <w:szCs w:val="18"/>
              </w:rPr>
              <w:t> </w:t>
            </w:r>
          </w:p>
        </w:tc>
      </w:tr>
      <w:tr w:rsidR="008C31AA" w:rsidRPr="007B48E9" w14:paraId="5A7C392E" w14:textId="77777777" w:rsidTr="003B085A">
        <w:trPr>
          <w:trHeight w:val="310"/>
          <w:jc w:val="center"/>
        </w:trPr>
        <w:tc>
          <w:tcPr>
            <w:tcW w:w="2981" w:type="dxa"/>
            <w:tcBorders>
              <w:top w:val="nil"/>
              <w:left w:val="double" w:sz="6" w:space="0" w:color="800000"/>
              <w:bottom w:val="nil"/>
              <w:right w:val="single" w:sz="4" w:space="0" w:color="800000"/>
            </w:tcBorders>
            <w:shd w:val="clear" w:color="auto" w:fill="FFFFCC"/>
            <w:noWrap/>
            <w:vAlign w:val="bottom"/>
            <w:hideMark/>
          </w:tcPr>
          <w:p w14:paraId="38A7A160" w14:textId="77777777" w:rsidR="008C31AA" w:rsidRPr="00A13F48" w:rsidRDefault="008C31AA" w:rsidP="008C31AA">
            <w:pPr>
              <w:rPr>
                <w:b/>
                <w:bCs/>
                <w:sz w:val="18"/>
                <w:szCs w:val="18"/>
              </w:rPr>
            </w:pPr>
            <w:r w:rsidRPr="00A13F48">
              <w:rPr>
                <w:b/>
                <w:bCs/>
                <w:sz w:val="18"/>
                <w:szCs w:val="18"/>
              </w:rPr>
              <w:t xml:space="preserve">  Г. РЕЛИГИОЗНО ДЕЛО</w:t>
            </w:r>
          </w:p>
        </w:tc>
        <w:tc>
          <w:tcPr>
            <w:tcW w:w="849" w:type="dxa"/>
            <w:tcBorders>
              <w:top w:val="nil"/>
              <w:left w:val="single" w:sz="4" w:space="0" w:color="800000"/>
              <w:bottom w:val="nil"/>
              <w:right w:val="single" w:sz="4" w:space="0" w:color="800000"/>
            </w:tcBorders>
            <w:shd w:val="clear" w:color="000000" w:fill="FFFFCC"/>
            <w:noWrap/>
            <w:vAlign w:val="bottom"/>
            <w:hideMark/>
          </w:tcPr>
          <w:p w14:paraId="11E6BFB6" w14:textId="121A4E45" w:rsidR="008C31AA" w:rsidRPr="007B48E9" w:rsidRDefault="008C31AA" w:rsidP="008C31AA">
            <w:pPr>
              <w:jc w:val="right"/>
              <w:rPr>
                <w:b/>
                <w:bCs/>
                <w:color w:val="0070C0"/>
                <w:sz w:val="18"/>
                <w:szCs w:val="18"/>
              </w:rPr>
            </w:pPr>
            <w:r>
              <w:rPr>
                <w:b/>
                <w:bCs/>
                <w:color w:val="000000"/>
                <w:sz w:val="18"/>
                <w:szCs w:val="18"/>
              </w:rPr>
              <w:t>54,5</w:t>
            </w:r>
          </w:p>
        </w:tc>
        <w:tc>
          <w:tcPr>
            <w:tcW w:w="851" w:type="dxa"/>
            <w:tcBorders>
              <w:top w:val="nil"/>
              <w:left w:val="nil"/>
              <w:bottom w:val="nil"/>
              <w:right w:val="single" w:sz="4" w:space="0" w:color="800000"/>
            </w:tcBorders>
            <w:shd w:val="clear" w:color="000000" w:fill="FFFFCC"/>
            <w:noWrap/>
            <w:vAlign w:val="bottom"/>
            <w:hideMark/>
          </w:tcPr>
          <w:p w14:paraId="5C5568CE" w14:textId="34644D36" w:rsidR="008C31AA" w:rsidRPr="007B48E9" w:rsidRDefault="008C31AA" w:rsidP="008C31AA">
            <w:pPr>
              <w:jc w:val="right"/>
              <w:rPr>
                <w:b/>
                <w:bCs/>
                <w:color w:val="0070C0"/>
                <w:sz w:val="18"/>
                <w:szCs w:val="18"/>
              </w:rPr>
            </w:pPr>
            <w:r>
              <w:rPr>
                <w:b/>
                <w:bCs/>
                <w:color w:val="000000"/>
                <w:sz w:val="18"/>
                <w:szCs w:val="18"/>
              </w:rPr>
              <w:t>54,2</w:t>
            </w:r>
          </w:p>
        </w:tc>
        <w:tc>
          <w:tcPr>
            <w:tcW w:w="705" w:type="dxa"/>
            <w:tcBorders>
              <w:top w:val="nil"/>
              <w:left w:val="nil"/>
              <w:bottom w:val="nil"/>
              <w:right w:val="single" w:sz="4" w:space="0" w:color="800000"/>
            </w:tcBorders>
            <w:shd w:val="clear" w:color="000000" w:fill="FFFFCC"/>
            <w:vAlign w:val="bottom"/>
          </w:tcPr>
          <w:p w14:paraId="53A28FCF" w14:textId="2BD22D73" w:rsidR="008C31AA" w:rsidRPr="007B48E9" w:rsidRDefault="008C31AA" w:rsidP="008C31AA">
            <w:pPr>
              <w:jc w:val="right"/>
              <w:rPr>
                <w:b/>
                <w:bCs/>
                <w:color w:val="0070C0"/>
                <w:sz w:val="18"/>
                <w:szCs w:val="18"/>
              </w:rPr>
            </w:pPr>
            <w:r>
              <w:rPr>
                <w:b/>
                <w:bCs/>
                <w:color w:val="000000"/>
                <w:sz w:val="18"/>
                <w:szCs w:val="18"/>
              </w:rPr>
              <w:t> </w:t>
            </w:r>
          </w:p>
        </w:tc>
        <w:tc>
          <w:tcPr>
            <w:tcW w:w="719" w:type="dxa"/>
            <w:tcBorders>
              <w:top w:val="nil"/>
              <w:left w:val="nil"/>
              <w:bottom w:val="nil"/>
              <w:right w:val="single" w:sz="4" w:space="0" w:color="800000"/>
            </w:tcBorders>
            <w:shd w:val="clear" w:color="000000" w:fill="FFFFCC"/>
            <w:noWrap/>
            <w:vAlign w:val="bottom"/>
            <w:hideMark/>
          </w:tcPr>
          <w:p w14:paraId="1E73E466" w14:textId="11F2DAA2" w:rsidR="008C31AA" w:rsidRPr="007B48E9" w:rsidRDefault="008C31AA" w:rsidP="008C31AA">
            <w:pPr>
              <w:jc w:val="right"/>
              <w:rPr>
                <w:b/>
                <w:bCs/>
                <w:color w:val="0070C0"/>
                <w:sz w:val="18"/>
                <w:szCs w:val="18"/>
              </w:rPr>
            </w:pPr>
            <w:r>
              <w:rPr>
                <w:b/>
                <w:bCs/>
                <w:color w:val="000000"/>
                <w:sz w:val="18"/>
                <w:szCs w:val="18"/>
              </w:rPr>
              <w:t> </w:t>
            </w:r>
          </w:p>
        </w:tc>
        <w:tc>
          <w:tcPr>
            <w:tcW w:w="698" w:type="dxa"/>
            <w:tcBorders>
              <w:top w:val="nil"/>
              <w:left w:val="nil"/>
              <w:bottom w:val="nil"/>
              <w:right w:val="single" w:sz="4" w:space="0" w:color="800000"/>
            </w:tcBorders>
            <w:shd w:val="clear" w:color="000000" w:fill="FFFFCC"/>
            <w:noWrap/>
            <w:vAlign w:val="bottom"/>
            <w:hideMark/>
          </w:tcPr>
          <w:p w14:paraId="5F0DDB9E" w14:textId="00C15BF9" w:rsidR="008C31AA" w:rsidRPr="007B48E9" w:rsidRDefault="008C31AA" w:rsidP="008C31AA">
            <w:pPr>
              <w:jc w:val="right"/>
              <w:rPr>
                <w:b/>
                <w:bCs/>
                <w:color w:val="0070C0"/>
                <w:sz w:val="18"/>
                <w:szCs w:val="18"/>
              </w:rPr>
            </w:pPr>
            <w:r>
              <w:rPr>
                <w:b/>
                <w:bCs/>
                <w:color w:val="000000"/>
                <w:sz w:val="18"/>
                <w:szCs w:val="18"/>
              </w:rPr>
              <w:t> </w:t>
            </w:r>
          </w:p>
        </w:tc>
        <w:tc>
          <w:tcPr>
            <w:tcW w:w="709" w:type="dxa"/>
            <w:tcBorders>
              <w:top w:val="nil"/>
              <w:left w:val="nil"/>
              <w:bottom w:val="nil"/>
              <w:right w:val="single" w:sz="4" w:space="0" w:color="800000"/>
            </w:tcBorders>
            <w:shd w:val="clear" w:color="000000" w:fill="FFFFCC"/>
            <w:noWrap/>
            <w:vAlign w:val="bottom"/>
            <w:hideMark/>
          </w:tcPr>
          <w:p w14:paraId="31AF2FF0" w14:textId="2363284E" w:rsidR="008C31AA" w:rsidRPr="007B48E9" w:rsidRDefault="008C31AA" w:rsidP="008C31AA">
            <w:pPr>
              <w:jc w:val="right"/>
              <w:rPr>
                <w:b/>
                <w:bCs/>
                <w:color w:val="0070C0"/>
                <w:sz w:val="18"/>
                <w:szCs w:val="18"/>
              </w:rPr>
            </w:pPr>
            <w:r>
              <w:rPr>
                <w:b/>
                <w:bCs/>
                <w:color w:val="000000"/>
                <w:sz w:val="18"/>
                <w:szCs w:val="18"/>
              </w:rPr>
              <w:t> </w:t>
            </w:r>
          </w:p>
        </w:tc>
        <w:tc>
          <w:tcPr>
            <w:tcW w:w="600" w:type="dxa"/>
            <w:tcBorders>
              <w:top w:val="nil"/>
              <w:left w:val="nil"/>
              <w:bottom w:val="nil"/>
              <w:right w:val="single" w:sz="4" w:space="0" w:color="800000"/>
            </w:tcBorders>
            <w:shd w:val="clear" w:color="000000" w:fill="FFFFCC"/>
            <w:noWrap/>
            <w:vAlign w:val="bottom"/>
            <w:hideMark/>
          </w:tcPr>
          <w:p w14:paraId="28CEE77A" w14:textId="695132D2" w:rsidR="008C31AA" w:rsidRPr="007B48E9" w:rsidRDefault="008C31AA" w:rsidP="008C31AA">
            <w:pPr>
              <w:jc w:val="right"/>
              <w:rPr>
                <w:b/>
                <w:bCs/>
                <w:color w:val="0070C0"/>
                <w:sz w:val="18"/>
                <w:szCs w:val="18"/>
              </w:rPr>
            </w:pPr>
            <w:r>
              <w:rPr>
                <w:b/>
                <w:bCs/>
                <w:color w:val="000000"/>
                <w:sz w:val="18"/>
                <w:szCs w:val="18"/>
              </w:rPr>
              <w:t> </w:t>
            </w:r>
          </w:p>
        </w:tc>
        <w:tc>
          <w:tcPr>
            <w:tcW w:w="850" w:type="dxa"/>
            <w:tcBorders>
              <w:top w:val="nil"/>
              <w:left w:val="nil"/>
              <w:bottom w:val="nil"/>
              <w:right w:val="single" w:sz="4" w:space="0" w:color="800000"/>
            </w:tcBorders>
            <w:shd w:val="clear" w:color="000000" w:fill="FFFFCC"/>
            <w:noWrap/>
            <w:vAlign w:val="bottom"/>
            <w:hideMark/>
          </w:tcPr>
          <w:p w14:paraId="2492EC45" w14:textId="0130E679" w:rsidR="008C31AA" w:rsidRPr="007B48E9" w:rsidRDefault="008C31AA" w:rsidP="008C31AA">
            <w:pPr>
              <w:jc w:val="right"/>
              <w:rPr>
                <w:b/>
                <w:bCs/>
                <w:color w:val="0070C0"/>
                <w:sz w:val="18"/>
                <w:szCs w:val="18"/>
              </w:rPr>
            </w:pPr>
            <w:r>
              <w:rPr>
                <w:b/>
                <w:bCs/>
                <w:color w:val="000000"/>
                <w:sz w:val="18"/>
                <w:szCs w:val="18"/>
              </w:rPr>
              <w:t>0,3</w:t>
            </w:r>
          </w:p>
        </w:tc>
        <w:tc>
          <w:tcPr>
            <w:tcW w:w="526" w:type="dxa"/>
            <w:tcBorders>
              <w:top w:val="nil"/>
              <w:left w:val="nil"/>
              <w:bottom w:val="nil"/>
              <w:right w:val="single" w:sz="4" w:space="0" w:color="800000"/>
            </w:tcBorders>
            <w:shd w:val="clear" w:color="000000" w:fill="FFFFCC"/>
            <w:noWrap/>
            <w:vAlign w:val="bottom"/>
            <w:hideMark/>
          </w:tcPr>
          <w:p w14:paraId="337EC857" w14:textId="2C2CEA7B" w:rsidR="008C31AA" w:rsidRPr="007B48E9" w:rsidRDefault="008C31AA" w:rsidP="008C31AA">
            <w:pPr>
              <w:jc w:val="right"/>
              <w:rPr>
                <w:b/>
                <w:bCs/>
                <w:color w:val="0070C0"/>
                <w:sz w:val="18"/>
                <w:szCs w:val="18"/>
              </w:rPr>
            </w:pPr>
            <w:r>
              <w:rPr>
                <w:b/>
                <w:bCs/>
                <w:color w:val="000000"/>
                <w:sz w:val="18"/>
                <w:szCs w:val="18"/>
              </w:rPr>
              <w:t> </w:t>
            </w:r>
          </w:p>
        </w:tc>
        <w:tc>
          <w:tcPr>
            <w:tcW w:w="741" w:type="dxa"/>
            <w:tcBorders>
              <w:top w:val="nil"/>
              <w:left w:val="nil"/>
              <w:bottom w:val="nil"/>
              <w:right w:val="single" w:sz="4" w:space="0" w:color="800000"/>
            </w:tcBorders>
            <w:shd w:val="clear" w:color="000000" w:fill="FFFFCC"/>
            <w:noWrap/>
            <w:vAlign w:val="bottom"/>
            <w:hideMark/>
          </w:tcPr>
          <w:p w14:paraId="21D89111" w14:textId="0761F1CC" w:rsidR="008C31AA" w:rsidRPr="007B48E9" w:rsidRDefault="008C31AA" w:rsidP="008C31AA">
            <w:pPr>
              <w:jc w:val="right"/>
              <w:rPr>
                <w:color w:val="0070C0"/>
                <w:sz w:val="18"/>
                <w:szCs w:val="18"/>
              </w:rPr>
            </w:pPr>
            <w:r>
              <w:rPr>
                <w:color w:val="000000"/>
                <w:sz w:val="18"/>
                <w:szCs w:val="18"/>
              </w:rPr>
              <w:t> </w:t>
            </w:r>
          </w:p>
        </w:tc>
        <w:tc>
          <w:tcPr>
            <w:tcW w:w="805" w:type="dxa"/>
            <w:tcBorders>
              <w:top w:val="nil"/>
              <w:left w:val="nil"/>
              <w:bottom w:val="nil"/>
              <w:right w:val="single" w:sz="4" w:space="0" w:color="800000"/>
            </w:tcBorders>
            <w:shd w:val="clear" w:color="000000" w:fill="FFFFCC"/>
            <w:vAlign w:val="bottom"/>
          </w:tcPr>
          <w:p w14:paraId="0C41FC64" w14:textId="4EF2816A" w:rsidR="008C31AA" w:rsidRPr="007B48E9" w:rsidRDefault="008C31AA" w:rsidP="008C31AA">
            <w:pPr>
              <w:jc w:val="right"/>
              <w:rPr>
                <w:color w:val="0070C0"/>
                <w:sz w:val="18"/>
                <w:szCs w:val="18"/>
              </w:rPr>
            </w:pPr>
            <w:r>
              <w:rPr>
                <w:color w:val="000000"/>
                <w:sz w:val="18"/>
                <w:szCs w:val="18"/>
              </w:rPr>
              <w:t> </w:t>
            </w:r>
          </w:p>
        </w:tc>
      </w:tr>
      <w:tr w:rsidR="008C31AA" w:rsidRPr="007B48E9" w14:paraId="73E914C7" w14:textId="77777777" w:rsidTr="003B085A">
        <w:trPr>
          <w:trHeight w:val="310"/>
          <w:jc w:val="center"/>
        </w:trPr>
        <w:tc>
          <w:tcPr>
            <w:tcW w:w="2981" w:type="dxa"/>
            <w:tcBorders>
              <w:top w:val="nil"/>
              <w:left w:val="double" w:sz="6" w:space="0" w:color="800000"/>
              <w:bottom w:val="nil"/>
              <w:right w:val="single" w:sz="4" w:space="0" w:color="800000"/>
            </w:tcBorders>
            <w:shd w:val="clear" w:color="auto" w:fill="FFFFCC"/>
            <w:noWrap/>
            <w:vAlign w:val="bottom"/>
          </w:tcPr>
          <w:p w14:paraId="6AAA8408" w14:textId="77777777" w:rsidR="008C31AA" w:rsidRPr="00A13F48" w:rsidRDefault="008C31AA" w:rsidP="008C31AA">
            <w:pPr>
              <w:rPr>
                <w:sz w:val="18"/>
                <w:szCs w:val="18"/>
              </w:rPr>
            </w:pPr>
            <w:r w:rsidRPr="00A13F48">
              <w:rPr>
                <w:sz w:val="18"/>
                <w:szCs w:val="18"/>
              </w:rPr>
              <w:t xml:space="preserve">   Текущи нелихвени разходи</w:t>
            </w:r>
          </w:p>
        </w:tc>
        <w:tc>
          <w:tcPr>
            <w:tcW w:w="849" w:type="dxa"/>
            <w:tcBorders>
              <w:top w:val="nil"/>
              <w:left w:val="single" w:sz="4" w:space="0" w:color="800000"/>
              <w:bottom w:val="nil"/>
              <w:right w:val="single" w:sz="4" w:space="0" w:color="800000"/>
            </w:tcBorders>
            <w:shd w:val="clear" w:color="000000" w:fill="FFFFCC"/>
            <w:noWrap/>
            <w:vAlign w:val="bottom"/>
          </w:tcPr>
          <w:p w14:paraId="2A981D72" w14:textId="7F0246E3" w:rsidR="008C31AA" w:rsidRPr="007B48E9" w:rsidRDefault="008C31AA" w:rsidP="008C31AA">
            <w:pPr>
              <w:jc w:val="right"/>
              <w:rPr>
                <w:color w:val="0070C0"/>
                <w:sz w:val="18"/>
                <w:szCs w:val="18"/>
              </w:rPr>
            </w:pPr>
            <w:r>
              <w:rPr>
                <w:color w:val="000000"/>
                <w:sz w:val="18"/>
                <w:szCs w:val="18"/>
              </w:rPr>
              <w:t>40,1</w:t>
            </w:r>
          </w:p>
        </w:tc>
        <w:tc>
          <w:tcPr>
            <w:tcW w:w="851" w:type="dxa"/>
            <w:tcBorders>
              <w:top w:val="nil"/>
              <w:left w:val="nil"/>
              <w:bottom w:val="nil"/>
              <w:right w:val="single" w:sz="4" w:space="0" w:color="800000"/>
            </w:tcBorders>
            <w:shd w:val="clear" w:color="000000" w:fill="FFFFCC"/>
            <w:noWrap/>
            <w:vAlign w:val="bottom"/>
          </w:tcPr>
          <w:p w14:paraId="28AE5F87" w14:textId="14195504" w:rsidR="008C31AA" w:rsidRPr="007B48E9" w:rsidRDefault="008C31AA" w:rsidP="008C31AA">
            <w:pPr>
              <w:jc w:val="right"/>
              <w:rPr>
                <w:color w:val="0070C0"/>
                <w:sz w:val="18"/>
                <w:szCs w:val="18"/>
              </w:rPr>
            </w:pPr>
            <w:r>
              <w:rPr>
                <w:color w:val="000000"/>
                <w:sz w:val="18"/>
                <w:szCs w:val="18"/>
              </w:rPr>
              <w:t>39,8</w:t>
            </w:r>
          </w:p>
        </w:tc>
        <w:tc>
          <w:tcPr>
            <w:tcW w:w="705" w:type="dxa"/>
            <w:tcBorders>
              <w:top w:val="nil"/>
              <w:left w:val="nil"/>
              <w:bottom w:val="nil"/>
              <w:right w:val="single" w:sz="4" w:space="0" w:color="800000"/>
            </w:tcBorders>
            <w:shd w:val="clear" w:color="000000" w:fill="FFFFCC"/>
            <w:vAlign w:val="bottom"/>
          </w:tcPr>
          <w:p w14:paraId="449391F6" w14:textId="4E92F966"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nil"/>
              <w:right w:val="single" w:sz="4" w:space="0" w:color="800000"/>
            </w:tcBorders>
            <w:shd w:val="clear" w:color="000000" w:fill="FFFFCC"/>
            <w:noWrap/>
            <w:vAlign w:val="bottom"/>
          </w:tcPr>
          <w:p w14:paraId="6C5374FD" w14:textId="1EBEBA8F" w:rsidR="008C31AA" w:rsidRPr="007B48E9" w:rsidRDefault="008C31AA" w:rsidP="008C31AA">
            <w:pPr>
              <w:jc w:val="right"/>
              <w:rPr>
                <w:color w:val="0070C0"/>
                <w:sz w:val="18"/>
                <w:szCs w:val="18"/>
              </w:rPr>
            </w:pPr>
            <w:r>
              <w:rPr>
                <w:color w:val="000000"/>
                <w:sz w:val="18"/>
                <w:szCs w:val="18"/>
              </w:rPr>
              <w:t> </w:t>
            </w:r>
          </w:p>
        </w:tc>
        <w:tc>
          <w:tcPr>
            <w:tcW w:w="698" w:type="dxa"/>
            <w:tcBorders>
              <w:top w:val="nil"/>
              <w:left w:val="nil"/>
              <w:bottom w:val="nil"/>
              <w:right w:val="single" w:sz="4" w:space="0" w:color="800000"/>
            </w:tcBorders>
            <w:shd w:val="clear" w:color="000000" w:fill="FFFFCC"/>
            <w:noWrap/>
            <w:vAlign w:val="bottom"/>
          </w:tcPr>
          <w:p w14:paraId="58BBF9F5" w14:textId="444C824C" w:rsidR="008C31AA" w:rsidRPr="007B48E9" w:rsidRDefault="008C31AA" w:rsidP="008C31AA">
            <w:pPr>
              <w:jc w:val="right"/>
              <w:rPr>
                <w:color w:val="0070C0"/>
                <w:sz w:val="18"/>
                <w:szCs w:val="18"/>
              </w:rPr>
            </w:pPr>
            <w:r>
              <w:rPr>
                <w:color w:val="000000"/>
                <w:sz w:val="18"/>
                <w:szCs w:val="18"/>
              </w:rPr>
              <w:t> </w:t>
            </w:r>
          </w:p>
        </w:tc>
        <w:tc>
          <w:tcPr>
            <w:tcW w:w="709" w:type="dxa"/>
            <w:tcBorders>
              <w:top w:val="nil"/>
              <w:left w:val="nil"/>
              <w:bottom w:val="nil"/>
              <w:right w:val="single" w:sz="4" w:space="0" w:color="800000"/>
            </w:tcBorders>
            <w:shd w:val="clear" w:color="000000" w:fill="FFFFCC"/>
            <w:noWrap/>
            <w:vAlign w:val="bottom"/>
          </w:tcPr>
          <w:p w14:paraId="3E710325" w14:textId="28B269AC" w:rsidR="008C31AA" w:rsidRPr="007B48E9" w:rsidRDefault="008C31AA" w:rsidP="008C31AA">
            <w:pPr>
              <w:jc w:val="right"/>
              <w:rPr>
                <w:color w:val="0070C0"/>
                <w:sz w:val="18"/>
                <w:szCs w:val="18"/>
              </w:rPr>
            </w:pPr>
            <w:r>
              <w:rPr>
                <w:color w:val="000000"/>
                <w:sz w:val="18"/>
                <w:szCs w:val="18"/>
              </w:rPr>
              <w:t> </w:t>
            </w:r>
          </w:p>
        </w:tc>
        <w:tc>
          <w:tcPr>
            <w:tcW w:w="600" w:type="dxa"/>
            <w:tcBorders>
              <w:top w:val="nil"/>
              <w:left w:val="nil"/>
              <w:bottom w:val="nil"/>
              <w:right w:val="single" w:sz="4" w:space="0" w:color="800000"/>
            </w:tcBorders>
            <w:shd w:val="clear" w:color="000000" w:fill="FFFFCC"/>
            <w:noWrap/>
            <w:vAlign w:val="bottom"/>
          </w:tcPr>
          <w:p w14:paraId="109285CD" w14:textId="3327F91B"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nil"/>
              <w:bottom w:val="nil"/>
              <w:right w:val="single" w:sz="4" w:space="0" w:color="800000"/>
            </w:tcBorders>
            <w:shd w:val="clear" w:color="000000" w:fill="FFFFCC"/>
            <w:noWrap/>
            <w:vAlign w:val="bottom"/>
          </w:tcPr>
          <w:p w14:paraId="6023B767" w14:textId="65423233" w:rsidR="008C31AA" w:rsidRPr="007B48E9" w:rsidRDefault="008C31AA" w:rsidP="008C31AA">
            <w:pPr>
              <w:jc w:val="right"/>
              <w:rPr>
                <w:color w:val="0070C0"/>
                <w:sz w:val="18"/>
                <w:szCs w:val="18"/>
              </w:rPr>
            </w:pPr>
            <w:r>
              <w:rPr>
                <w:color w:val="000000"/>
                <w:sz w:val="18"/>
                <w:szCs w:val="18"/>
              </w:rPr>
              <w:t>0,3</w:t>
            </w:r>
          </w:p>
        </w:tc>
        <w:tc>
          <w:tcPr>
            <w:tcW w:w="526" w:type="dxa"/>
            <w:tcBorders>
              <w:top w:val="nil"/>
              <w:left w:val="nil"/>
              <w:bottom w:val="nil"/>
              <w:right w:val="single" w:sz="4" w:space="0" w:color="800000"/>
            </w:tcBorders>
            <w:shd w:val="clear" w:color="000000" w:fill="FFFFCC"/>
            <w:noWrap/>
            <w:vAlign w:val="bottom"/>
          </w:tcPr>
          <w:p w14:paraId="553FD185" w14:textId="2EC43A8A" w:rsidR="008C31AA" w:rsidRPr="007B48E9" w:rsidRDefault="008C31AA" w:rsidP="008C31AA">
            <w:pPr>
              <w:jc w:val="right"/>
              <w:rPr>
                <w:color w:val="0070C0"/>
                <w:sz w:val="18"/>
                <w:szCs w:val="18"/>
              </w:rPr>
            </w:pPr>
            <w:r>
              <w:rPr>
                <w:color w:val="000000"/>
                <w:sz w:val="18"/>
                <w:szCs w:val="18"/>
              </w:rPr>
              <w:t> </w:t>
            </w:r>
          </w:p>
        </w:tc>
        <w:tc>
          <w:tcPr>
            <w:tcW w:w="741" w:type="dxa"/>
            <w:tcBorders>
              <w:top w:val="nil"/>
              <w:left w:val="nil"/>
              <w:bottom w:val="nil"/>
              <w:right w:val="single" w:sz="4" w:space="0" w:color="800000"/>
            </w:tcBorders>
            <w:shd w:val="clear" w:color="000000" w:fill="FFFFCC"/>
            <w:noWrap/>
            <w:vAlign w:val="bottom"/>
          </w:tcPr>
          <w:p w14:paraId="0C55B2C3" w14:textId="4BC108FA" w:rsidR="008C31AA" w:rsidRPr="007B48E9" w:rsidRDefault="008C31AA" w:rsidP="008C31AA">
            <w:pPr>
              <w:jc w:val="right"/>
              <w:rPr>
                <w:color w:val="0070C0"/>
                <w:sz w:val="18"/>
                <w:szCs w:val="18"/>
              </w:rPr>
            </w:pPr>
            <w:r>
              <w:rPr>
                <w:color w:val="000000"/>
                <w:sz w:val="18"/>
                <w:szCs w:val="18"/>
              </w:rPr>
              <w:t> </w:t>
            </w:r>
          </w:p>
        </w:tc>
        <w:tc>
          <w:tcPr>
            <w:tcW w:w="805" w:type="dxa"/>
            <w:tcBorders>
              <w:top w:val="nil"/>
              <w:left w:val="nil"/>
              <w:bottom w:val="nil"/>
              <w:right w:val="single" w:sz="4" w:space="0" w:color="800000"/>
            </w:tcBorders>
            <w:shd w:val="clear" w:color="000000" w:fill="FFFFCC"/>
            <w:vAlign w:val="bottom"/>
          </w:tcPr>
          <w:p w14:paraId="4EB79557" w14:textId="68B0897B" w:rsidR="008C31AA" w:rsidRPr="007B48E9" w:rsidRDefault="008C31AA" w:rsidP="008C31AA">
            <w:pPr>
              <w:jc w:val="right"/>
              <w:rPr>
                <w:color w:val="0070C0"/>
                <w:sz w:val="18"/>
                <w:szCs w:val="18"/>
              </w:rPr>
            </w:pPr>
            <w:r>
              <w:rPr>
                <w:color w:val="000000"/>
                <w:sz w:val="18"/>
                <w:szCs w:val="18"/>
              </w:rPr>
              <w:t> </w:t>
            </w:r>
          </w:p>
        </w:tc>
      </w:tr>
      <w:tr w:rsidR="008C31AA" w:rsidRPr="007B48E9" w14:paraId="536B4581" w14:textId="77777777" w:rsidTr="003B085A">
        <w:trPr>
          <w:trHeight w:val="310"/>
          <w:jc w:val="center"/>
        </w:trPr>
        <w:tc>
          <w:tcPr>
            <w:tcW w:w="2981" w:type="dxa"/>
            <w:tcBorders>
              <w:top w:val="nil"/>
              <w:left w:val="double" w:sz="6" w:space="0" w:color="800000"/>
              <w:bottom w:val="double" w:sz="6" w:space="0" w:color="800000"/>
              <w:right w:val="single" w:sz="4" w:space="0" w:color="800000"/>
            </w:tcBorders>
            <w:shd w:val="clear" w:color="auto" w:fill="FFFFCC"/>
            <w:noWrap/>
            <w:vAlign w:val="bottom"/>
          </w:tcPr>
          <w:p w14:paraId="4FCEFEE4" w14:textId="77777777" w:rsidR="008C31AA" w:rsidRPr="00A13F48" w:rsidRDefault="008C31AA" w:rsidP="008C31AA">
            <w:pPr>
              <w:rPr>
                <w:sz w:val="18"/>
                <w:szCs w:val="18"/>
              </w:rPr>
            </w:pPr>
            <w:r w:rsidRPr="00A13F48">
              <w:rPr>
                <w:sz w:val="18"/>
                <w:szCs w:val="18"/>
              </w:rPr>
              <w:t xml:space="preserve">   Капиталови разходи</w:t>
            </w:r>
          </w:p>
        </w:tc>
        <w:tc>
          <w:tcPr>
            <w:tcW w:w="849" w:type="dxa"/>
            <w:tcBorders>
              <w:top w:val="nil"/>
              <w:left w:val="single" w:sz="4" w:space="0" w:color="800000"/>
              <w:bottom w:val="double" w:sz="6" w:space="0" w:color="800000"/>
              <w:right w:val="single" w:sz="4" w:space="0" w:color="800000"/>
            </w:tcBorders>
            <w:shd w:val="clear" w:color="000000" w:fill="FFFFCC"/>
            <w:noWrap/>
            <w:vAlign w:val="bottom"/>
          </w:tcPr>
          <w:p w14:paraId="5315608C" w14:textId="5AA94B6F" w:rsidR="008C31AA" w:rsidRPr="007B48E9" w:rsidRDefault="008C31AA" w:rsidP="008C31AA">
            <w:pPr>
              <w:jc w:val="right"/>
              <w:rPr>
                <w:color w:val="0070C0"/>
                <w:sz w:val="18"/>
                <w:szCs w:val="18"/>
              </w:rPr>
            </w:pPr>
            <w:r>
              <w:rPr>
                <w:color w:val="000000"/>
                <w:sz w:val="18"/>
                <w:szCs w:val="18"/>
              </w:rPr>
              <w:t>14,4</w:t>
            </w:r>
          </w:p>
        </w:tc>
        <w:tc>
          <w:tcPr>
            <w:tcW w:w="851" w:type="dxa"/>
            <w:tcBorders>
              <w:top w:val="nil"/>
              <w:left w:val="nil"/>
              <w:bottom w:val="double" w:sz="6" w:space="0" w:color="800000"/>
              <w:right w:val="single" w:sz="4" w:space="0" w:color="800000"/>
            </w:tcBorders>
            <w:shd w:val="clear" w:color="000000" w:fill="FFFFCC"/>
            <w:noWrap/>
            <w:vAlign w:val="bottom"/>
          </w:tcPr>
          <w:p w14:paraId="7625AE07" w14:textId="780B6E71" w:rsidR="008C31AA" w:rsidRPr="007B48E9" w:rsidRDefault="008C31AA" w:rsidP="008C31AA">
            <w:pPr>
              <w:jc w:val="right"/>
              <w:rPr>
                <w:color w:val="0070C0"/>
                <w:sz w:val="18"/>
                <w:szCs w:val="18"/>
              </w:rPr>
            </w:pPr>
            <w:r>
              <w:rPr>
                <w:color w:val="000000"/>
                <w:sz w:val="18"/>
                <w:szCs w:val="18"/>
              </w:rPr>
              <w:t>14,4</w:t>
            </w:r>
          </w:p>
        </w:tc>
        <w:tc>
          <w:tcPr>
            <w:tcW w:w="705" w:type="dxa"/>
            <w:tcBorders>
              <w:top w:val="nil"/>
              <w:left w:val="nil"/>
              <w:bottom w:val="double" w:sz="6" w:space="0" w:color="800000"/>
              <w:right w:val="single" w:sz="4" w:space="0" w:color="800000"/>
            </w:tcBorders>
            <w:shd w:val="clear" w:color="000000" w:fill="FFFFCC"/>
            <w:vAlign w:val="bottom"/>
          </w:tcPr>
          <w:p w14:paraId="1E923436" w14:textId="26BA21BA" w:rsidR="008C31AA" w:rsidRPr="007B48E9" w:rsidRDefault="008C31AA" w:rsidP="008C31AA">
            <w:pPr>
              <w:jc w:val="right"/>
              <w:rPr>
                <w:color w:val="0070C0"/>
                <w:sz w:val="18"/>
                <w:szCs w:val="18"/>
              </w:rPr>
            </w:pPr>
            <w:r>
              <w:rPr>
                <w:color w:val="000000"/>
                <w:sz w:val="18"/>
                <w:szCs w:val="18"/>
              </w:rPr>
              <w:t> </w:t>
            </w:r>
          </w:p>
        </w:tc>
        <w:tc>
          <w:tcPr>
            <w:tcW w:w="719" w:type="dxa"/>
            <w:tcBorders>
              <w:top w:val="nil"/>
              <w:left w:val="nil"/>
              <w:bottom w:val="double" w:sz="6" w:space="0" w:color="800000"/>
              <w:right w:val="single" w:sz="4" w:space="0" w:color="800000"/>
            </w:tcBorders>
            <w:shd w:val="clear" w:color="000000" w:fill="FFFFCC"/>
            <w:noWrap/>
            <w:vAlign w:val="bottom"/>
          </w:tcPr>
          <w:p w14:paraId="69E9C438" w14:textId="75351372" w:rsidR="008C31AA" w:rsidRPr="007B48E9" w:rsidRDefault="008C31AA" w:rsidP="008C31AA">
            <w:pPr>
              <w:jc w:val="right"/>
              <w:rPr>
                <w:color w:val="0070C0"/>
                <w:sz w:val="18"/>
                <w:szCs w:val="18"/>
              </w:rPr>
            </w:pPr>
            <w:r>
              <w:rPr>
                <w:color w:val="000000"/>
                <w:sz w:val="18"/>
                <w:szCs w:val="18"/>
              </w:rPr>
              <w:t> </w:t>
            </w:r>
          </w:p>
        </w:tc>
        <w:tc>
          <w:tcPr>
            <w:tcW w:w="698" w:type="dxa"/>
            <w:tcBorders>
              <w:top w:val="nil"/>
              <w:left w:val="nil"/>
              <w:bottom w:val="double" w:sz="6" w:space="0" w:color="800000"/>
              <w:right w:val="single" w:sz="4" w:space="0" w:color="800000"/>
            </w:tcBorders>
            <w:shd w:val="clear" w:color="000000" w:fill="FFFFCC"/>
            <w:noWrap/>
            <w:vAlign w:val="bottom"/>
          </w:tcPr>
          <w:p w14:paraId="481998EC" w14:textId="4B0357D6" w:rsidR="008C31AA" w:rsidRPr="007B48E9" w:rsidRDefault="008C31AA" w:rsidP="008C31AA">
            <w:pPr>
              <w:jc w:val="right"/>
              <w:rPr>
                <w:color w:val="0070C0"/>
                <w:sz w:val="18"/>
                <w:szCs w:val="18"/>
              </w:rPr>
            </w:pPr>
            <w:r>
              <w:rPr>
                <w:color w:val="000000"/>
                <w:sz w:val="18"/>
                <w:szCs w:val="18"/>
              </w:rPr>
              <w:t> </w:t>
            </w:r>
          </w:p>
        </w:tc>
        <w:tc>
          <w:tcPr>
            <w:tcW w:w="709" w:type="dxa"/>
            <w:tcBorders>
              <w:top w:val="nil"/>
              <w:left w:val="nil"/>
              <w:bottom w:val="double" w:sz="6" w:space="0" w:color="800000"/>
              <w:right w:val="single" w:sz="4" w:space="0" w:color="800000"/>
            </w:tcBorders>
            <w:shd w:val="clear" w:color="000000" w:fill="FFFFCC"/>
            <w:noWrap/>
            <w:vAlign w:val="bottom"/>
          </w:tcPr>
          <w:p w14:paraId="190C63E3" w14:textId="6D8F5883" w:rsidR="008C31AA" w:rsidRPr="007B48E9" w:rsidRDefault="008C31AA" w:rsidP="008C31AA">
            <w:pPr>
              <w:jc w:val="right"/>
              <w:rPr>
                <w:color w:val="0070C0"/>
                <w:sz w:val="18"/>
                <w:szCs w:val="18"/>
              </w:rPr>
            </w:pPr>
            <w:r>
              <w:rPr>
                <w:color w:val="000000"/>
                <w:sz w:val="18"/>
                <w:szCs w:val="18"/>
              </w:rPr>
              <w:t> </w:t>
            </w:r>
          </w:p>
        </w:tc>
        <w:tc>
          <w:tcPr>
            <w:tcW w:w="600" w:type="dxa"/>
            <w:tcBorders>
              <w:top w:val="nil"/>
              <w:left w:val="nil"/>
              <w:bottom w:val="double" w:sz="6" w:space="0" w:color="800000"/>
              <w:right w:val="nil"/>
            </w:tcBorders>
            <w:shd w:val="clear" w:color="000000" w:fill="FFFFCC"/>
            <w:noWrap/>
            <w:vAlign w:val="bottom"/>
          </w:tcPr>
          <w:p w14:paraId="0B60C041" w14:textId="4B8A5F4B" w:rsidR="008C31AA" w:rsidRPr="007B48E9" w:rsidRDefault="008C31AA" w:rsidP="008C31AA">
            <w:pPr>
              <w:jc w:val="right"/>
              <w:rPr>
                <w:color w:val="0070C0"/>
                <w:sz w:val="18"/>
                <w:szCs w:val="18"/>
              </w:rPr>
            </w:pPr>
            <w:r>
              <w:rPr>
                <w:color w:val="000000"/>
                <w:sz w:val="18"/>
                <w:szCs w:val="18"/>
              </w:rPr>
              <w:t> </w:t>
            </w:r>
          </w:p>
        </w:tc>
        <w:tc>
          <w:tcPr>
            <w:tcW w:w="850" w:type="dxa"/>
            <w:tcBorders>
              <w:top w:val="nil"/>
              <w:left w:val="single" w:sz="4" w:space="0" w:color="800000"/>
              <w:bottom w:val="double" w:sz="6" w:space="0" w:color="800000"/>
              <w:right w:val="single" w:sz="4" w:space="0" w:color="800000"/>
            </w:tcBorders>
            <w:shd w:val="clear" w:color="000000" w:fill="FFFFCC"/>
            <w:noWrap/>
            <w:vAlign w:val="bottom"/>
          </w:tcPr>
          <w:p w14:paraId="19BC275A" w14:textId="60861E34" w:rsidR="008C31AA" w:rsidRPr="007B48E9" w:rsidRDefault="008C31AA" w:rsidP="008C31AA">
            <w:pPr>
              <w:jc w:val="right"/>
              <w:rPr>
                <w:color w:val="0070C0"/>
                <w:sz w:val="18"/>
                <w:szCs w:val="18"/>
              </w:rPr>
            </w:pPr>
            <w:r>
              <w:rPr>
                <w:color w:val="000000"/>
                <w:sz w:val="18"/>
                <w:szCs w:val="18"/>
              </w:rPr>
              <w:t>0,02</w:t>
            </w:r>
          </w:p>
        </w:tc>
        <w:tc>
          <w:tcPr>
            <w:tcW w:w="526" w:type="dxa"/>
            <w:tcBorders>
              <w:top w:val="nil"/>
              <w:left w:val="nil"/>
              <w:bottom w:val="double" w:sz="6" w:space="0" w:color="800000"/>
              <w:right w:val="single" w:sz="4" w:space="0" w:color="800000"/>
            </w:tcBorders>
            <w:shd w:val="clear" w:color="000000" w:fill="FFFFCC"/>
            <w:noWrap/>
            <w:vAlign w:val="bottom"/>
          </w:tcPr>
          <w:p w14:paraId="623E61D7" w14:textId="343FB968" w:rsidR="008C31AA" w:rsidRPr="007B48E9" w:rsidRDefault="008C31AA" w:rsidP="008C31AA">
            <w:pPr>
              <w:jc w:val="right"/>
              <w:rPr>
                <w:color w:val="0070C0"/>
                <w:sz w:val="18"/>
                <w:szCs w:val="18"/>
              </w:rPr>
            </w:pPr>
            <w:r>
              <w:rPr>
                <w:color w:val="000000"/>
                <w:sz w:val="18"/>
                <w:szCs w:val="18"/>
              </w:rPr>
              <w:t> </w:t>
            </w:r>
          </w:p>
        </w:tc>
        <w:tc>
          <w:tcPr>
            <w:tcW w:w="741" w:type="dxa"/>
            <w:tcBorders>
              <w:top w:val="nil"/>
              <w:left w:val="nil"/>
              <w:bottom w:val="double" w:sz="6" w:space="0" w:color="800000"/>
              <w:right w:val="single" w:sz="4" w:space="0" w:color="800000"/>
            </w:tcBorders>
            <w:shd w:val="clear" w:color="000000" w:fill="FFFFCC"/>
            <w:noWrap/>
            <w:vAlign w:val="bottom"/>
          </w:tcPr>
          <w:p w14:paraId="0E3C4D26" w14:textId="41320BBE" w:rsidR="008C31AA" w:rsidRPr="007B48E9" w:rsidRDefault="008C31AA" w:rsidP="008C31AA">
            <w:pPr>
              <w:jc w:val="right"/>
              <w:rPr>
                <w:color w:val="0070C0"/>
                <w:sz w:val="18"/>
                <w:szCs w:val="18"/>
              </w:rPr>
            </w:pPr>
            <w:r>
              <w:rPr>
                <w:color w:val="000000"/>
                <w:sz w:val="18"/>
                <w:szCs w:val="18"/>
              </w:rPr>
              <w:t> </w:t>
            </w:r>
          </w:p>
        </w:tc>
        <w:tc>
          <w:tcPr>
            <w:tcW w:w="805" w:type="dxa"/>
            <w:tcBorders>
              <w:top w:val="nil"/>
              <w:left w:val="nil"/>
              <w:bottom w:val="double" w:sz="6" w:space="0" w:color="800000"/>
              <w:right w:val="single" w:sz="4" w:space="0" w:color="800000"/>
            </w:tcBorders>
            <w:shd w:val="clear" w:color="000000" w:fill="FFFFCC"/>
            <w:vAlign w:val="bottom"/>
          </w:tcPr>
          <w:p w14:paraId="3A686EB1" w14:textId="717BCBD4" w:rsidR="008C31AA" w:rsidRPr="007B48E9" w:rsidRDefault="008C31AA" w:rsidP="008C31AA">
            <w:pPr>
              <w:jc w:val="right"/>
              <w:rPr>
                <w:color w:val="0070C0"/>
                <w:sz w:val="18"/>
                <w:szCs w:val="18"/>
              </w:rPr>
            </w:pPr>
            <w:r>
              <w:rPr>
                <w:color w:val="000000"/>
                <w:sz w:val="18"/>
                <w:szCs w:val="18"/>
              </w:rPr>
              <w:t> </w:t>
            </w:r>
          </w:p>
        </w:tc>
      </w:tr>
    </w:tbl>
    <w:p w14:paraId="55565176" w14:textId="77777777" w:rsidR="00CC09AC" w:rsidRPr="007B48E9" w:rsidRDefault="00CC09AC" w:rsidP="00CC09AC">
      <w:pPr>
        <w:ind w:firstLine="720"/>
        <w:rPr>
          <w:b/>
          <w:color w:val="0070C0"/>
          <w:lang w:val="en-US"/>
        </w:rPr>
      </w:pPr>
    </w:p>
    <w:p w14:paraId="6B7FEF69" w14:textId="77777777" w:rsidR="00CC09AC" w:rsidRPr="007B48E9" w:rsidRDefault="00CC09AC" w:rsidP="00CC09AC">
      <w:pPr>
        <w:ind w:firstLine="720"/>
        <w:rPr>
          <w:b/>
          <w:color w:val="0070C0"/>
          <w:lang w:val="en-US"/>
        </w:rPr>
      </w:pPr>
    </w:p>
    <w:p w14:paraId="26107D4B" w14:textId="77777777" w:rsidR="00CC09AC" w:rsidRPr="00ED63A2" w:rsidRDefault="00CC09AC" w:rsidP="00CC09AC">
      <w:pPr>
        <w:ind w:firstLine="720"/>
        <w:rPr>
          <w:b/>
          <w:i/>
        </w:rPr>
      </w:pPr>
      <w:r w:rsidRPr="00ED63A2">
        <w:rPr>
          <w:b/>
        </w:rPr>
        <w:t xml:space="preserve">Група А: </w:t>
      </w:r>
      <w:r w:rsidRPr="00ED63A2">
        <w:rPr>
          <w:b/>
          <w:i/>
        </w:rPr>
        <w:t>„Почивни дейности”</w:t>
      </w:r>
    </w:p>
    <w:p w14:paraId="61A35A52" w14:textId="77777777" w:rsidR="00CC09AC" w:rsidRPr="007B48E9" w:rsidRDefault="00CC09AC" w:rsidP="00CC09AC">
      <w:pPr>
        <w:rPr>
          <w:b/>
          <w:color w:val="0070C0"/>
          <w:sz w:val="12"/>
          <w:szCs w:val="12"/>
        </w:rPr>
      </w:pPr>
    </w:p>
    <w:p w14:paraId="52CCDED8" w14:textId="77777777" w:rsidR="00CC09AC" w:rsidRPr="00ED63A2" w:rsidRDefault="00CC09AC" w:rsidP="004E0377">
      <w:pPr>
        <w:ind w:firstLine="709"/>
        <w:jc w:val="both"/>
      </w:pPr>
      <w:r w:rsidRPr="00ED63A2">
        <w:t xml:space="preserve">Основната цел на публичните разходи и през 2022 г. за група „Почивни дейности” е подобряване условията за отдих на работещите. </w:t>
      </w:r>
      <w:r w:rsidRPr="00C1647D">
        <w:t>Предвидените със ЗДБРБ за 2022 г. разходи по</w:t>
      </w:r>
      <w:r w:rsidRPr="00C1647D">
        <w:rPr>
          <w:b/>
        </w:rPr>
        <w:t xml:space="preserve"> държавния бюджет</w:t>
      </w:r>
      <w:r w:rsidRPr="00C1647D">
        <w:t xml:space="preserve"> за тази група са в размер на 13,5 млн. лв. По отчет разходите за почивни дейности по държавния бюджет са в размер на 29,0 млн. лв., в т.ч. 27,5 млн. лв. текущи разходи. </w:t>
      </w:r>
      <w:r w:rsidRPr="00ED63A2">
        <w:t>Разходите са за осигуряване на материално техническата база на почивните станции към НС, МС, МФ, МО, МОСВ, Министерство на земеделието, МРРБ, БАН, БНТ, БНР и дейността на учебните и почивни бази на Прокуратурата, Върховния административен съд и Върховния касационен съд.</w:t>
      </w:r>
    </w:p>
    <w:p w14:paraId="188DE341" w14:textId="77777777" w:rsidR="00CC09AC" w:rsidRPr="006948BC" w:rsidRDefault="00CC09AC" w:rsidP="004E0377">
      <w:pPr>
        <w:ind w:firstLine="709"/>
        <w:jc w:val="both"/>
      </w:pPr>
      <w:r w:rsidRPr="006948BC">
        <w:t xml:space="preserve"> По </w:t>
      </w:r>
      <w:r w:rsidRPr="006948BC">
        <w:rPr>
          <w:b/>
        </w:rPr>
        <w:t>общинските бюджети</w:t>
      </w:r>
      <w:r w:rsidRPr="006948BC">
        <w:t xml:space="preserve"> за дейностите в групата са усвоени 3,1 млн. лв., основно текущи разходи.</w:t>
      </w:r>
    </w:p>
    <w:p w14:paraId="165405D7" w14:textId="77777777" w:rsidR="00CC09AC" w:rsidRPr="007B48E9" w:rsidRDefault="00CC09AC" w:rsidP="00CC09AC">
      <w:pPr>
        <w:ind w:firstLine="540"/>
        <w:rPr>
          <w:b/>
          <w:color w:val="0070C0"/>
        </w:rPr>
      </w:pPr>
    </w:p>
    <w:p w14:paraId="3070B8B0" w14:textId="77777777" w:rsidR="00CC09AC" w:rsidRPr="00291107" w:rsidRDefault="00CC09AC" w:rsidP="00CC09AC">
      <w:pPr>
        <w:ind w:firstLine="709"/>
        <w:rPr>
          <w:b/>
        </w:rPr>
      </w:pPr>
      <w:r w:rsidRPr="00291107">
        <w:rPr>
          <w:b/>
        </w:rPr>
        <w:t xml:space="preserve">Група Б: </w:t>
      </w:r>
      <w:r w:rsidRPr="00291107">
        <w:rPr>
          <w:b/>
          <w:i/>
        </w:rPr>
        <w:t>„Физическа култура и спорт”</w:t>
      </w:r>
    </w:p>
    <w:p w14:paraId="6F69F886" w14:textId="77777777" w:rsidR="00CC09AC" w:rsidRPr="007B48E9" w:rsidRDefault="00CC09AC" w:rsidP="00CC09AC">
      <w:pPr>
        <w:ind w:firstLine="709"/>
        <w:rPr>
          <w:b/>
          <w:color w:val="0070C0"/>
          <w:sz w:val="12"/>
          <w:szCs w:val="12"/>
        </w:rPr>
      </w:pPr>
    </w:p>
    <w:p w14:paraId="4F701C8C" w14:textId="77777777" w:rsidR="00CC09AC" w:rsidRPr="009A2AE6" w:rsidRDefault="00CC09AC" w:rsidP="00CC09AC">
      <w:pPr>
        <w:ind w:firstLine="709"/>
        <w:jc w:val="both"/>
      </w:pPr>
      <w:r w:rsidRPr="009A2AE6">
        <w:t xml:space="preserve">Отчетените разходи за група „Физическа култура и спорт” по бюджетите на </w:t>
      </w:r>
      <w:r w:rsidRPr="009A2AE6">
        <w:rPr>
          <w:b/>
        </w:rPr>
        <w:t>министерствата и ведомствата</w:t>
      </w:r>
      <w:r w:rsidRPr="009A2AE6">
        <w:rPr>
          <w:lang w:val="ru-RU"/>
        </w:rPr>
        <w:t xml:space="preserve"> </w:t>
      </w:r>
      <w:r w:rsidRPr="009A2AE6">
        <w:t>за 2022 г. са в размер на 65,6 млн. лв. Отчетените разходи са по бюджета на Министерството на младежта и спорта и представляват 91,3 % от разходите по уточнен план  (71,8 млн. лв.).</w:t>
      </w:r>
      <w:r>
        <w:t xml:space="preserve"> </w:t>
      </w:r>
      <w:r w:rsidRPr="009A2AE6">
        <w:t>По-ниската сума разходи по касов отчет 65,6</w:t>
      </w:r>
      <w:r>
        <w:t> </w:t>
      </w:r>
      <w:r w:rsidRPr="009A2AE6">
        <w:t>млн. лв. спрямо реално отчетените за периода разходи – 71,7 млн. лв., е в резултат от възстановени през 2022 г. средства в размер на 6,1 млн. лв. по сключени договори през предходните години, в т.ч.: 1,9 млн. лв. по договори за финансиране на спортни дейности и 4,2 млн. лв. по договори за изграждане на физкултурни салони в училища в страната (ПМС № 32 от 2020 г.). В процентно изражение реално отчетените разходите представляват 99,8</w:t>
      </w:r>
      <w:r>
        <w:t> </w:t>
      </w:r>
      <w:r w:rsidRPr="009A2AE6">
        <w:t>% от разходите по уточнен план и са с 12,9 млн. лв. повече спрямо отчетените разходи за 2021</w:t>
      </w:r>
      <w:r>
        <w:t> </w:t>
      </w:r>
      <w:r w:rsidRPr="009A2AE6">
        <w:t>г. или ръст от 21,9</w:t>
      </w:r>
      <w:r>
        <w:t xml:space="preserve"> </w:t>
      </w:r>
      <w:r w:rsidRPr="009A2AE6">
        <w:t>%.</w:t>
      </w:r>
    </w:p>
    <w:p w14:paraId="1B04080B" w14:textId="77777777" w:rsidR="00CC09AC" w:rsidRPr="00D24D54" w:rsidRDefault="00CC09AC" w:rsidP="00CC09AC">
      <w:pPr>
        <w:tabs>
          <w:tab w:val="left" w:pos="709"/>
        </w:tabs>
        <w:spacing w:before="120"/>
        <w:jc w:val="both"/>
      </w:pPr>
      <w:r w:rsidRPr="00D24D54">
        <w:t xml:space="preserve">Средствата по бюджета на ММС са усвоени за постигане на основните цели и приоритети по провежданите политики в областта на физическата култура и спорта: </w:t>
      </w:r>
    </w:p>
    <w:p w14:paraId="04B55807" w14:textId="77777777" w:rsidR="00CC09AC" w:rsidRPr="00D24D54" w:rsidRDefault="00CC09AC" w:rsidP="00BD39E0">
      <w:pPr>
        <w:numPr>
          <w:ilvl w:val="0"/>
          <w:numId w:val="51"/>
        </w:numPr>
        <w:tabs>
          <w:tab w:val="left" w:pos="851"/>
          <w:tab w:val="left" w:pos="1134"/>
        </w:tabs>
        <w:ind w:left="0" w:firstLine="851"/>
        <w:jc w:val="both"/>
      </w:pPr>
      <w:r w:rsidRPr="00D24D54">
        <w:t xml:space="preserve">развитие на спорта за учащи и спорта в свободното време – насърчаване на учащите към физическа активност и системно практикуване на физически упражнения и спорт; създаване на условия и възможности за двигателна активност и практикуването на спорта от всички;  </w:t>
      </w:r>
    </w:p>
    <w:p w14:paraId="3BFEC9B4" w14:textId="77777777" w:rsidR="00CC09AC" w:rsidRPr="00D24D54" w:rsidRDefault="00CC09AC" w:rsidP="00BD39E0">
      <w:pPr>
        <w:numPr>
          <w:ilvl w:val="0"/>
          <w:numId w:val="51"/>
        </w:numPr>
        <w:tabs>
          <w:tab w:val="left" w:pos="851"/>
          <w:tab w:val="left" w:pos="1134"/>
        </w:tabs>
        <w:ind w:left="0" w:firstLine="851"/>
        <w:jc w:val="both"/>
      </w:pPr>
      <w:r w:rsidRPr="00D24D54">
        <w:t>развитие и утвърждаване на спорта за високи постижения като средства за повишаване престижа на нацията;</w:t>
      </w:r>
    </w:p>
    <w:p w14:paraId="388CCAF8" w14:textId="77777777" w:rsidR="00CC09AC" w:rsidRPr="00D24D54" w:rsidRDefault="00CC09AC" w:rsidP="00BD39E0">
      <w:pPr>
        <w:numPr>
          <w:ilvl w:val="0"/>
          <w:numId w:val="51"/>
        </w:numPr>
        <w:tabs>
          <w:tab w:val="left" w:pos="1134"/>
        </w:tabs>
        <w:ind w:left="0" w:firstLine="851"/>
        <w:jc w:val="both"/>
      </w:pPr>
      <w:r w:rsidRPr="00D24D54">
        <w:t>реконструкция и модернизация на спортни обекти и съоръжения и привеждането им в съответствие с международните стандарти.</w:t>
      </w:r>
    </w:p>
    <w:p w14:paraId="0C535800" w14:textId="77777777" w:rsidR="00CC09AC" w:rsidRPr="00D24D54" w:rsidRDefault="00CC09AC" w:rsidP="00CC09AC">
      <w:pPr>
        <w:ind w:firstLine="743"/>
        <w:jc w:val="both"/>
      </w:pPr>
      <w:r w:rsidRPr="00D24D54">
        <w:t xml:space="preserve"> За периода по бюджета на ММС са отчетени </w:t>
      </w:r>
      <w:r w:rsidRPr="00D24D54">
        <w:rPr>
          <w:b/>
        </w:rPr>
        <w:t>текущи разходи</w:t>
      </w:r>
      <w:r w:rsidRPr="00D24D54">
        <w:t xml:space="preserve"> в размер на 70,3 млн. лв. От отчетените текущи разходи с най-голям относителен дял са разходите за финансиране на спортни дейности 94,3% /66,3 млн. лв./ – предоставени субсидии на юридически лица с нестопанска цел за подпомагане реализирането на дейности и проекти на спортни организации във връзка с развитието на физическото възпитание и спорта в страната. Средствата са изразходвани за реализиране на спортни дейности и проекти за развитие на спорта за учащи, спорта в свободното време и спорта за високи постижения.</w:t>
      </w:r>
    </w:p>
    <w:p w14:paraId="7463AB8C" w14:textId="77777777" w:rsidR="00CC09AC" w:rsidRPr="004E0377" w:rsidRDefault="00CC09AC" w:rsidP="00CC09AC">
      <w:pPr>
        <w:ind w:firstLine="743"/>
        <w:jc w:val="both"/>
        <w:rPr>
          <w:sz w:val="6"/>
        </w:rPr>
      </w:pPr>
    </w:p>
    <w:p w14:paraId="2EB918DD" w14:textId="77777777" w:rsidR="00CC09AC" w:rsidRPr="00D24D54" w:rsidRDefault="00CC09AC" w:rsidP="00BD39E0">
      <w:pPr>
        <w:numPr>
          <w:ilvl w:val="0"/>
          <w:numId w:val="35"/>
        </w:numPr>
        <w:tabs>
          <w:tab w:val="left" w:pos="709"/>
          <w:tab w:val="left" w:pos="1134"/>
        </w:tabs>
        <w:ind w:left="0" w:firstLine="709"/>
        <w:contextualSpacing/>
        <w:jc w:val="both"/>
      </w:pPr>
      <w:r w:rsidRPr="00D24D54">
        <w:rPr>
          <w:b/>
          <w:i/>
        </w:rPr>
        <w:t>За развитие на спорта за учащи и спорта в свободното време</w:t>
      </w:r>
      <w:r w:rsidRPr="00D24D54">
        <w:t xml:space="preserve"> са изразходени 5,0 млн. лв.:</w:t>
      </w:r>
    </w:p>
    <w:p w14:paraId="0DFBABA2" w14:textId="4D9AE1EE" w:rsidR="00CC09AC" w:rsidRPr="00D24D54" w:rsidRDefault="00CC09AC" w:rsidP="00BD39E0">
      <w:pPr>
        <w:numPr>
          <w:ilvl w:val="0"/>
          <w:numId w:val="52"/>
        </w:numPr>
        <w:tabs>
          <w:tab w:val="num" w:pos="0"/>
          <w:tab w:val="left" w:pos="993"/>
        </w:tabs>
        <w:ind w:left="0" w:firstLine="794"/>
        <w:jc w:val="both"/>
      </w:pPr>
      <w:r w:rsidRPr="00D24D54">
        <w:t xml:space="preserve">финансиране на програми за развитие на спорта в свободното време –  програми „Научи се да караш ски“, „Научи се да плуваш“, „Децата и спортния клуб“, </w:t>
      </w:r>
      <w:r w:rsidR="00F73C7D">
        <w:t>„</w:t>
      </w:r>
      <w:r w:rsidRPr="00D24D54">
        <w:t>Тенисът – спорт за всички“ „Децата и бадминтона“, „Програма за развитие на детската лека атлетика в България“  – 1,4 млн. лв.;</w:t>
      </w:r>
    </w:p>
    <w:p w14:paraId="0AF4150F" w14:textId="77777777" w:rsidR="00CC09AC" w:rsidRPr="00D24D54" w:rsidRDefault="00CC09AC" w:rsidP="00BD39E0">
      <w:pPr>
        <w:numPr>
          <w:ilvl w:val="0"/>
          <w:numId w:val="52"/>
        </w:numPr>
        <w:tabs>
          <w:tab w:val="left" w:pos="993"/>
        </w:tabs>
        <w:ind w:left="0" w:firstLine="794"/>
        <w:contextualSpacing/>
      </w:pPr>
      <w:r w:rsidRPr="00D24D54">
        <w:t>финансиране на проекти на спортни организации по програма „Спорт за децата в свободното време“ – 0,6 млн. лв.;</w:t>
      </w:r>
    </w:p>
    <w:p w14:paraId="50D8A48F" w14:textId="77777777" w:rsidR="00CC09AC" w:rsidRPr="00D24D54" w:rsidRDefault="00CC09AC" w:rsidP="00BD39E0">
      <w:pPr>
        <w:numPr>
          <w:ilvl w:val="0"/>
          <w:numId w:val="52"/>
        </w:numPr>
        <w:tabs>
          <w:tab w:val="left" w:pos="993"/>
        </w:tabs>
        <w:ind w:left="0" w:firstLine="851"/>
        <w:contextualSpacing/>
        <w:jc w:val="both"/>
      </w:pPr>
      <w:r w:rsidRPr="00D24D54">
        <w:t xml:space="preserve"> подпомагане реализирането на проекти по програма „Спорт за деца в риск“, проекти на спортни организации за развитие на ученическия и студентския спорт по програма  „Развитие на спорта за учащите“ и за организиране и провеждане на ученически игри за специалните училища – 0,4 млн. лв.;</w:t>
      </w:r>
    </w:p>
    <w:p w14:paraId="222DE010" w14:textId="77777777" w:rsidR="00CC09AC" w:rsidRPr="00D24D54" w:rsidRDefault="00CC09AC" w:rsidP="00BD39E0">
      <w:pPr>
        <w:numPr>
          <w:ilvl w:val="0"/>
          <w:numId w:val="52"/>
        </w:numPr>
        <w:tabs>
          <w:tab w:val="left" w:pos="993"/>
        </w:tabs>
        <w:ind w:left="0" w:firstLine="794"/>
        <w:contextualSpacing/>
        <w:jc w:val="both"/>
      </w:pPr>
      <w:r>
        <w:t>финансиране на проекти по „</w:t>
      </w:r>
      <w:r w:rsidRPr="00D24D54">
        <w:t>Програма за развитие на спорта за хора с увреждания“ – 1,7 млн. лв.;</w:t>
      </w:r>
    </w:p>
    <w:p w14:paraId="54F97EAF" w14:textId="77777777" w:rsidR="00CC09AC" w:rsidRPr="00D24D54" w:rsidRDefault="00CC09AC" w:rsidP="00BD39E0">
      <w:pPr>
        <w:numPr>
          <w:ilvl w:val="0"/>
          <w:numId w:val="52"/>
        </w:numPr>
        <w:tabs>
          <w:tab w:val="left" w:pos="993"/>
        </w:tabs>
        <w:ind w:left="0" w:firstLine="794"/>
        <w:contextualSpacing/>
        <w:jc w:val="both"/>
      </w:pPr>
      <w:r w:rsidRPr="00D24D54">
        <w:t xml:space="preserve"> осигуряване на възможности за физическа активност, спортно-състезателна дейност и спортни резултати по „Програма за развитие на спорта за всички“ – финансово подпомагане  на дейността на 6 многоспортови федерации – 0,9 млн. лв.</w:t>
      </w:r>
    </w:p>
    <w:p w14:paraId="027DD43F" w14:textId="77777777" w:rsidR="00CC09AC" w:rsidRPr="00D24D54" w:rsidRDefault="00CC09AC" w:rsidP="00CC09AC">
      <w:pPr>
        <w:tabs>
          <w:tab w:val="left" w:pos="993"/>
        </w:tabs>
        <w:ind w:left="794"/>
        <w:contextualSpacing/>
        <w:jc w:val="both"/>
      </w:pPr>
      <w:r w:rsidRPr="00D24D54">
        <w:t>/Възстановени средства от спортни организации – 0,8 млн. лв./.</w:t>
      </w:r>
    </w:p>
    <w:p w14:paraId="3044321B" w14:textId="77777777" w:rsidR="00CC09AC" w:rsidRPr="00D24D54" w:rsidRDefault="00CC09AC" w:rsidP="00BD39E0">
      <w:pPr>
        <w:numPr>
          <w:ilvl w:val="0"/>
          <w:numId w:val="35"/>
        </w:numPr>
        <w:spacing w:before="120"/>
        <w:ind w:left="1134" w:hanging="425"/>
        <w:jc w:val="both"/>
      </w:pPr>
      <w:r w:rsidRPr="00D24D54">
        <w:rPr>
          <w:b/>
          <w:i/>
        </w:rPr>
        <w:t>За развитие на спорта за високи постижения</w:t>
      </w:r>
      <w:r w:rsidRPr="00D24D54">
        <w:t xml:space="preserve"> са изразходени  61,3 млн. лв.: </w:t>
      </w:r>
    </w:p>
    <w:p w14:paraId="4342F8A6" w14:textId="77777777" w:rsidR="00CC09AC" w:rsidRPr="00D24D54" w:rsidRDefault="00CC09AC" w:rsidP="00BD39E0">
      <w:pPr>
        <w:numPr>
          <w:ilvl w:val="0"/>
          <w:numId w:val="52"/>
        </w:numPr>
        <w:tabs>
          <w:tab w:val="left" w:pos="993"/>
        </w:tabs>
        <w:ind w:left="0" w:firstLine="795"/>
        <w:contextualSpacing/>
        <w:jc w:val="both"/>
      </w:pPr>
      <w:r w:rsidRPr="00D24D54">
        <w:t>предоставено финансиране на спортни организации по договори за развитието на елитния спорт и за реализирането на други дейности в областта на спорта за високи постижения – 22,5 млн. лв.;</w:t>
      </w:r>
    </w:p>
    <w:p w14:paraId="7B49C3AE" w14:textId="77777777" w:rsidR="00CC09AC" w:rsidRPr="00D24D54" w:rsidRDefault="00CC09AC" w:rsidP="00BD39E0">
      <w:pPr>
        <w:numPr>
          <w:ilvl w:val="0"/>
          <w:numId w:val="52"/>
        </w:numPr>
        <w:tabs>
          <w:tab w:val="left" w:pos="993"/>
        </w:tabs>
        <w:ind w:left="0" w:firstLine="795"/>
        <w:contextualSpacing/>
        <w:jc w:val="both"/>
      </w:pPr>
      <w:r w:rsidRPr="00D24D54">
        <w:t xml:space="preserve">финансиране на дейности по програма </w:t>
      </w:r>
      <w:r>
        <w:t>„</w:t>
      </w:r>
      <w:r w:rsidRPr="00D24D54">
        <w:t>Олимпийска подготовка, развитие на елитния спорт и развитие на олимпийския резерв</w:t>
      </w:r>
      <w:r>
        <w:t>“</w:t>
      </w:r>
      <w:r w:rsidRPr="00D24D54">
        <w:t xml:space="preserve"> – 12,7 млн. лв. ;</w:t>
      </w:r>
    </w:p>
    <w:p w14:paraId="57E4E012" w14:textId="77777777" w:rsidR="00CC09AC" w:rsidRPr="00D24D54" w:rsidRDefault="00CC09AC" w:rsidP="00BD39E0">
      <w:pPr>
        <w:numPr>
          <w:ilvl w:val="0"/>
          <w:numId w:val="52"/>
        </w:numPr>
        <w:tabs>
          <w:tab w:val="left" w:pos="993"/>
        </w:tabs>
        <w:ind w:left="0" w:firstLine="795"/>
        <w:contextualSpacing/>
        <w:jc w:val="both"/>
      </w:pPr>
      <w:r w:rsidRPr="00D24D54">
        <w:t>финансово подпомагане на дейността на спортните клубове за развитие на спорта – 13,1 млн. лв.;</w:t>
      </w:r>
    </w:p>
    <w:p w14:paraId="0275081B" w14:textId="77777777" w:rsidR="00CC09AC" w:rsidRPr="00D24D54" w:rsidRDefault="00CC09AC" w:rsidP="00BD39E0">
      <w:pPr>
        <w:numPr>
          <w:ilvl w:val="0"/>
          <w:numId w:val="52"/>
        </w:numPr>
        <w:tabs>
          <w:tab w:val="left" w:pos="993"/>
        </w:tabs>
        <w:ind w:left="0" w:firstLine="795"/>
        <w:contextualSpacing/>
        <w:jc w:val="both"/>
      </w:pPr>
      <w:r w:rsidRPr="00D24D54">
        <w:t>подпомагане организирането и провеждането на световни и европейски първенства на територията на Република България, включени в международния спортен календар – 10,0 млн. лв.;</w:t>
      </w:r>
      <w:r w:rsidRPr="00D24D54">
        <w:tab/>
        <w:t xml:space="preserve">   </w:t>
      </w:r>
    </w:p>
    <w:p w14:paraId="5EC4A70F" w14:textId="77777777" w:rsidR="00CC09AC" w:rsidRPr="00D24D54" w:rsidRDefault="00CC09AC" w:rsidP="00BD39E0">
      <w:pPr>
        <w:numPr>
          <w:ilvl w:val="0"/>
          <w:numId w:val="52"/>
        </w:numPr>
        <w:tabs>
          <w:tab w:val="left" w:pos="993"/>
        </w:tabs>
        <w:ind w:left="0" w:firstLine="795"/>
        <w:contextualSpacing/>
        <w:jc w:val="both"/>
      </w:pPr>
      <w:r w:rsidRPr="00D24D54">
        <w:t>участие на българските делегации на Олимпийските и паралимпийски игри в Пекин и участие в Европейски младежки олимпийски фестивали по олимпийски спортове и национални олимпийски фестивали – 1,3 млн. лв.;</w:t>
      </w:r>
    </w:p>
    <w:p w14:paraId="3949CD95" w14:textId="77777777" w:rsidR="00CC09AC" w:rsidRPr="00D24D54" w:rsidRDefault="00CC09AC" w:rsidP="00BD39E0">
      <w:pPr>
        <w:numPr>
          <w:ilvl w:val="0"/>
          <w:numId w:val="52"/>
        </w:numPr>
        <w:tabs>
          <w:tab w:val="left" w:pos="993"/>
        </w:tabs>
        <w:ind w:left="0" w:firstLine="795"/>
        <w:contextualSpacing/>
        <w:jc w:val="both"/>
      </w:pPr>
      <w:r w:rsidRPr="00D24D54">
        <w:t xml:space="preserve">осигурено финансиране за кадрово осигуряване на спортните клубове и за социално подпомагане и лечение на спортисти – 1,7 млн. лв.  </w:t>
      </w:r>
    </w:p>
    <w:p w14:paraId="5F60A385" w14:textId="77777777" w:rsidR="00CC09AC" w:rsidRPr="00D24D54" w:rsidRDefault="00CC09AC" w:rsidP="00CC09AC">
      <w:pPr>
        <w:tabs>
          <w:tab w:val="left" w:pos="1134"/>
        </w:tabs>
        <w:ind w:firstLine="795"/>
        <w:contextualSpacing/>
        <w:jc w:val="both"/>
      </w:pPr>
      <w:r w:rsidRPr="00D24D54">
        <w:t>/Възстановени средства от спортни организации – 0,6 млн. лв./.</w:t>
      </w:r>
    </w:p>
    <w:p w14:paraId="196E0FB8" w14:textId="77777777" w:rsidR="00CC09AC" w:rsidRPr="00D24D54" w:rsidRDefault="00CC09AC" w:rsidP="00CC09AC">
      <w:pPr>
        <w:ind w:firstLine="795"/>
        <w:jc w:val="both"/>
      </w:pPr>
      <w:r w:rsidRPr="00D24D54">
        <w:t xml:space="preserve">Разликата до общата сума на текущите разходи – 4,0 млн. лв., е усвоена за:  награди на спортисти, медалисти и призьори от европейски и световни първенства, олимпийски игри и аналогични игри и първенства за хора с увреждания за постигнатите от тях спортни резултати и класирания, награди на треньори – 3,8 млн. лв.; разходи за персонал, издръжка и др. текущи разходи – 0,2 млн. лв. </w:t>
      </w:r>
    </w:p>
    <w:p w14:paraId="2E5DB6A0" w14:textId="77777777" w:rsidR="00CC09AC" w:rsidRPr="00D24D54" w:rsidRDefault="00CC09AC" w:rsidP="00CC09AC">
      <w:pPr>
        <w:ind w:firstLine="708"/>
        <w:jc w:val="both"/>
      </w:pPr>
      <w:r w:rsidRPr="00D24D54">
        <w:t xml:space="preserve">За 2022 г. по бюджета на ММС  в група „Физическа култура и спорт“ са отчетени </w:t>
      </w:r>
      <w:r w:rsidRPr="00D24D54">
        <w:rPr>
          <w:b/>
        </w:rPr>
        <w:t>капиталови разходи</w:t>
      </w:r>
      <w:r w:rsidRPr="00D24D54">
        <w:t xml:space="preserve"> в размер на 1,3 млн. лв., в т.ч.: 0,2 млн. лв. за придобиване на дълготрайни материални активи и 1,1 млн. лв. предоставени трансфери на организации с нестопанска цел за основен ремонт и обновяване на спортни обекти.</w:t>
      </w:r>
    </w:p>
    <w:p w14:paraId="5C33D51E" w14:textId="77777777" w:rsidR="00CC09AC" w:rsidRPr="00D24D54" w:rsidRDefault="00CC09AC" w:rsidP="00CC09AC">
      <w:pPr>
        <w:ind w:firstLine="708"/>
        <w:jc w:val="both"/>
      </w:pPr>
      <w:r w:rsidRPr="00D24D54">
        <w:t>/Възстановени средства в размер на 4,2 млн. лв. за минал период от време – по сключени договори през 2020 г. за изграждане и оборудване на физкултурни салони в училища в страната (ПМС № 32 от 2020 г.)/.</w:t>
      </w:r>
    </w:p>
    <w:p w14:paraId="4B83B431" w14:textId="77777777" w:rsidR="00CC09AC" w:rsidRPr="007B48E9" w:rsidRDefault="00CC09AC" w:rsidP="00CC09AC">
      <w:pPr>
        <w:ind w:firstLine="709"/>
        <w:jc w:val="both"/>
        <w:rPr>
          <w:color w:val="0070C0"/>
        </w:rPr>
      </w:pPr>
      <w:r w:rsidRPr="00D24D54">
        <w:t>С реализираните дейности са постигнати основните цели по провежданите от ММС политики в областта на спорта за високи постижения, издигане на спортния престиж на нацията, за развитието на спорта за учащи и спорта в свободното време, и за привеждането на спортните обекти и съоръжения във вид, отговарящ на съвременните международни стандарти.</w:t>
      </w:r>
    </w:p>
    <w:p w14:paraId="16A4A2E8" w14:textId="54E52B38" w:rsidR="00CC09AC" w:rsidRPr="007B48E9" w:rsidRDefault="00CC09AC" w:rsidP="00CC09AC">
      <w:pPr>
        <w:spacing w:before="120"/>
        <w:ind w:firstLine="709"/>
        <w:jc w:val="both"/>
        <w:rPr>
          <w:color w:val="0070C0"/>
        </w:rPr>
      </w:pPr>
      <w:r w:rsidRPr="00ED4074">
        <w:rPr>
          <w:b/>
        </w:rPr>
        <w:t>По бюджетите на общините</w:t>
      </w:r>
      <w:r w:rsidRPr="00ED4074">
        <w:t xml:space="preserve"> за група </w:t>
      </w:r>
      <w:r w:rsidR="007B5E79">
        <w:t>„</w:t>
      </w:r>
      <w:r w:rsidRPr="00ED4074">
        <w:t>Физическа култура и спорт” са усвоени средства</w:t>
      </w:r>
      <w:r w:rsidRPr="00ED4074">
        <w:rPr>
          <w:b/>
        </w:rPr>
        <w:t xml:space="preserve"> </w:t>
      </w:r>
      <w:r w:rsidRPr="00ED4074">
        <w:t xml:space="preserve">в размер на 144,6 млн. лв., при планирани 77,6 млн. лв. В групата – за </w:t>
      </w:r>
      <w:r w:rsidRPr="00ED4074">
        <w:rPr>
          <w:i/>
        </w:rPr>
        <w:t>делегираните от държавата дейности</w:t>
      </w:r>
      <w:r w:rsidRPr="00ED4074">
        <w:t xml:space="preserve"> са отчетени текущи разходи в размер на 3,4 млн. лв., които представляват предоставени целеви средства от централния бюджет на общините за подпомагане на физкултурата и спорта в общинските детски градини и училища, в изпълнение на ПМС № 223 от 20</w:t>
      </w:r>
      <w:r w:rsidRPr="00ED4074">
        <w:rPr>
          <w:lang w:val="ru-RU"/>
        </w:rPr>
        <w:t>22</w:t>
      </w:r>
      <w:r w:rsidRPr="00ED4074">
        <w:t xml:space="preserve"> г. за одобряване на допълнителни разходи/трансфери за 2022 г. за изплащане на минимални диференцирани размери на паричните средства за физическа активност, физическо възпитание, спорт и спортно-туристическа дейност. По отчетни данни за 2022 г. общините са дофинансирали държавните дейности със собствени приходи общо в размер на 0,4 млн. лева</w:t>
      </w:r>
      <w:r w:rsidRPr="007B48E9">
        <w:rPr>
          <w:color w:val="0070C0"/>
        </w:rPr>
        <w:t xml:space="preserve">. </w:t>
      </w:r>
    </w:p>
    <w:p w14:paraId="450A4F5C" w14:textId="77777777" w:rsidR="00CC09AC" w:rsidRPr="009A4E81" w:rsidRDefault="00CC09AC" w:rsidP="00CC09AC">
      <w:pPr>
        <w:ind w:firstLine="709"/>
        <w:jc w:val="both"/>
      </w:pPr>
      <w:r w:rsidRPr="009A4E81">
        <w:t xml:space="preserve">В </w:t>
      </w:r>
      <w:r w:rsidRPr="009A4E81">
        <w:rPr>
          <w:i/>
        </w:rPr>
        <w:t>местните дейности</w:t>
      </w:r>
      <w:r w:rsidRPr="009A4E81">
        <w:t xml:space="preserve"> в групата са отчетени текущи разходи в размер на 90,9 млн. лв. или с 47,9 млн. лв. повече спрямо закона, което се дължи предимно на отчета на предоставените субсидии от общините на спортни клубове и организации. Спрямо отчетените за 2021 г., текущите разходи се увеличават с 14,5 млн. лв. Тук се включват разходите за издръжка на детски и специализирани спортни школи, спортни бази за спорт за всички. </w:t>
      </w:r>
    </w:p>
    <w:p w14:paraId="3793554A" w14:textId="77777777" w:rsidR="00CC09AC" w:rsidRPr="007B48E9" w:rsidRDefault="00CC09AC" w:rsidP="00CC09AC">
      <w:pPr>
        <w:ind w:firstLine="709"/>
        <w:jc w:val="both"/>
        <w:rPr>
          <w:color w:val="0070C0"/>
        </w:rPr>
      </w:pPr>
      <w:r w:rsidRPr="009A4E81">
        <w:t>Отчетените общо капиталови разходи по групата са в размер на 49,9 млн. лв., които са основно за местни дейности</w:t>
      </w:r>
      <w:r w:rsidRPr="007B48E9">
        <w:rPr>
          <w:color w:val="0070C0"/>
        </w:rPr>
        <w:t xml:space="preserve">. </w:t>
      </w:r>
    </w:p>
    <w:p w14:paraId="2A3BBBB2" w14:textId="77777777" w:rsidR="00CC09AC" w:rsidRPr="00B553EA" w:rsidRDefault="00CC09AC" w:rsidP="00CC09AC">
      <w:pPr>
        <w:spacing w:before="120"/>
        <w:ind w:firstLine="709"/>
        <w:jc w:val="both"/>
      </w:pPr>
      <w:r w:rsidRPr="0066430D">
        <w:rPr>
          <w:b/>
        </w:rPr>
        <w:t>Европейски средства</w:t>
      </w:r>
      <w:r w:rsidRPr="0066430D">
        <w:t xml:space="preserve"> – в групата са изразходвани 3,9 млн. лв., от които </w:t>
      </w:r>
      <w:r w:rsidRPr="00B553EA">
        <w:t xml:space="preserve">2,8 млн. лв. са средствата,  отпуснати от ДФЗ-РА за общините (в качеството им на бенефициенти) и 1,1 млн. лв. са разходи по др. програми и проекти, финансирани от фондове и институции на ЕС.  </w:t>
      </w:r>
    </w:p>
    <w:p w14:paraId="509C5DE6" w14:textId="77777777" w:rsidR="00CC09AC" w:rsidRPr="00B1555B" w:rsidRDefault="00CC09AC" w:rsidP="00CC09AC">
      <w:pPr>
        <w:spacing w:before="240" w:after="120"/>
        <w:ind w:firstLine="709"/>
        <w:rPr>
          <w:b/>
        </w:rPr>
      </w:pPr>
      <w:r w:rsidRPr="00B1555B">
        <w:rPr>
          <w:b/>
        </w:rPr>
        <w:t xml:space="preserve">Група В: </w:t>
      </w:r>
      <w:r w:rsidRPr="00B1555B">
        <w:rPr>
          <w:b/>
          <w:i/>
        </w:rPr>
        <w:t>„Култура”</w:t>
      </w:r>
    </w:p>
    <w:p w14:paraId="19CB3047" w14:textId="77777777" w:rsidR="00CC09AC" w:rsidRPr="007B48E9" w:rsidRDefault="00CC09AC" w:rsidP="00CC09AC">
      <w:pPr>
        <w:autoSpaceDE w:val="0"/>
        <w:autoSpaceDN w:val="0"/>
        <w:adjustRightInd w:val="0"/>
        <w:spacing w:before="120" w:after="120"/>
        <w:ind w:firstLine="709"/>
        <w:jc w:val="both"/>
        <w:rPr>
          <w:color w:val="0070C0"/>
        </w:rPr>
      </w:pPr>
      <w:r w:rsidRPr="00B1555B">
        <w:t xml:space="preserve">Разходите за 2022 г. за група „Култура” по КФП са 897,7 млн. лв., отчетени основно по следните бюджетни системи: държавен бюджет, бюджетите на общините и бюджетите на БНТ и БНР. Основните цели на публичните разходи в областта на културата са насочени към създаване условия за устойчиво развитие на българската култура и изкуство, опазване на културно-историческото наследство, популяризиране достиженията на българските творци и повишаване конкурентоспособността на културния продукт. </w:t>
      </w:r>
    </w:p>
    <w:p w14:paraId="2307C09A" w14:textId="77777777" w:rsidR="00CC09AC" w:rsidRPr="007B48E9" w:rsidRDefault="00CC09AC" w:rsidP="00CC09AC">
      <w:pPr>
        <w:ind w:firstLine="709"/>
        <w:jc w:val="both"/>
        <w:rPr>
          <w:color w:val="0070C0"/>
        </w:rPr>
      </w:pPr>
      <w:r w:rsidRPr="00B1555B">
        <w:t xml:space="preserve">Общо предвидените със ЗДБРБ за 2022 г. разходи за група “Култура” по бюджетите на </w:t>
      </w:r>
      <w:r w:rsidRPr="00B1555B">
        <w:rPr>
          <w:b/>
        </w:rPr>
        <w:t xml:space="preserve">министерствата и ведомствата </w:t>
      </w:r>
      <w:r w:rsidRPr="00B1555B">
        <w:t>са в размер на 284,1 млн. лв., в т.ч. капиталови разходи – 55,0 млн. лв. Средствата са предназначени за финансиране на част от дейностите за култура на Министерство на културата, на Държавна агенция „Архиви” към Министерски съвет, на Министерство на външните работи, Министерство на отбраната и Министерство на образованието и науката. Отчетените разходи са 271,1 млн. лв., в т.ч. капиталови разходи – 12,5 млн. лева.</w:t>
      </w:r>
    </w:p>
    <w:p w14:paraId="7B749F3F" w14:textId="77777777" w:rsidR="00CC09AC" w:rsidRPr="00D24D54" w:rsidRDefault="00CC09AC" w:rsidP="00CC09AC">
      <w:pPr>
        <w:ind w:firstLine="709"/>
        <w:jc w:val="both"/>
        <w:rPr>
          <w:color w:val="000000" w:themeColor="text1"/>
        </w:rPr>
      </w:pPr>
      <w:r w:rsidRPr="00D24D54">
        <w:rPr>
          <w:color w:val="000000" w:themeColor="text1"/>
        </w:rPr>
        <w:t xml:space="preserve">Чрез бюджета на </w:t>
      </w:r>
      <w:r w:rsidRPr="003B0C87">
        <w:rPr>
          <w:b/>
          <w:i/>
          <w:color w:val="000000" w:themeColor="text1"/>
        </w:rPr>
        <w:t>Министерството на културата</w:t>
      </w:r>
      <w:r w:rsidRPr="00D24D54">
        <w:rPr>
          <w:color w:val="000000" w:themeColor="text1"/>
        </w:rPr>
        <w:t xml:space="preserve"> се финансират основните системи в областта на културата, като отчетените разходи са в размер на 254,6 млн. лв. и включват управление, контрол и регулиране на дейностите по културата, които обхващат дейността на Националния институт за недвижимо културно наследство и Изпълнителна агенция ”Национален филмов център”, дейности в областта на развитие на културата - „Национален фонд Култура”, дейности в областта на международно културно сътрудничество, осъществявани от българските културни институти в чужбина, дейности в областта на театрално изкуство, осъществявани от драматичните и куклени театри, дейности в областта на музикалното и танцовото изкуство, осъществявани от оперно-филхармонични дружества, опери и оркестри и ансамбли, дейности в областта на музейното дело, осъществявани от музеи и галерии, дейности в областта на българския книжен сектор, дейности в областта на популяризиране на българската култура и участия в международни фестивали и конкурси.</w:t>
      </w:r>
    </w:p>
    <w:p w14:paraId="440E22C8" w14:textId="77777777" w:rsidR="00CC09AC" w:rsidRPr="00D24D54" w:rsidRDefault="00CC09AC" w:rsidP="00CC09AC">
      <w:pPr>
        <w:ind w:firstLine="709"/>
        <w:jc w:val="both"/>
        <w:rPr>
          <w:color w:val="000000" w:themeColor="text1"/>
        </w:rPr>
      </w:pPr>
      <w:r w:rsidRPr="00D24D54">
        <w:rPr>
          <w:color w:val="000000" w:themeColor="text1"/>
        </w:rPr>
        <w:t xml:space="preserve">Отчетените разходи за култура в размер на 9,0 млн. лв. от </w:t>
      </w:r>
      <w:r w:rsidRPr="003B0C87">
        <w:rPr>
          <w:b/>
          <w:i/>
          <w:color w:val="000000" w:themeColor="text1"/>
        </w:rPr>
        <w:t>Държавна агенция „Архиви”</w:t>
      </w:r>
      <w:r w:rsidRPr="00D24D54">
        <w:rPr>
          <w:color w:val="000000" w:themeColor="text1"/>
        </w:rPr>
        <w:t>, второстепенен разпоредител с бюджет към Министерския съвет, са за дейностите по съхраняване и обработка на архивни документи.</w:t>
      </w:r>
    </w:p>
    <w:p w14:paraId="6D5925E6" w14:textId="77777777" w:rsidR="00CC09AC" w:rsidRPr="00D24D54" w:rsidRDefault="00CC09AC" w:rsidP="00CC09AC">
      <w:pPr>
        <w:ind w:firstLine="709"/>
        <w:jc w:val="both"/>
        <w:rPr>
          <w:color w:val="000000" w:themeColor="text1"/>
        </w:rPr>
      </w:pPr>
      <w:r w:rsidRPr="00D24D54">
        <w:rPr>
          <w:color w:val="000000" w:themeColor="text1"/>
        </w:rPr>
        <w:t xml:space="preserve">За популяризиране на българската култура, осъществявана от културния институт към </w:t>
      </w:r>
      <w:r w:rsidRPr="003B0C87">
        <w:rPr>
          <w:b/>
          <w:i/>
          <w:color w:val="000000" w:themeColor="text1"/>
        </w:rPr>
        <w:t>Министерство на външните работи</w:t>
      </w:r>
      <w:r w:rsidRPr="00D24D54">
        <w:rPr>
          <w:color w:val="000000" w:themeColor="text1"/>
        </w:rPr>
        <w:t>, са отчетени разходи в размер на 0,4 млн. лева.</w:t>
      </w:r>
    </w:p>
    <w:p w14:paraId="100FE131" w14:textId="77777777" w:rsidR="00CC09AC" w:rsidRPr="00D24D54" w:rsidRDefault="00CC09AC" w:rsidP="00CC09AC">
      <w:pPr>
        <w:ind w:firstLine="709"/>
        <w:jc w:val="both"/>
        <w:rPr>
          <w:color w:val="000000" w:themeColor="text1"/>
        </w:rPr>
      </w:pPr>
      <w:r w:rsidRPr="00D24D54">
        <w:rPr>
          <w:color w:val="000000" w:themeColor="text1"/>
        </w:rPr>
        <w:t xml:space="preserve">За съхраняване историята на образованието по бюджета на </w:t>
      </w:r>
      <w:r w:rsidRPr="003B0C87">
        <w:rPr>
          <w:b/>
          <w:i/>
          <w:color w:val="000000" w:themeColor="text1"/>
        </w:rPr>
        <w:t>Министерство на образованието и науката</w:t>
      </w:r>
      <w:r w:rsidRPr="00D24D54">
        <w:rPr>
          <w:color w:val="000000" w:themeColor="text1"/>
        </w:rPr>
        <w:t xml:space="preserve"> са направени разходи в размер на 0,3 млн. лева.</w:t>
      </w:r>
    </w:p>
    <w:p w14:paraId="4C3ED95C" w14:textId="77777777" w:rsidR="00CC09AC" w:rsidRPr="00D24D54" w:rsidRDefault="00CC09AC" w:rsidP="004E0377">
      <w:pPr>
        <w:ind w:firstLine="709"/>
        <w:jc w:val="both"/>
        <w:rPr>
          <w:color w:val="000000" w:themeColor="text1"/>
        </w:rPr>
      </w:pPr>
      <w:r w:rsidRPr="00D24D54">
        <w:rPr>
          <w:color w:val="000000" w:themeColor="text1"/>
        </w:rPr>
        <w:t xml:space="preserve">Отчетените разходи по група „Култура“ по бюджета на </w:t>
      </w:r>
      <w:r w:rsidRPr="003B0C87">
        <w:rPr>
          <w:b/>
          <w:i/>
          <w:color w:val="000000" w:themeColor="text1"/>
        </w:rPr>
        <w:t>Министерството на отбраната</w:t>
      </w:r>
      <w:r w:rsidRPr="00D24D54">
        <w:rPr>
          <w:color w:val="000000" w:themeColor="text1"/>
        </w:rPr>
        <w:t xml:space="preserve"> са в размер на 6,8 млн. лв. Средствата са използвани за Националния военно исторически музей, Ансамбъла на българската армия и Военния телевизионен канал.</w:t>
      </w:r>
    </w:p>
    <w:p w14:paraId="22257FFB" w14:textId="2A8E5C13" w:rsidR="00CC09AC" w:rsidRPr="00D24D54" w:rsidRDefault="00CC09AC" w:rsidP="004E0377">
      <w:pPr>
        <w:spacing w:before="120"/>
        <w:ind w:firstLine="709"/>
        <w:jc w:val="both"/>
        <w:rPr>
          <w:color w:val="000000" w:themeColor="text1"/>
        </w:rPr>
      </w:pPr>
      <w:r w:rsidRPr="00D24D54">
        <w:rPr>
          <w:color w:val="000000" w:themeColor="text1"/>
        </w:rPr>
        <w:t xml:space="preserve">Разходите по бюджета на </w:t>
      </w:r>
      <w:r w:rsidRPr="00D24D54">
        <w:rPr>
          <w:b/>
          <w:color w:val="000000" w:themeColor="text1"/>
        </w:rPr>
        <w:t>Българската академия на науките</w:t>
      </w:r>
      <w:r w:rsidRPr="00D24D54">
        <w:rPr>
          <w:color w:val="000000" w:themeColor="text1"/>
        </w:rPr>
        <w:t xml:space="preserve"> по функция </w:t>
      </w:r>
      <w:r w:rsidR="008603B1">
        <w:rPr>
          <w:color w:val="000000" w:themeColor="text1"/>
        </w:rPr>
        <w:t>„</w:t>
      </w:r>
      <w:r w:rsidRPr="00D24D54">
        <w:rPr>
          <w:color w:val="000000" w:themeColor="text1"/>
        </w:rPr>
        <w:t>Култура“ в размер на 5,8 млн. лв. са извършени за Института по експериментална морфология, патология и антропология с Националния природонаучен музей и Института за етнология и фолклористика с Етнографски музей.</w:t>
      </w:r>
    </w:p>
    <w:p w14:paraId="13AB86B2" w14:textId="77777777" w:rsidR="00CC09AC" w:rsidRPr="00D24D54" w:rsidRDefault="00CC09AC" w:rsidP="004E0377">
      <w:pPr>
        <w:ind w:firstLine="709"/>
        <w:jc w:val="both"/>
        <w:rPr>
          <w:color w:val="000000" w:themeColor="text1"/>
          <w:lang w:eastAsia="en-US"/>
        </w:rPr>
      </w:pPr>
      <w:r w:rsidRPr="00D24D54">
        <w:rPr>
          <w:color w:val="000000" w:themeColor="text1"/>
        </w:rPr>
        <w:t xml:space="preserve">Отчетените разходи на </w:t>
      </w:r>
      <w:r w:rsidRPr="00D24D54">
        <w:rPr>
          <w:b/>
          <w:color w:val="000000" w:themeColor="text1"/>
        </w:rPr>
        <w:t xml:space="preserve">Българската национална телевизия </w:t>
      </w:r>
      <w:r w:rsidRPr="00D24D54">
        <w:rPr>
          <w:color w:val="000000" w:themeColor="text1"/>
        </w:rPr>
        <w:t>в размер на 93,</w:t>
      </w:r>
      <w:r>
        <w:rPr>
          <w:color w:val="000000" w:themeColor="text1"/>
        </w:rPr>
        <w:t>1</w:t>
      </w:r>
      <w:r w:rsidRPr="00D24D54">
        <w:rPr>
          <w:color w:val="000000" w:themeColor="text1"/>
        </w:rPr>
        <w:t xml:space="preserve"> млн. лв. са за </w:t>
      </w:r>
      <w:r w:rsidRPr="00D24D54">
        <w:rPr>
          <w:color w:val="000000" w:themeColor="text1"/>
          <w:lang w:eastAsia="en-US"/>
        </w:rPr>
        <w:t>подготовка, създаване и разпространение на национални, сателитната и регионални програми.</w:t>
      </w:r>
    </w:p>
    <w:p w14:paraId="365B0B38" w14:textId="77777777" w:rsidR="00CC09AC" w:rsidRPr="00D24D54" w:rsidRDefault="00CC09AC" w:rsidP="004E0377">
      <w:pPr>
        <w:tabs>
          <w:tab w:val="num" w:pos="720"/>
        </w:tabs>
        <w:ind w:firstLine="709"/>
        <w:jc w:val="both"/>
        <w:rPr>
          <w:color w:val="000000" w:themeColor="text1"/>
          <w:lang w:eastAsia="en-US"/>
        </w:rPr>
      </w:pPr>
      <w:r w:rsidRPr="00D24D54">
        <w:rPr>
          <w:color w:val="000000" w:themeColor="text1"/>
        </w:rPr>
        <w:t xml:space="preserve">Отчетените разходи на </w:t>
      </w:r>
      <w:r w:rsidRPr="00D24D54">
        <w:rPr>
          <w:b/>
          <w:color w:val="000000" w:themeColor="text1"/>
        </w:rPr>
        <w:t xml:space="preserve">Българското национално радио </w:t>
      </w:r>
      <w:r w:rsidRPr="00D24D54">
        <w:rPr>
          <w:color w:val="000000" w:themeColor="text1"/>
        </w:rPr>
        <w:t xml:space="preserve">в размер на 57,0 млн. лв. са използвани за </w:t>
      </w:r>
      <w:r w:rsidRPr="00D24D54">
        <w:rPr>
          <w:color w:val="000000" w:themeColor="text1"/>
          <w:lang w:eastAsia="en-US"/>
        </w:rPr>
        <w:t>подготовка, създаване и разпространение на национални и регионални програми, международна програма „Радио България“ и интернет радио.</w:t>
      </w:r>
    </w:p>
    <w:p w14:paraId="5DCA31CB" w14:textId="77777777" w:rsidR="00CC09AC" w:rsidRPr="007B48E9" w:rsidRDefault="00CC09AC" w:rsidP="004E0377">
      <w:pPr>
        <w:ind w:firstLine="709"/>
        <w:jc w:val="both"/>
        <w:rPr>
          <w:color w:val="0070C0"/>
        </w:rPr>
      </w:pPr>
      <w:r w:rsidRPr="00D24D54">
        <w:rPr>
          <w:color w:val="000000" w:themeColor="text1"/>
          <w:lang w:eastAsia="en-US"/>
        </w:rPr>
        <w:t xml:space="preserve">Отчетените разходи на </w:t>
      </w:r>
      <w:r w:rsidRPr="00D24D54">
        <w:rPr>
          <w:b/>
          <w:color w:val="000000" w:themeColor="text1"/>
          <w:lang w:eastAsia="en-US"/>
        </w:rPr>
        <w:t>Българската телеграфна агенция</w:t>
      </w:r>
      <w:r w:rsidRPr="00D24D54">
        <w:rPr>
          <w:color w:val="000000" w:themeColor="text1"/>
          <w:lang w:eastAsia="en-US"/>
        </w:rPr>
        <w:t xml:space="preserve"> в размер на 10,2 млн. лв. са предназначени за финансиране на дейностите, които агенцията осъществява като национален независим информационен институт на Република България</w:t>
      </w:r>
      <w:r w:rsidRPr="007B48E9">
        <w:rPr>
          <w:color w:val="0070C0"/>
        </w:rPr>
        <w:t>.</w:t>
      </w:r>
    </w:p>
    <w:p w14:paraId="30E51968" w14:textId="77777777" w:rsidR="00CC09AC" w:rsidRPr="009E365F" w:rsidRDefault="00CC09AC" w:rsidP="00CC09AC">
      <w:pPr>
        <w:spacing w:before="120"/>
        <w:ind w:firstLine="709"/>
        <w:jc w:val="both"/>
      </w:pPr>
      <w:r w:rsidRPr="009E365F">
        <w:t xml:space="preserve">В група „Култура” по </w:t>
      </w:r>
      <w:r w:rsidRPr="009E365F">
        <w:rPr>
          <w:b/>
        </w:rPr>
        <w:t>бюджетите на общините</w:t>
      </w:r>
      <w:r w:rsidRPr="009E365F">
        <w:t xml:space="preserve"> са отчетени разходи в размер на 394,4 млн. лв., от които текущи 353,1 млн. лв. и капиталови 41,3 млн. лв. </w:t>
      </w:r>
    </w:p>
    <w:p w14:paraId="600C6A65" w14:textId="77777777" w:rsidR="00CC09AC" w:rsidRPr="00C65FE7" w:rsidRDefault="00CC09AC" w:rsidP="00CC09AC">
      <w:pPr>
        <w:ind w:firstLine="709"/>
        <w:jc w:val="both"/>
      </w:pPr>
      <w:r w:rsidRPr="00C65FE7">
        <w:t xml:space="preserve">Отчетените текущи разходи за </w:t>
      </w:r>
      <w:r w:rsidRPr="00C65FE7">
        <w:rPr>
          <w:i/>
        </w:rPr>
        <w:t>делегираните от държавата дейности</w:t>
      </w:r>
      <w:r w:rsidRPr="00C65FE7">
        <w:t xml:space="preserve"> за 2022 г. са в размер на 180,7 млн. лв.</w:t>
      </w:r>
      <w:r w:rsidRPr="00C65FE7">
        <w:rPr>
          <w:lang w:val="ru-RU"/>
        </w:rPr>
        <w:t xml:space="preserve">, </w:t>
      </w:r>
      <w:r w:rsidRPr="00C65FE7">
        <w:t>което е със 17,1 млн. лв. повече от закона, от които 9,3 млн. лв. са във връзка с предоставените допълнителни средства за финансова подкрепа на музеите и художествените галерии с регионален характер чрез увеличаване с до 50 на сто на стойностните показатели на стандартите за тяхното финансиране, включително за възнагражденията на персонала</w:t>
      </w:r>
      <w:r>
        <w:t>,</w:t>
      </w:r>
      <w:r w:rsidRPr="00C65FE7">
        <w:t xml:space="preserve"> и 1,4 млн. лв. за </w:t>
      </w:r>
      <w:r w:rsidRPr="00C65FE7">
        <w:rPr>
          <w:lang w:eastAsia="en-US"/>
        </w:rPr>
        <w:t>финансова подкрепа на библиотеките с регионален характер чрез увеличаване на стойностния показател на стандарта за тяхното финансиране, включително за възнагражденията на персонала</w:t>
      </w:r>
      <w:r w:rsidRPr="00C65FE7">
        <w:t>. В делегираните от държавата дейности се отчитат разходите за персонал и издръжка на библиотеките, музеите и художествените галерии с регионален характер и на читалищата. С най-голям относителен дял са отчетените субсидии за читалищата в размер на 96,1 млн. лв. или 53,2</w:t>
      </w:r>
      <w:r>
        <w:t xml:space="preserve"> </w:t>
      </w:r>
      <w:r w:rsidRPr="00C65FE7">
        <w:t>% спрямо отчетените текущи разходи.</w:t>
      </w:r>
    </w:p>
    <w:p w14:paraId="575A86B2" w14:textId="77777777" w:rsidR="00CC09AC" w:rsidRPr="00C65FE7" w:rsidRDefault="00CC09AC" w:rsidP="00CC09AC">
      <w:pPr>
        <w:ind w:firstLine="709"/>
        <w:jc w:val="both"/>
      </w:pPr>
      <w:r w:rsidRPr="00C65FE7">
        <w:t>По отчетни данни за 2022 г. общините са дофинансирали държавните дейности със собствени приходи общо в размер на 23,1 млн. лева.</w:t>
      </w:r>
    </w:p>
    <w:p w14:paraId="46EE4AFB" w14:textId="77777777" w:rsidR="00CC09AC" w:rsidRPr="007B48E9" w:rsidRDefault="00CC09AC" w:rsidP="00DD38A7">
      <w:pPr>
        <w:ind w:firstLine="709"/>
        <w:jc w:val="both"/>
        <w:rPr>
          <w:color w:val="0070C0"/>
        </w:rPr>
      </w:pPr>
      <w:r w:rsidRPr="00C65FE7">
        <w:t xml:space="preserve">В </w:t>
      </w:r>
      <w:r w:rsidRPr="00C65FE7">
        <w:rPr>
          <w:i/>
        </w:rPr>
        <w:t xml:space="preserve">местните дейности </w:t>
      </w:r>
      <w:r w:rsidRPr="00C65FE7">
        <w:t>от група „Култура” са отчетени текущи разходи в размер на 154,1 млн. лв., което е с 34,1 млн. лв. повече спрямо разчетените по закон, от които 5,5 млн. лв. са във връзка с предоставените допълнителни средства от централния бюджет за финансова подкрепа на 50 общински музеи финансирани от бюджетите на общините. В отчета за местни дейности се включват разходите за общински театри, филхармонии, оркестри и ансамбли, музеи, художествени галерии с местен характер, градски библиотеки, обредни домове и зали, зоопаркове и други дейности по културата</w:t>
      </w:r>
      <w:r w:rsidRPr="007B48E9">
        <w:rPr>
          <w:color w:val="0070C0"/>
        </w:rPr>
        <w:t>.</w:t>
      </w:r>
    </w:p>
    <w:p w14:paraId="3EBF63BD" w14:textId="77777777" w:rsidR="00CC09AC" w:rsidRPr="007B48E9" w:rsidRDefault="00CC09AC" w:rsidP="00DD38A7">
      <w:pPr>
        <w:pStyle w:val="BodyText2"/>
        <w:spacing w:after="0" w:line="240" w:lineRule="auto"/>
        <w:ind w:firstLine="709"/>
        <w:jc w:val="both"/>
        <w:rPr>
          <w:i/>
          <w:color w:val="0070C0"/>
        </w:rPr>
      </w:pPr>
      <w:r w:rsidRPr="00136D8A">
        <w:rPr>
          <w:b/>
        </w:rPr>
        <w:t xml:space="preserve">Европейски средства - </w:t>
      </w:r>
      <w:r w:rsidRPr="00136D8A">
        <w:t xml:space="preserve">изразходваните средства в група „Култура“ са 62,9 млн. лв. </w:t>
      </w:r>
      <w:r w:rsidRPr="001D018A">
        <w:t xml:space="preserve">От тези разходи 46,3 млн. лв. (основно  от програмен период 2014-2020 г.) са по </w:t>
      </w:r>
      <w:r w:rsidRPr="001D018A">
        <w:rPr>
          <w:b/>
          <w:i/>
        </w:rPr>
        <w:t>Оперативна програма „Региони в растеж</w:t>
      </w:r>
      <w:r w:rsidRPr="001D018A">
        <w:rPr>
          <w:b/>
        </w:rPr>
        <w:t>”</w:t>
      </w:r>
      <w:r w:rsidRPr="001D018A">
        <w:t xml:space="preserve"> и 12,0 млн. лв. са по </w:t>
      </w:r>
      <w:r w:rsidRPr="001D018A">
        <w:rPr>
          <w:b/>
          <w:i/>
        </w:rPr>
        <w:t>др. програми и проекти, финансирани от фондове и институции на ЕС</w:t>
      </w:r>
      <w:r w:rsidRPr="001D018A">
        <w:rPr>
          <w:i/>
        </w:rPr>
        <w:t xml:space="preserve">.  </w:t>
      </w:r>
    </w:p>
    <w:p w14:paraId="4F621A5B" w14:textId="77777777" w:rsidR="00CC09AC" w:rsidRPr="00B811EF" w:rsidRDefault="00CC09AC" w:rsidP="00CC09AC">
      <w:pPr>
        <w:spacing w:before="360"/>
        <w:ind w:firstLine="709"/>
        <w:rPr>
          <w:b/>
        </w:rPr>
      </w:pPr>
      <w:r w:rsidRPr="00B811EF">
        <w:rPr>
          <w:b/>
        </w:rPr>
        <w:t xml:space="preserve">Група Г: </w:t>
      </w:r>
      <w:r w:rsidRPr="00B811EF">
        <w:rPr>
          <w:b/>
          <w:i/>
        </w:rPr>
        <w:t>„Религиозно дело”</w:t>
      </w:r>
    </w:p>
    <w:p w14:paraId="019A06F4" w14:textId="77777777" w:rsidR="00CC09AC" w:rsidRPr="007B48E9" w:rsidRDefault="00CC09AC" w:rsidP="00CC09AC">
      <w:pPr>
        <w:spacing w:before="120"/>
        <w:ind w:right="-289" w:firstLine="709"/>
        <w:jc w:val="both"/>
        <w:rPr>
          <w:color w:val="0070C0"/>
        </w:rPr>
      </w:pPr>
      <w:r w:rsidRPr="00C7591C">
        <w:t>Съгласно чл. 28, ал. 2 от Закона за вероизповеданията разпределението на държавната субсидия се одобрява ежегодно със закона за държавния бюджет на Република България в зависимост от броя на самоопределилите се лица към съответното вероизповедание към общия брой преброени лица при последното преброяване на населението по данни на Националния статистически институт. Със ЗДБРБ за 2022 г. за група „Религиозно дело“ по КФП са предвидени 54,7 млн. лв., а са усвоени 54,5 млн. лв., изразходвани за текущи и капиталови разходи, от които 0,3 млн. лв. са разходите по общинските бюджети.</w:t>
      </w:r>
    </w:p>
    <w:p w14:paraId="0D0975B7" w14:textId="77777777" w:rsidR="00CC09AC" w:rsidRPr="00D51E09" w:rsidRDefault="00CC09AC" w:rsidP="00CC09AC">
      <w:pPr>
        <w:pStyle w:val="Heading3"/>
        <w:numPr>
          <w:ilvl w:val="2"/>
          <w:numId w:val="8"/>
        </w:numPr>
        <w:spacing w:before="360" w:after="120"/>
        <w:rPr>
          <w:rFonts w:ascii="Times New Roman" w:hAnsi="Times New Roman"/>
          <w:sz w:val="24"/>
          <w:lang w:val="en-US"/>
        </w:rPr>
      </w:pPr>
      <w:bookmarkStart w:id="359" w:name="_Toc326315921"/>
      <w:bookmarkStart w:id="360" w:name="_Toc324863429"/>
      <w:bookmarkStart w:id="361" w:name="_Toc261276593"/>
      <w:bookmarkStart w:id="362" w:name="_Toc494102647"/>
      <w:bookmarkStart w:id="363" w:name="_Toc525125605"/>
      <w:bookmarkStart w:id="364" w:name="_Toc18316961"/>
      <w:bookmarkStart w:id="365" w:name="_Toc136361876"/>
      <w:bookmarkStart w:id="366" w:name="_Toc146037916"/>
      <w:r w:rsidRPr="00D51E09">
        <w:rPr>
          <w:rFonts w:ascii="Times New Roman" w:hAnsi="Times New Roman"/>
          <w:sz w:val="24"/>
          <w:lang w:val="bg-BG"/>
        </w:rPr>
        <w:t>Икономически дейности и услуги</w:t>
      </w:r>
      <w:bookmarkEnd w:id="359"/>
      <w:bookmarkEnd w:id="360"/>
      <w:bookmarkEnd w:id="361"/>
      <w:bookmarkEnd w:id="362"/>
      <w:bookmarkEnd w:id="363"/>
      <w:bookmarkEnd w:id="364"/>
      <w:bookmarkEnd w:id="365"/>
      <w:bookmarkEnd w:id="366"/>
    </w:p>
    <w:p w14:paraId="3EF5B45D" w14:textId="2E3E47FF" w:rsidR="00CC09AC" w:rsidRDefault="00CC09AC" w:rsidP="00CC09AC">
      <w:pPr>
        <w:spacing w:before="240"/>
        <w:ind w:firstLine="709"/>
        <w:jc w:val="both"/>
      </w:pPr>
      <w:r w:rsidRPr="00D51E09">
        <w:t>Тази функция отразява ангажименти по извършване на структурните реформи и взаимоотношенията на бюджета с реалния сектор. Основен механизъм на тези взаимоотношения са програмите по финансиране и субсидиране на отделните подотрасли, както и издръжката на администрациите, ангажирани в този процес.</w:t>
      </w:r>
    </w:p>
    <w:p w14:paraId="265CBE2E" w14:textId="55FD19DB" w:rsidR="00190BA6" w:rsidRDefault="00190BA6" w:rsidP="00CC09AC">
      <w:pPr>
        <w:spacing w:before="240"/>
        <w:ind w:firstLine="709"/>
        <w:jc w:val="both"/>
      </w:pPr>
    </w:p>
    <w:p w14:paraId="69D5C9D6" w14:textId="097ED0E4" w:rsidR="00190BA6" w:rsidRDefault="00190BA6" w:rsidP="00CC09AC">
      <w:pPr>
        <w:spacing w:before="240"/>
        <w:ind w:firstLine="709"/>
        <w:jc w:val="both"/>
      </w:pPr>
    </w:p>
    <w:p w14:paraId="612065E9" w14:textId="78D20720" w:rsidR="00190BA6" w:rsidRDefault="00190BA6" w:rsidP="00CC09AC">
      <w:pPr>
        <w:spacing w:before="240"/>
        <w:ind w:firstLine="709"/>
        <w:jc w:val="both"/>
      </w:pPr>
    </w:p>
    <w:p w14:paraId="2C6846A5" w14:textId="70CC5FE0" w:rsidR="00190BA6" w:rsidRDefault="00190BA6" w:rsidP="00CC09AC">
      <w:pPr>
        <w:spacing w:before="240"/>
        <w:ind w:firstLine="709"/>
        <w:jc w:val="both"/>
      </w:pPr>
    </w:p>
    <w:p w14:paraId="6B86F854" w14:textId="77777777" w:rsidR="00190BA6" w:rsidRPr="00D51E09" w:rsidRDefault="00190BA6" w:rsidP="00CC09AC">
      <w:pPr>
        <w:spacing w:before="240"/>
        <w:ind w:firstLine="709"/>
        <w:jc w:val="both"/>
      </w:pPr>
    </w:p>
    <w:p w14:paraId="1216DB0F" w14:textId="77777777" w:rsidR="00CC09AC" w:rsidRPr="007B48E9" w:rsidRDefault="00CC09AC" w:rsidP="00CC09AC">
      <w:pPr>
        <w:spacing w:before="240"/>
        <w:ind w:firstLine="709"/>
        <w:jc w:val="both"/>
        <w:rPr>
          <w:color w:val="0070C0"/>
        </w:rPr>
      </w:pPr>
    </w:p>
    <w:p w14:paraId="11DE7A5C" w14:textId="77777777" w:rsidR="00CC09AC" w:rsidRPr="007B48E9" w:rsidRDefault="00CC09AC" w:rsidP="00CC09AC">
      <w:pPr>
        <w:ind w:firstLine="567"/>
        <w:jc w:val="both"/>
        <w:rPr>
          <w:color w:val="0070C0"/>
        </w:rPr>
      </w:pPr>
    </w:p>
    <w:p w14:paraId="1F08DFD5" w14:textId="77777777" w:rsidR="00CC09AC" w:rsidRPr="007B48E9" w:rsidRDefault="00CC09AC" w:rsidP="00CC09AC">
      <w:pPr>
        <w:ind w:firstLine="567"/>
        <w:jc w:val="both"/>
        <w:rPr>
          <w:color w:val="0070C0"/>
          <w:sz w:val="2"/>
        </w:rPr>
      </w:pPr>
    </w:p>
    <w:p w14:paraId="327FC200" w14:textId="77777777" w:rsidR="00CC09AC" w:rsidRPr="0058165D" w:rsidRDefault="00CC09AC" w:rsidP="00CC09AC">
      <w:pPr>
        <w:pStyle w:val="ListParagraph"/>
        <w:ind w:left="357"/>
        <w:jc w:val="right"/>
        <w:rPr>
          <w:b/>
          <w:sz w:val="14"/>
          <w:szCs w:val="10"/>
        </w:rPr>
      </w:pPr>
      <w:r w:rsidRPr="0058165D">
        <w:rPr>
          <w:b/>
          <w:sz w:val="14"/>
          <w:szCs w:val="10"/>
          <w:lang w:val="en-US"/>
        </w:rPr>
        <w:t>(</w:t>
      </w:r>
      <w:r w:rsidRPr="0058165D">
        <w:rPr>
          <w:b/>
          <w:sz w:val="18"/>
          <w:szCs w:val="14"/>
          <w:lang w:val="en-US"/>
        </w:rPr>
        <w:t>млн. лв</w:t>
      </w:r>
      <w:r w:rsidRPr="0058165D">
        <w:rPr>
          <w:b/>
          <w:sz w:val="14"/>
          <w:szCs w:val="10"/>
          <w:lang w:val="en-US"/>
        </w:rPr>
        <w:t>.)</w:t>
      </w:r>
    </w:p>
    <w:tbl>
      <w:tblPr>
        <w:tblpPr w:leftFromText="141" w:rightFromText="141" w:vertAnchor="text" w:horzAnchor="margin" w:tblpXSpec="center" w:tblpY="178"/>
        <w:tblW w:w="10560" w:type="dxa"/>
        <w:tblLayout w:type="fixed"/>
        <w:tblCellMar>
          <w:left w:w="70" w:type="dxa"/>
          <w:right w:w="70" w:type="dxa"/>
        </w:tblCellMar>
        <w:tblLook w:val="04A0" w:firstRow="1" w:lastRow="0" w:firstColumn="1" w:lastColumn="0" w:noHBand="0" w:noVBand="1"/>
      </w:tblPr>
      <w:tblGrid>
        <w:gridCol w:w="3614"/>
        <w:gridCol w:w="992"/>
        <w:gridCol w:w="851"/>
        <w:gridCol w:w="709"/>
        <w:gridCol w:w="850"/>
        <w:gridCol w:w="709"/>
        <w:gridCol w:w="850"/>
        <w:gridCol w:w="993"/>
        <w:gridCol w:w="992"/>
      </w:tblGrid>
      <w:tr w:rsidR="00CC09AC" w:rsidRPr="007B48E9" w14:paraId="2C8613F5" w14:textId="77777777" w:rsidTr="003B085A">
        <w:trPr>
          <w:trHeight w:val="780"/>
        </w:trPr>
        <w:tc>
          <w:tcPr>
            <w:tcW w:w="3614"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6A4248BF" w14:textId="77777777" w:rsidR="00CC09AC" w:rsidRPr="00D51E09" w:rsidRDefault="00CC09AC" w:rsidP="003B085A">
            <w:pPr>
              <w:jc w:val="center"/>
              <w:rPr>
                <w:b/>
                <w:bCs/>
                <w:color w:val="FFFFFF" w:themeColor="background1"/>
                <w:sz w:val="18"/>
                <w:szCs w:val="18"/>
              </w:rPr>
            </w:pPr>
            <w:r w:rsidRPr="00D51E09">
              <w:rPr>
                <w:b/>
                <w:bCs/>
                <w:color w:val="FFFFFF" w:themeColor="background1"/>
                <w:sz w:val="18"/>
                <w:szCs w:val="18"/>
              </w:rPr>
              <w:t>ОТЧЕТ 20</w:t>
            </w:r>
            <w:r w:rsidRPr="00D51E09">
              <w:rPr>
                <w:b/>
                <w:bCs/>
                <w:color w:val="FFFFFF" w:themeColor="background1"/>
                <w:sz w:val="18"/>
                <w:szCs w:val="18"/>
                <w:lang w:val="en-US"/>
              </w:rPr>
              <w:t>2</w:t>
            </w:r>
            <w:r>
              <w:rPr>
                <w:b/>
                <w:bCs/>
                <w:color w:val="FFFFFF" w:themeColor="background1"/>
                <w:sz w:val="18"/>
                <w:szCs w:val="18"/>
              </w:rPr>
              <w:t xml:space="preserve">2 </w:t>
            </w:r>
            <w:r w:rsidRPr="00D51E09">
              <w:rPr>
                <w:b/>
                <w:bCs/>
                <w:color w:val="FFFFFF" w:themeColor="background1"/>
                <w:sz w:val="18"/>
                <w:szCs w:val="18"/>
              </w:rPr>
              <w:t>г.</w:t>
            </w:r>
          </w:p>
        </w:tc>
        <w:tc>
          <w:tcPr>
            <w:tcW w:w="992" w:type="dxa"/>
            <w:tcBorders>
              <w:top w:val="double" w:sz="6" w:space="0" w:color="800000"/>
              <w:left w:val="single" w:sz="4" w:space="0" w:color="FFFFFF"/>
              <w:bottom w:val="double" w:sz="6" w:space="0" w:color="800000"/>
              <w:right w:val="single" w:sz="4" w:space="0" w:color="FFFFFF"/>
            </w:tcBorders>
            <w:shd w:val="clear" w:color="auto" w:fill="800000"/>
            <w:noWrap/>
            <w:vAlign w:val="center"/>
            <w:hideMark/>
          </w:tcPr>
          <w:p w14:paraId="0BEDC3EC" w14:textId="77777777" w:rsidR="00CC09AC" w:rsidRPr="00D51E09" w:rsidRDefault="00CC09AC" w:rsidP="003B085A">
            <w:pPr>
              <w:jc w:val="center"/>
              <w:rPr>
                <w:b/>
                <w:bCs/>
                <w:color w:val="FFFFFF" w:themeColor="background1"/>
                <w:sz w:val="18"/>
                <w:szCs w:val="18"/>
              </w:rPr>
            </w:pPr>
            <w:r w:rsidRPr="00D51E09">
              <w:rPr>
                <w:b/>
                <w:bCs/>
                <w:color w:val="FFFFFF" w:themeColor="background1"/>
                <w:sz w:val="18"/>
                <w:szCs w:val="18"/>
              </w:rPr>
              <w:t>КФП</w:t>
            </w:r>
          </w:p>
        </w:tc>
        <w:tc>
          <w:tcPr>
            <w:tcW w:w="851"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14:paraId="3B81E3DD" w14:textId="77777777" w:rsidR="00CC09AC" w:rsidRPr="00D51E09" w:rsidRDefault="00CC09AC" w:rsidP="003B085A">
            <w:pPr>
              <w:jc w:val="center"/>
              <w:rPr>
                <w:b/>
                <w:bCs/>
                <w:color w:val="FFFFFF" w:themeColor="background1"/>
                <w:sz w:val="18"/>
                <w:szCs w:val="18"/>
              </w:rPr>
            </w:pPr>
            <w:r w:rsidRPr="00D51E09">
              <w:rPr>
                <w:b/>
                <w:bCs/>
                <w:color w:val="FFFFFF" w:themeColor="background1"/>
                <w:sz w:val="18"/>
                <w:szCs w:val="18"/>
              </w:rPr>
              <w:t>ДБ</w:t>
            </w:r>
          </w:p>
        </w:tc>
        <w:tc>
          <w:tcPr>
            <w:tcW w:w="709" w:type="dxa"/>
            <w:tcBorders>
              <w:top w:val="double" w:sz="6" w:space="0" w:color="800000"/>
              <w:left w:val="single" w:sz="4" w:space="0" w:color="FFFFFF"/>
              <w:bottom w:val="double" w:sz="6" w:space="0" w:color="800000"/>
              <w:right w:val="single" w:sz="4" w:space="0" w:color="FFFFFF"/>
            </w:tcBorders>
            <w:shd w:val="clear" w:color="auto" w:fill="800000"/>
            <w:noWrap/>
            <w:vAlign w:val="center"/>
            <w:hideMark/>
          </w:tcPr>
          <w:p w14:paraId="010F78CB" w14:textId="77777777" w:rsidR="00CC09AC" w:rsidRPr="00D51E09" w:rsidRDefault="00CC09AC" w:rsidP="003B085A">
            <w:pPr>
              <w:jc w:val="center"/>
              <w:rPr>
                <w:b/>
                <w:bCs/>
                <w:color w:val="FFFFFF" w:themeColor="background1"/>
                <w:sz w:val="18"/>
                <w:szCs w:val="18"/>
              </w:rPr>
            </w:pPr>
            <w:r w:rsidRPr="00D51E09">
              <w:rPr>
                <w:b/>
                <w:bCs/>
                <w:color w:val="FFFFFF" w:themeColor="background1"/>
                <w:sz w:val="18"/>
                <w:szCs w:val="18"/>
              </w:rPr>
              <w:t>БАН</w:t>
            </w:r>
          </w:p>
        </w:tc>
        <w:tc>
          <w:tcPr>
            <w:tcW w:w="850"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14:paraId="4999BF9D" w14:textId="77777777" w:rsidR="00CC09AC" w:rsidRPr="00D51E09" w:rsidRDefault="00CC09AC" w:rsidP="003B085A">
            <w:pPr>
              <w:jc w:val="center"/>
              <w:rPr>
                <w:b/>
                <w:bCs/>
                <w:color w:val="FFFFFF" w:themeColor="background1"/>
                <w:sz w:val="18"/>
                <w:szCs w:val="18"/>
              </w:rPr>
            </w:pPr>
            <w:r w:rsidRPr="00D51E09">
              <w:rPr>
                <w:b/>
                <w:bCs/>
                <w:color w:val="FFFFFF" w:themeColor="background1"/>
                <w:sz w:val="18"/>
                <w:szCs w:val="18"/>
              </w:rPr>
              <w:t>Общини</w:t>
            </w:r>
          </w:p>
        </w:tc>
        <w:tc>
          <w:tcPr>
            <w:tcW w:w="709"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14:paraId="2A58C8E6" w14:textId="77777777" w:rsidR="00CC09AC" w:rsidRPr="00D51E09" w:rsidRDefault="00CC09AC" w:rsidP="003B085A">
            <w:pPr>
              <w:jc w:val="center"/>
              <w:rPr>
                <w:b/>
                <w:bCs/>
                <w:color w:val="FFFFFF" w:themeColor="background1"/>
                <w:sz w:val="16"/>
                <w:szCs w:val="16"/>
              </w:rPr>
            </w:pPr>
            <w:r w:rsidRPr="00D51E09">
              <w:rPr>
                <w:b/>
                <w:bCs/>
                <w:color w:val="FFFFFF" w:themeColor="background1"/>
                <w:sz w:val="16"/>
                <w:szCs w:val="16"/>
              </w:rPr>
              <w:t>ДМП</w:t>
            </w:r>
          </w:p>
        </w:tc>
        <w:tc>
          <w:tcPr>
            <w:tcW w:w="850"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14:paraId="2B1FDCD9" w14:textId="77777777" w:rsidR="00CC09AC" w:rsidRPr="00D51E09" w:rsidRDefault="00CC09AC" w:rsidP="003B085A">
            <w:pPr>
              <w:jc w:val="center"/>
              <w:rPr>
                <w:b/>
                <w:bCs/>
                <w:color w:val="FFFFFF" w:themeColor="background1"/>
                <w:sz w:val="16"/>
                <w:szCs w:val="16"/>
              </w:rPr>
            </w:pPr>
            <w:r w:rsidRPr="00D51E09">
              <w:rPr>
                <w:b/>
                <w:bCs/>
                <w:color w:val="FFFFFF" w:themeColor="background1"/>
                <w:sz w:val="16"/>
                <w:szCs w:val="16"/>
              </w:rPr>
              <w:t>ЕВРОП. СР/ВА</w:t>
            </w:r>
          </w:p>
        </w:tc>
        <w:tc>
          <w:tcPr>
            <w:tcW w:w="993" w:type="dxa"/>
            <w:tcBorders>
              <w:top w:val="double" w:sz="6" w:space="0" w:color="800000"/>
              <w:left w:val="single" w:sz="4" w:space="0" w:color="FFFFFF"/>
              <w:bottom w:val="double" w:sz="6" w:space="0" w:color="800000"/>
              <w:right w:val="single" w:sz="4" w:space="0" w:color="FFFFFF"/>
            </w:tcBorders>
            <w:shd w:val="clear" w:color="auto" w:fill="800000"/>
          </w:tcPr>
          <w:p w14:paraId="00683AA4" w14:textId="77777777" w:rsidR="00CC09AC" w:rsidRPr="00D51E09" w:rsidRDefault="00CC09AC" w:rsidP="003B085A">
            <w:pPr>
              <w:jc w:val="center"/>
              <w:rPr>
                <w:b/>
                <w:bCs/>
                <w:color w:val="FFFFFF" w:themeColor="background1"/>
                <w:szCs w:val="16"/>
                <w:lang w:val="en-US"/>
              </w:rPr>
            </w:pPr>
          </w:p>
          <w:p w14:paraId="399E55D5" w14:textId="77777777" w:rsidR="00CC09AC" w:rsidRPr="00D51E09" w:rsidRDefault="00CC09AC" w:rsidP="003B085A">
            <w:pPr>
              <w:jc w:val="center"/>
              <w:rPr>
                <w:b/>
                <w:bCs/>
                <w:color w:val="FFFFFF" w:themeColor="background1"/>
                <w:sz w:val="16"/>
                <w:szCs w:val="16"/>
              </w:rPr>
            </w:pPr>
            <w:r w:rsidRPr="00D51E09">
              <w:rPr>
                <w:b/>
                <w:bCs/>
                <w:color w:val="FFFFFF" w:themeColor="background1"/>
                <w:sz w:val="16"/>
                <w:szCs w:val="16"/>
              </w:rPr>
              <w:t>ФСЕС</w:t>
            </w:r>
          </w:p>
        </w:tc>
        <w:tc>
          <w:tcPr>
            <w:tcW w:w="992" w:type="dxa"/>
            <w:tcBorders>
              <w:top w:val="double" w:sz="6" w:space="0" w:color="800000"/>
              <w:left w:val="single" w:sz="4" w:space="0" w:color="FFFFFF"/>
              <w:bottom w:val="double" w:sz="6" w:space="0" w:color="800000"/>
              <w:right w:val="double" w:sz="6" w:space="0" w:color="800000"/>
            </w:tcBorders>
            <w:shd w:val="clear" w:color="auto" w:fill="800000"/>
            <w:vAlign w:val="center"/>
            <w:hideMark/>
          </w:tcPr>
          <w:p w14:paraId="0A4FA553" w14:textId="77777777" w:rsidR="00CC09AC" w:rsidRPr="00D51E09" w:rsidRDefault="00CC09AC" w:rsidP="003B085A">
            <w:pPr>
              <w:jc w:val="center"/>
              <w:rPr>
                <w:b/>
                <w:bCs/>
                <w:color w:val="FFFFFF" w:themeColor="background1"/>
                <w:sz w:val="16"/>
                <w:szCs w:val="16"/>
              </w:rPr>
            </w:pPr>
            <w:r w:rsidRPr="00D51E09">
              <w:rPr>
                <w:b/>
                <w:bCs/>
                <w:color w:val="FFFFFF" w:themeColor="background1"/>
                <w:sz w:val="16"/>
                <w:szCs w:val="16"/>
              </w:rPr>
              <w:t>ДПУСЯ</w:t>
            </w:r>
          </w:p>
        </w:tc>
      </w:tr>
      <w:tr w:rsidR="00CC09AC" w:rsidRPr="007B48E9" w14:paraId="561532F8" w14:textId="77777777" w:rsidTr="003B085A">
        <w:trPr>
          <w:trHeight w:val="330"/>
        </w:trPr>
        <w:tc>
          <w:tcPr>
            <w:tcW w:w="3614" w:type="dxa"/>
            <w:tcBorders>
              <w:top w:val="nil"/>
              <w:left w:val="double" w:sz="6" w:space="0" w:color="800000"/>
              <w:bottom w:val="nil"/>
              <w:right w:val="single" w:sz="4" w:space="0" w:color="800000"/>
            </w:tcBorders>
            <w:shd w:val="clear" w:color="auto" w:fill="FFFFCC"/>
            <w:noWrap/>
            <w:vAlign w:val="bottom"/>
            <w:hideMark/>
          </w:tcPr>
          <w:p w14:paraId="2EB85753" w14:textId="77777777" w:rsidR="00CC09AC" w:rsidRPr="00D51E09" w:rsidRDefault="00CC09AC" w:rsidP="003B085A">
            <w:pPr>
              <w:rPr>
                <w:b/>
                <w:bCs/>
                <w:sz w:val="18"/>
                <w:szCs w:val="18"/>
              </w:rPr>
            </w:pPr>
            <w:r w:rsidRPr="00D51E09">
              <w:rPr>
                <w:b/>
                <w:bCs/>
                <w:sz w:val="18"/>
                <w:szCs w:val="18"/>
              </w:rPr>
              <w:t>VIII. ИКОНОМИЧЕСКИ ДЕЙНОСТИ И УСЛУГИ</w:t>
            </w:r>
          </w:p>
        </w:tc>
        <w:tc>
          <w:tcPr>
            <w:tcW w:w="992" w:type="dxa"/>
            <w:tcBorders>
              <w:top w:val="nil"/>
              <w:left w:val="single" w:sz="4" w:space="0" w:color="800000"/>
              <w:bottom w:val="nil"/>
              <w:right w:val="single" w:sz="4" w:space="0" w:color="800000"/>
            </w:tcBorders>
            <w:shd w:val="clear" w:color="auto" w:fill="FFFFCC"/>
            <w:noWrap/>
            <w:vAlign w:val="bottom"/>
            <w:hideMark/>
          </w:tcPr>
          <w:p w14:paraId="70FAE344" w14:textId="77777777" w:rsidR="00CC09AC" w:rsidRPr="007B48E9" w:rsidRDefault="00CC09AC" w:rsidP="003B085A">
            <w:pPr>
              <w:jc w:val="right"/>
              <w:rPr>
                <w:b/>
                <w:bCs/>
                <w:color w:val="0070C0"/>
                <w:sz w:val="18"/>
                <w:szCs w:val="18"/>
              </w:rPr>
            </w:pPr>
            <w:r>
              <w:rPr>
                <w:b/>
                <w:bCs/>
                <w:color w:val="000000"/>
                <w:sz w:val="18"/>
                <w:szCs w:val="18"/>
              </w:rPr>
              <w:t>13 834,8</w:t>
            </w:r>
          </w:p>
        </w:tc>
        <w:tc>
          <w:tcPr>
            <w:tcW w:w="851" w:type="dxa"/>
            <w:tcBorders>
              <w:top w:val="nil"/>
              <w:left w:val="single" w:sz="4" w:space="0" w:color="800000"/>
              <w:bottom w:val="nil"/>
              <w:right w:val="single" w:sz="4" w:space="0" w:color="800000"/>
            </w:tcBorders>
            <w:shd w:val="clear" w:color="auto" w:fill="FFFFCC"/>
            <w:noWrap/>
            <w:vAlign w:val="bottom"/>
            <w:hideMark/>
          </w:tcPr>
          <w:p w14:paraId="63ED98EB" w14:textId="77777777" w:rsidR="00CC09AC" w:rsidRPr="007B48E9" w:rsidRDefault="00CC09AC" w:rsidP="003B085A">
            <w:pPr>
              <w:jc w:val="right"/>
              <w:rPr>
                <w:b/>
                <w:bCs/>
                <w:color w:val="0070C0"/>
                <w:sz w:val="18"/>
                <w:szCs w:val="18"/>
              </w:rPr>
            </w:pPr>
            <w:r>
              <w:rPr>
                <w:b/>
                <w:bCs/>
                <w:color w:val="000000"/>
                <w:sz w:val="18"/>
                <w:szCs w:val="18"/>
              </w:rPr>
              <w:t>5 126,8</w:t>
            </w:r>
          </w:p>
        </w:tc>
        <w:tc>
          <w:tcPr>
            <w:tcW w:w="709" w:type="dxa"/>
            <w:tcBorders>
              <w:top w:val="nil"/>
              <w:left w:val="single" w:sz="4" w:space="0" w:color="800000"/>
              <w:bottom w:val="nil"/>
              <w:right w:val="single" w:sz="4" w:space="0" w:color="800000"/>
            </w:tcBorders>
            <w:shd w:val="clear" w:color="auto" w:fill="FFFFCC"/>
            <w:noWrap/>
            <w:vAlign w:val="bottom"/>
            <w:hideMark/>
          </w:tcPr>
          <w:p w14:paraId="2D105AE5" w14:textId="77777777" w:rsidR="00CC09AC" w:rsidRPr="007B48E9" w:rsidRDefault="00CC09AC" w:rsidP="003B085A">
            <w:pPr>
              <w:jc w:val="right"/>
              <w:rPr>
                <w:b/>
                <w:bCs/>
                <w:color w:val="0070C0"/>
                <w:sz w:val="18"/>
                <w:szCs w:val="18"/>
              </w:rPr>
            </w:pPr>
            <w:r>
              <w:rPr>
                <w:b/>
                <w:bCs/>
                <w:color w:val="000000"/>
                <w:sz w:val="18"/>
                <w:szCs w:val="18"/>
              </w:rPr>
              <w:t>1,7</w:t>
            </w:r>
          </w:p>
        </w:tc>
        <w:tc>
          <w:tcPr>
            <w:tcW w:w="850" w:type="dxa"/>
            <w:tcBorders>
              <w:top w:val="nil"/>
              <w:left w:val="single" w:sz="4" w:space="0" w:color="800000"/>
              <w:bottom w:val="nil"/>
              <w:right w:val="single" w:sz="4" w:space="0" w:color="800000"/>
            </w:tcBorders>
            <w:shd w:val="clear" w:color="auto" w:fill="FFFFCC"/>
            <w:noWrap/>
            <w:vAlign w:val="bottom"/>
            <w:hideMark/>
          </w:tcPr>
          <w:p w14:paraId="677BCFC4" w14:textId="77777777" w:rsidR="00CC09AC" w:rsidRPr="007B48E9" w:rsidRDefault="00CC09AC" w:rsidP="003B085A">
            <w:pPr>
              <w:jc w:val="right"/>
              <w:rPr>
                <w:b/>
                <w:bCs/>
                <w:color w:val="0070C0"/>
                <w:sz w:val="18"/>
                <w:szCs w:val="18"/>
              </w:rPr>
            </w:pPr>
            <w:r>
              <w:rPr>
                <w:b/>
                <w:bCs/>
                <w:color w:val="000000"/>
                <w:sz w:val="18"/>
                <w:szCs w:val="18"/>
              </w:rPr>
              <w:t>855,4</w:t>
            </w:r>
          </w:p>
        </w:tc>
        <w:tc>
          <w:tcPr>
            <w:tcW w:w="709" w:type="dxa"/>
            <w:tcBorders>
              <w:top w:val="nil"/>
              <w:left w:val="single" w:sz="4" w:space="0" w:color="800000"/>
              <w:bottom w:val="nil"/>
              <w:right w:val="single" w:sz="4" w:space="0" w:color="800000"/>
            </w:tcBorders>
            <w:shd w:val="clear" w:color="auto" w:fill="FFFFCC"/>
            <w:noWrap/>
            <w:vAlign w:val="bottom"/>
            <w:hideMark/>
          </w:tcPr>
          <w:p w14:paraId="13DE8479" w14:textId="77777777" w:rsidR="00CC09AC" w:rsidRPr="007B48E9" w:rsidRDefault="00CC09AC" w:rsidP="003B085A">
            <w:pPr>
              <w:jc w:val="right"/>
              <w:rPr>
                <w:b/>
                <w:bCs/>
                <w:color w:val="0070C0"/>
                <w:sz w:val="18"/>
                <w:szCs w:val="18"/>
              </w:rPr>
            </w:pPr>
            <w:r>
              <w:rPr>
                <w:b/>
                <w:bCs/>
                <w:color w:val="000000"/>
                <w:sz w:val="18"/>
                <w:szCs w:val="18"/>
              </w:rPr>
              <w:t>2,0</w:t>
            </w:r>
          </w:p>
        </w:tc>
        <w:tc>
          <w:tcPr>
            <w:tcW w:w="850" w:type="dxa"/>
            <w:tcBorders>
              <w:top w:val="nil"/>
              <w:left w:val="single" w:sz="4" w:space="0" w:color="800000"/>
              <w:bottom w:val="nil"/>
              <w:right w:val="single" w:sz="4" w:space="0" w:color="800000"/>
            </w:tcBorders>
            <w:shd w:val="clear" w:color="auto" w:fill="FFFFCC"/>
            <w:noWrap/>
            <w:vAlign w:val="bottom"/>
            <w:hideMark/>
          </w:tcPr>
          <w:p w14:paraId="5A8CC982" w14:textId="77777777" w:rsidR="00CC09AC" w:rsidRPr="007B48E9" w:rsidRDefault="00CC09AC" w:rsidP="003B085A">
            <w:pPr>
              <w:jc w:val="right"/>
              <w:rPr>
                <w:b/>
                <w:bCs/>
                <w:color w:val="0070C0"/>
                <w:sz w:val="18"/>
                <w:szCs w:val="18"/>
              </w:rPr>
            </w:pPr>
            <w:r>
              <w:rPr>
                <w:b/>
                <w:bCs/>
                <w:color w:val="000000"/>
                <w:sz w:val="18"/>
                <w:szCs w:val="18"/>
              </w:rPr>
              <w:t>1 457,8</w:t>
            </w:r>
          </w:p>
        </w:tc>
        <w:tc>
          <w:tcPr>
            <w:tcW w:w="993" w:type="dxa"/>
            <w:tcBorders>
              <w:top w:val="nil"/>
              <w:left w:val="single" w:sz="4" w:space="0" w:color="800000"/>
              <w:bottom w:val="nil"/>
              <w:right w:val="single" w:sz="4" w:space="0" w:color="800000"/>
            </w:tcBorders>
            <w:shd w:val="clear" w:color="auto" w:fill="FFFFCC"/>
            <w:vAlign w:val="bottom"/>
          </w:tcPr>
          <w:p w14:paraId="661B58DD" w14:textId="77777777" w:rsidR="00CC09AC" w:rsidRPr="007B48E9" w:rsidRDefault="00CC09AC" w:rsidP="003B085A">
            <w:pPr>
              <w:jc w:val="right"/>
              <w:rPr>
                <w:b/>
                <w:bCs/>
                <w:color w:val="0070C0"/>
                <w:sz w:val="18"/>
                <w:szCs w:val="18"/>
              </w:rPr>
            </w:pPr>
            <w:r>
              <w:rPr>
                <w:b/>
                <w:bCs/>
                <w:color w:val="000000"/>
                <w:sz w:val="18"/>
                <w:szCs w:val="18"/>
              </w:rPr>
              <w:t>6 383,8</w:t>
            </w:r>
          </w:p>
        </w:tc>
        <w:tc>
          <w:tcPr>
            <w:tcW w:w="992" w:type="dxa"/>
            <w:tcBorders>
              <w:top w:val="nil"/>
              <w:left w:val="single" w:sz="4" w:space="0" w:color="800000"/>
              <w:bottom w:val="nil"/>
              <w:right w:val="double" w:sz="6" w:space="0" w:color="800000"/>
            </w:tcBorders>
            <w:shd w:val="clear" w:color="auto" w:fill="FFFFCC"/>
            <w:noWrap/>
            <w:vAlign w:val="bottom"/>
            <w:hideMark/>
          </w:tcPr>
          <w:p w14:paraId="422D11EB" w14:textId="77777777" w:rsidR="00CC09AC" w:rsidRPr="007B48E9" w:rsidRDefault="00CC09AC" w:rsidP="003B085A">
            <w:pPr>
              <w:jc w:val="right"/>
              <w:rPr>
                <w:b/>
                <w:bCs/>
                <w:color w:val="0070C0"/>
                <w:sz w:val="18"/>
                <w:szCs w:val="18"/>
              </w:rPr>
            </w:pPr>
            <w:r>
              <w:rPr>
                <w:b/>
                <w:bCs/>
                <w:color w:val="000000"/>
                <w:sz w:val="18"/>
                <w:szCs w:val="18"/>
              </w:rPr>
              <w:t>7,4</w:t>
            </w:r>
          </w:p>
        </w:tc>
      </w:tr>
      <w:tr w:rsidR="00CC09AC" w:rsidRPr="007B48E9" w14:paraId="1A74DBAE" w14:textId="77777777" w:rsidTr="003B085A">
        <w:trPr>
          <w:trHeight w:val="315"/>
        </w:trPr>
        <w:tc>
          <w:tcPr>
            <w:tcW w:w="3614" w:type="dxa"/>
            <w:tcBorders>
              <w:top w:val="nil"/>
              <w:left w:val="double" w:sz="6" w:space="0" w:color="800000"/>
              <w:bottom w:val="nil"/>
              <w:right w:val="single" w:sz="4" w:space="0" w:color="800000"/>
            </w:tcBorders>
            <w:shd w:val="clear" w:color="auto" w:fill="FFFFCC"/>
            <w:noWrap/>
            <w:vAlign w:val="bottom"/>
            <w:hideMark/>
          </w:tcPr>
          <w:p w14:paraId="065142B1" w14:textId="77777777" w:rsidR="00CC09AC" w:rsidRPr="00D51E09" w:rsidRDefault="00CC09AC" w:rsidP="003B085A">
            <w:pPr>
              <w:rPr>
                <w:b/>
                <w:bCs/>
                <w:sz w:val="18"/>
                <w:szCs w:val="18"/>
              </w:rPr>
            </w:pPr>
            <w:r w:rsidRPr="00D51E09">
              <w:rPr>
                <w:b/>
                <w:bCs/>
                <w:sz w:val="18"/>
                <w:szCs w:val="18"/>
              </w:rPr>
              <w:t>А. МИННО ДЕЛО, ГОРИВА И ЕНЕРГИЯ</w:t>
            </w:r>
          </w:p>
        </w:tc>
        <w:tc>
          <w:tcPr>
            <w:tcW w:w="992" w:type="dxa"/>
            <w:tcBorders>
              <w:top w:val="nil"/>
              <w:left w:val="single" w:sz="4" w:space="0" w:color="800000"/>
              <w:bottom w:val="nil"/>
              <w:right w:val="single" w:sz="4" w:space="0" w:color="800000"/>
            </w:tcBorders>
            <w:shd w:val="clear" w:color="auto" w:fill="FFFFCC"/>
            <w:noWrap/>
            <w:vAlign w:val="bottom"/>
            <w:hideMark/>
          </w:tcPr>
          <w:p w14:paraId="767837AB" w14:textId="77777777" w:rsidR="00CC09AC" w:rsidRPr="007B48E9" w:rsidRDefault="00CC09AC" w:rsidP="003B085A">
            <w:pPr>
              <w:jc w:val="right"/>
              <w:rPr>
                <w:b/>
                <w:bCs/>
                <w:color w:val="0070C0"/>
                <w:sz w:val="18"/>
                <w:szCs w:val="18"/>
              </w:rPr>
            </w:pPr>
            <w:r>
              <w:rPr>
                <w:b/>
                <w:bCs/>
                <w:color w:val="000000"/>
                <w:sz w:val="18"/>
                <w:szCs w:val="18"/>
              </w:rPr>
              <w:t>6 897,3</w:t>
            </w:r>
          </w:p>
        </w:tc>
        <w:tc>
          <w:tcPr>
            <w:tcW w:w="851" w:type="dxa"/>
            <w:tcBorders>
              <w:top w:val="nil"/>
              <w:left w:val="single" w:sz="4" w:space="0" w:color="800000"/>
              <w:bottom w:val="nil"/>
              <w:right w:val="single" w:sz="4" w:space="0" w:color="800000"/>
            </w:tcBorders>
            <w:shd w:val="clear" w:color="auto" w:fill="FFFFCC"/>
            <w:noWrap/>
            <w:vAlign w:val="bottom"/>
            <w:hideMark/>
          </w:tcPr>
          <w:p w14:paraId="7CFCA43D" w14:textId="77777777" w:rsidR="00CC09AC" w:rsidRPr="007B48E9" w:rsidRDefault="00CC09AC" w:rsidP="003B085A">
            <w:pPr>
              <w:jc w:val="right"/>
              <w:rPr>
                <w:b/>
                <w:bCs/>
                <w:color w:val="0070C0"/>
                <w:sz w:val="18"/>
                <w:szCs w:val="18"/>
              </w:rPr>
            </w:pPr>
            <w:r>
              <w:rPr>
                <w:b/>
                <w:bCs/>
                <w:color w:val="000000"/>
                <w:sz w:val="18"/>
                <w:szCs w:val="18"/>
              </w:rPr>
              <w:t>512,3</w:t>
            </w:r>
          </w:p>
        </w:tc>
        <w:tc>
          <w:tcPr>
            <w:tcW w:w="709" w:type="dxa"/>
            <w:tcBorders>
              <w:top w:val="nil"/>
              <w:left w:val="single" w:sz="4" w:space="0" w:color="800000"/>
              <w:bottom w:val="nil"/>
              <w:right w:val="single" w:sz="4" w:space="0" w:color="800000"/>
            </w:tcBorders>
            <w:shd w:val="clear" w:color="auto" w:fill="FFFFCC"/>
            <w:noWrap/>
            <w:vAlign w:val="bottom"/>
            <w:hideMark/>
          </w:tcPr>
          <w:p w14:paraId="0335A197"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3B84C0D9" w14:textId="77777777" w:rsidR="00CC09AC" w:rsidRPr="007B48E9" w:rsidRDefault="00CC09AC" w:rsidP="003B085A">
            <w:pPr>
              <w:jc w:val="right"/>
              <w:rPr>
                <w:b/>
                <w:bCs/>
                <w:color w:val="0070C0"/>
                <w:sz w:val="18"/>
                <w:szCs w:val="18"/>
              </w:rPr>
            </w:pPr>
            <w:r>
              <w:rPr>
                <w:b/>
                <w:bCs/>
                <w:color w:val="000000"/>
                <w:sz w:val="18"/>
                <w:szCs w:val="18"/>
              </w:rPr>
              <w:t>0,7</w:t>
            </w:r>
          </w:p>
        </w:tc>
        <w:tc>
          <w:tcPr>
            <w:tcW w:w="709" w:type="dxa"/>
            <w:tcBorders>
              <w:top w:val="nil"/>
              <w:left w:val="single" w:sz="4" w:space="0" w:color="800000"/>
              <w:bottom w:val="nil"/>
              <w:right w:val="single" w:sz="4" w:space="0" w:color="800000"/>
            </w:tcBorders>
            <w:shd w:val="clear" w:color="auto" w:fill="FFFFCC"/>
            <w:noWrap/>
            <w:vAlign w:val="bottom"/>
            <w:hideMark/>
          </w:tcPr>
          <w:p w14:paraId="6EE71801" w14:textId="77777777" w:rsidR="00CC09AC" w:rsidRPr="007B48E9" w:rsidRDefault="00CC09AC" w:rsidP="003B085A">
            <w:pPr>
              <w:jc w:val="right"/>
              <w:rPr>
                <w:b/>
                <w:bCs/>
                <w:color w:val="0070C0"/>
                <w:sz w:val="18"/>
                <w:szCs w:val="18"/>
              </w:rPr>
            </w:pPr>
            <w:r>
              <w:rPr>
                <w:b/>
                <w:bCs/>
                <w:color w:val="000000"/>
                <w:sz w:val="18"/>
                <w:szCs w:val="18"/>
              </w:rPr>
              <w:t>0,4</w:t>
            </w:r>
          </w:p>
        </w:tc>
        <w:tc>
          <w:tcPr>
            <w:tcW w:w="850" w:type="dxa"/>
            <w:tcBorders>
              <w:top w:val="nil"/>
              <w:left w:val="single" w:sz="4" w:space="0" w:color="800000"/>
              <w:bottom w:val="nil"/>
              <w:right w:val="single" w:sz="4" w:space="0" w:color="800000"/>
            </w:tcBorders>
            <w:shd w:val="clear" w:color="auto" w:fill="FFFFCC"/>
            <w:noWrap/>
            <w:vAlign w:val="bottom"/>
            <w:hideMark/>
          </w:tcPr>
          <w:p w14:paraId="3290C0AC" w14:textId="77777777" w:rsidR="00CC09AC" w:rsidRPr="007B48E9" w:rsidRDefault="00CC09AC" w:rsidP="003B085A">
            <w:pPr>
              <w:jc w:val="right"/>
              <w:rPr>
                <w:b/>
                <w:bCs/>
                <w:color w:val="0070C0"/>
                <w:sz w:val="18"/>
                <w:szCs w:val="18"/>
              </w:rPr>
            </w:pPr>
            <w:r>
              <w:rPr>
                <w:b/>
                <w:bCs/>
                <w:color w:val="000000"/>
                <w:sz w:val="18"/>
                <w:szCs w:val="18"/>
              </w:rPr>
              <w:t>0,1</w:t>
            </w:r>
          </w:p>
        </w:tc>
        <w:tc>
          <w:tcPr>
            <w:tcW w:w="993" w:type="dxa"/>
            <w:tcBorders>
              <w:top w:val="nil"/>
              <w:left w:val="single" w:sz="4" w:space="0" w:color="800000"/>
              <w:bottom w:val="nil"/>
              <w:right w:val="single" w:sz="4" w:space="0" w:color="800000"/>
            </w:tcBorders>
            <w:shd w:val="clear" w:color="auto" w:fill="FFFFCC"/>
            <w:vAlign w:val="bottom"/>
          </w:tcPr>
          <w:p w14:paraId="763C45F2" w14:textId="77777777" w:rsidR="00CC09AC" w:rsidRPr="007B48E9" w:rsidRDefault="00CC09AC" w:rsidP="003B085A">
            <w:pPr>
              <w:jc w:val="right"/>
              <w:rPr>
                <w:b/>
                <w:bCs/>
                <w:color w:val="0070C0"/>
                <w:sz w:val="18"/>
                <w:szCs w:val="18"/>
              </w:rPr>
            </w:pPr>
            <w:r>
              <w:rPr>
                <w:b/>
                <w:bCs/>
                <w:color w:val="000000"/>
                <w:sz w:val="18"/>
                <w:szCs w:val="18"/>
              </w:rPr>
              <w:t>6 383,8</w:t>
            </w:r>
          </w:p>
        </w:tc>
        <w:tc>
          <w:tcPr>
            <w:tcW w:w="992" w:type="dxa"/>
            <w:tcBorders>
              <w:top w:val="nil"/>
              <w:left w:val="single" w:sz="4" w:space="0" w:color="800000"/>
              <w:bottom w:val="nil"/>
              <w:right w:val="double" w:sz="6" w:space="0" w:color="800000"/>
            </w:tcBorders>
            <w:shd w:val="clear" w:color="auto" w:fill="FFFFCC"/>
            <w:noWrap/>
            <w:vAlign w:val="bottom"/>
            <w:hideMark/>
          </w:tcPr>
          <w:p w14:paraId="01544F5A"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48ABD58D"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101C6D98" w14:textId="77777777" w:rsidR="00CC09AC" w:rsidRPr="00D51E09" w:rsidRDefault="00CC09AC" w:rsidP="003B085A">
            <w:pPr>
              <w:rPr>
                <w:sz w:val="18"/>
                <w:szCs w:val="18"/>
              </w:rPr>
            </w:pPr>
            <w:r w:rsidRPr="00D51E09">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2DA514DB" w14:textId="77777777" w:rsidR="00CC09AC" w:rsidRPr="007B48E9" w:rsidRDefault="00CC09AC" w:rsidP="003B085A">
            <w:pPr>
              <w:jc w:val="right"/>
              <w:rPr>
                <w:color w:val="0070C0"/>
                <w:sz w:val="18"/>
                <w:szCs w:val="18"/>
              </w:rPr>
            </w:pPr>
            <w:r>
              <w:rPr>
                <w:color w:val="000000"/>
                <w:sz w:val="18"/>
                <w:szCs w:val="18"/>
              </w:rPr>
              <w:t>6 884,9</w:t>
            </w:r>
          </w:p>
        </w:tc>
        <w:tc>
          <w:tcPr>
            <w:tcW w:w="851" w:type="dxa"/>
            <w:tcBorders>
              <w:top w:val="nil"/>
              <w:left w:val="single" w:sz="4" w:space="0" w:color="800000"/>
              <w:bottom w:val="nil"/>
              <w:right w:val="single" w:sz="4" w:space="0" w:color="800000"/>
            </w:tcBorders>
            <w:shd w:val="clear" w:color="auto" w:fill="FFFFCC"/>
            <w:noWrap/>
            <w:vAlign w:val="bottom"/>
            <w:hideMark/>
          </w:tcPr>
          <w:p w14:paraId="311DF355" w14:textId="77777777" w:rsidR="00CC09AC" w:rsidRPr="007B48E9" w:rsidRDefault="00CC09AC" w:rsidP="003B085A">
            <w:pPr>
              <w:jc w:val="right"/>
              <w:rPr>
                <w:color w:val="0070C0"/>
                <w:sz w:val="18"/>
                <w:szCs w:val="18"/>
              </w:rPr>
            </w:pPr>
            <w:r>
              <w:rPr>
                <w:color w:val="000000"/>
                <w:sz w:val="18"/>
                <w:szCs w:val="18"/>
              </w:rPr>
              <w:t>500,6</w:t>
            </w:r>
          </w:p>
        </w:tc>
        <w:tc>
          <w:tcPr>
            <w:tcW w:w="709" w:type="dxa"/>
            <w:tcBorders>
              <w:top w:val="nil"/>
              <w:left w:val="single" w:sz="4" w:space="0" w:color="800000"/>
              <w:bottom w:val="nil"/>
              <w:right w:val="single" w:sz="4" w:space="0" w:color="800000"/>
            </w:tcBorders>
            <w:shd w:val="clear" w:color="auto" w:fill="FFFFCC"/>
            <w:noWrap/>
            <w:vAlign w:val="bottom"/>
            <w:hideMark/>
          </w:tcPr>
          <w:p w14:paraId="650CD6EF"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389E8938" w14:textId="77777777" w:rsidR="00CC09AC" w:rsidRPr="007B48E9" w:rsidRDefault="00CC09AC" w:rsidP="003B085A">
            <w:pPr>
              <w:jc w:val="right"/>
              <w:rPr>
                <w:color w:val="0070C0"/>
                <w:sz w:val="18"/>
                <w:szCs w:val="18"/>
              </w:rPr>
            </w:pPr>
            <w:r>
              <w:rPr>
                <w:color w:val="000000"/>
                <w:sz w:val="18"/>
                <w:szCs w:val="18"/>
              </w:rPr>
              <w:t>0,01</w:t>
            </w:r>
          </w:p>
        </w:tc>
        <w:tc>
          <w:tcPr>
            <w:tcW w:w="709" w:type="dxa"/>
            <w:tcBorders>
              <w:top w:val="nil"/>
              <w:left w:val="single" w:sz="4" w:space="0" w:color="800000"/>
              <w:bottom w:val="nil"/>
              <w:right w:val="single" w:sz="4" w:space="0" w:color="800000"/>
            </w:tcBorders>
            <w:shd w:val="clear" w:color="auto" w:fill="FFFFCC"/>
            <w:noWrap/>
            <w:vAlign w:val="bottom"/>
            <w:hideMark/>
          </w:tcPr>
          <w:p w14:paraId="35030B33" w14:textId="77777777" w:rsidR="00CC09AC" w:rsidRPr="007B48E9" w:rsidRDefault="00CC09AC" w:rsidP="003B085A">
            <w:pPr>
              <w:jc w:val="right"/>
              <w:rPr>
                <w:color w:val="0070C0"/>
                <w:sz w:val="18"/>
                <w:szCs w:val="18"/>
              </w:rPr>
            </w:pPr>
            <w:r>
              <w:rPr>
                <w:color w:val="000000"/>
                <w:sz w:val="18"/>
                <w:szCs w:val="18"/>
              </w:rPr>
              <w:t>0,4</w:t>
            </w:r>
          </w:p>
        </w:tc>
        <w:tc>
          <w:tcPr>
            <w:tcW w:w="850" w:type="dxa"/>
            <w:tcBorders>
              <w:top w:val="nil"/>
              <w:left w:val="single" w:sz="4" w:space="0" w:color="800000"/>
              <w:bottom w:val="nil"/>
              <w:right w:val="single" w:sz="4" w:space="0" w:color="800000"/>
            </w:tcBorders>
            <w:shd w:val="clear" w:color="auto" w:fill="FFFFCC"/>
            <w:noWrap/>
            <w:vAlign w:val="bottom"/>
            <w:hideMark/>
          </w:tcPr>
          <w:p w14:paraId="50D185E8" w14:textId="77777777" w:rsidR="00CC09AC" w:rsidRPr="007B48E9" w:rsidRDefault="00CC09AC" w:rsidP="003B085A">
            <w:pPr>
              <w:jc w:val="right"/>
              <w:rPr>
                <w:color w:val="0070C0"/>
                <w:sz w:val="18"/>
                <w:szCs w:val="18"/>
              </w:rPr>
            </w:pPr>
            <w:r>
              <w:rPr>
                <w:color w:val="000000"/>
                <w:sz w:val="18"/>
                <w:szCs w:val="18"/>
              </w:rPr>
              <w:t>0,1</w:t>
            </w:r>
          </w:p>
        </w:tc>
        <w:tc>
          <w:tcPr>
            <w:tcW w:w="993" w:type="dxa"/>
            <w:tcBorders>
              <w:top w:val="nil"/>
              <w:left w:val="single" w:sz="4" w:space="0" w:color="800000"/>
              <w:bottom w:val="nil"/>
              <w:right w:val="single" w:sz="4" w:space="0" w:color="800000"/>
            </w:tcBorders>
            <w:shd w:val="clear" w:color="auto" w:fill="FFFFCC"/>
            <w:vAlign w:val="bottom"/>
          </w:tcPr>
          <w:p w14:paraId="110B0215" w14:textId="77777777" w:rsidR="00CC09AC" w:rsidRPr="007B48E9" w:rsidRDefault="00CC09AC" w:rsidP="003B085A">
            <w:pPr>
              <w:jc w:val="right"/>
              <w:rPr>
                <w:color w:val="0070C0"/>
                <w:sz w:val="18"/>
                <w:szCs w:val="18"/>
              </w:rPr>
            </w:pPr>
            <w:r>
              <w:rPr>
                <w:color w:val="000000"/>
                <w:sz w:val="18"/>
                <w:szCs w:val="18"/>
              </w:rPr>
              <w:t>6 383,8</w:t>
            </w:r>
          </w:p>
        </w:tc>
        <w:tc>
          <w:tcPr>
            <w:tcW w:w="992" w:type="dxa"/>
            <w:tcBorders>
              <w:top w:val="nil"/>
              <w:left w:val="single" w:sz="4" w:space="0" w:color="800000"/>
              <w:bottom w:val="nil"/>
              <w:right w:val="double" w:sz="6" w:space="0" w:color="800000"/>
            </w:tcBorders>
            <w:shd w:val="clear" w:color="auto" w:fill="FFFFCC"/>
            <w:noWrap/>
            <w:vAlign w:val="bottom"/>
            <w:hideMark/>
          </w:tcPr>
          <w:p w14:paraId="6E5B8936"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57F7C4A6"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032C62A9" w14:textId="77777777" w:rsidR="00CC09AC" w:rsidRPr="00D51E09" w:rsidRDefault="00CC09AC" w:rsidP="003B085A">
            <w:pPr>
              <w:rPr>
                <w:sz w:val="18"/>
                <w:szCs w:val="18"/>
              </w:rPr>
            </w:pPr>
            <w:r w:rsidRPr="00D51E09">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58D1981A" w14:textId="77777777" w:rsidR="00CC09AC" w:rsidRPr="007B48E9" w:rsidRDefault="00CC09AC" w:rsidP="003B085A">
            <w:pPr>
              <w:jc w:val="right"/>
              <w:rPr>
                <w:color w:val="0070C0"/>
                <w:sz w:val="18"/>
                <w:szCs w:val="18"/>
              </w:rPr>
            </w:pPr>
            <w:r>
              <w:rPr>
                <w:color w:val="000000"/>
                <w:sz w:val="18"/>
                <w:szCs w:val="18"/>
              </w:rPr>
              <w:t>12,4</w:t>
            </w:r>
          </w:p>
        </w:tc>
        <w:tc>
          <w:tcPr>
            <w:tcW w:w="851" w:type="dxa"/>
            <w:tcBorders>
              <w:top w:val="nil"/>
              <w:left w:val="single" w:sz="4" w:space="0" w:color="800000"/>
              <w:bottom w:val="nil"/>
              <w:right w:val="single" w:sz="4" w:space="0" w:color="800000"/>
            </w:tcBorders>
            <w:shd w:val="clear" w:color="auto" w:fill="FFFFCC"/>
            <w:noWrap/>
            <w:vAlign w:val="bottom"/>
            <w:hideMark/>
          </w:tcPr>
          <w:p w14:paraId="7BC50BD0" w14:textId="77777777" w:rsidR="00CC09AC" w:rsidRPr="007B48E9" w:rsidRDefault="00CC09AC" w:rsidP="003B085A">
            <w:pPr>
              <w:jc w:val="right"/>
              <w:rPr>
                <w:color w:val="0070C0"/>
                <w:sz w:val="18"/>
                <w:szCs w:val="18"/>
              </w:rPr>
            </w:pPr>
            <w:r>
              <w:rPr>
                <w:color w:val="000000"/>
                <w:sz w:val="18"/>
                <w:szCs w:val="18"/>
              </w:rPr>
              <w:t>11,7</w:t>
            </w:r>
          </w:p>
        </w:tc>
        <w:tc>
          <w:tcPr>
            <w:tcW w:w="709" w:type="dxa"/>
            <w:tcBorders>
              <w:top w:val="nil"/>
              <w:left w:val="single" w:sz="4" w:space="0" w:color="800000"/>
              <w:bottom w:val="nil"/>
              <w:right w:val="single" w:sz="4" w:space="0" w:color="800000"/>
            </w:tcBorders>
            <w:shd w:val="clear" w:color="auto" w:fill="FFFFCC"/>
            <w:noWrap/>
            <w:vAlign w:val="bottom"/>
            <w:hideMark/>
          </w:tcPr>
          <w:p w14:paraId="516330C2"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6552689A" w14:textId="77777777" w:rsidR="00CC09AC" w:rsidRPr="007B48E9" w:rsidRDefault="00CC09AC" w:rsidP="003B085A">
            <w:pPr>
              <w:jc w:val="right"/>
              <w:rPr>
                <w:color w:val="0070C0"/>
                <w:sz w:val="18"/>
                <w:szCs w:val="18"/>
              </w:rPr>
            </w:pPr>
            <w:r>
              <w:rPr>
                <w:color w:val="000000"/>
                <w:sz w:val="18"/>
                <w:szCs w:val="18"/>
              </w:rPr>
              <w:t>0,7</w:t>
            </w:r>
          </w:p>
        </w:tc>
        <w:tc>
          <w:tcPr>
            <w:tcW w:w="709" w:type="dxa"/>
            <w:tcBorders>
              <w:top w:val="nil"/>
              <w:left w:val="single" w:sz="4" w:space="0" w:color="800000"/>
              <w:bottom w:val="nil"/>
              <w:right w:val="single" w:sz="4" w:space="0" w:color="800000"/>
            </w:tcBorders>
            <w:shd w:val="clear" w:color="auto" w:fill="FFFFCC"/>
            <w:noWrap/>
            <w:vAlign w:val="bottom"/>
            <w:hideMark/>
          </w:tcPr>
          <w:p w14:paraId="2583CBE4"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C31AB8A" w14:textId="77777777" w:rsidR="00CC09AC" w:rsidRPr="007B48E9" w:rsidRDefault="00CC09AC" w:rsidP="003B085A">
            <w:pPr>
              <w:jc w:val="right"/>
              <w:rPr>
                <w:color w:val="0070C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vAlign w:val="bottom"/>
          </w:tcPr>
          <w:p w14:paraId="288EB270" w14:textId="77777777" w:rsidR="00CC09AC" w:rsidRPr="007B48E9" w:rsidRDefault="00CC09AC" w:rsidP="003B085A">
            <w:pPr>
              <w:jc w:val="right"/>
              <w:rPr>
                <w:color w:val="0070C0"/>
                <w:sz w:val="18"/>
                <w:szCs w:val="18"/>
              </w:rPr>
            </w:pPr>
            <w:r>
              <w:rPr>
                <w:color w:val="000000"/>
                <w:sz w:val="18"/>
                <w:szCs w:val="18"/>
              </w:rPr>
              <w:t>0,09</w:t>
            </w:r>
          </w:p>
        </w:tc>
        <w:tc>
          <w:tcPr>
            <w:tcW w:w="992" w:type="dxa"/>
            <w:tcBorders>
              <w:top w:val="nil"/>
              <w:left w:val="single" w:sz="4" w:space="0" w:color="800000"/>
              <w:bottom w:val="nil"/>
              <w:right w:val="double" w:sz="6" w:space="0" w:color="800000"/>
            </w:tcBorders>
            <w:shd w:val="clear" w:color="auto" w:fill="FFFFCC"/>
            <w:noWrap/>
            <w:vAlign w:val="bottom"/>
            <w:hideMark/>
          </w:tcPr>
          <w:p w14:paraId="05603C59"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0C3C9B27"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tcPr>
          <w:p w14:paraId="573FF57C" w14:textId="77777777" w:rsidR="00CC09AC" w:rsidRPr="00D51E09" w:rsidRDefault="00CC09AC" w:rsidP="003B085A">
            <w:pPr>
              <w:rPr>
                <w:sz w:val="18"/>
                <w:szCs w:val="18"/>
              </w:rPr>
            </w:pPr>
            <w:r w:rsidRPr="00D51E09">
              <w:rPr>
                <w:sz w:val="18"/>
                <w:szCs w:val="18"/>
              </w:rPr>
              <w:t xml:space="preserve">   Пред. тек. и кап. тр/ри за чужбина</w:t>
            </w:r>
          </w:p>
        </w:tc>
        <w:tc>
          <w:tcPr>
            <w:tcW w:w="992" w:type="dxa"/>
            <w:tcBorders>
              <w:top w:val="nil"/>
              <w:left w:val="single" w:sz="4" w:space="0" w:color="800000"/>
              <w:bottom w:val="nil"/>
              <w:right w:val="single" w:sz="4" w:space="0" w:color="800000"/>
            </w:tcBorders>
            <w:shd w:val="clear" w:color="auto" w:fill="FFFFCC"/>
            <w:noWrap/>
            <w:vAlign w:val="bottom"/>
          </w:tcPr>
          <w:p w14:paraId="4BB98670" w14:textId="77777777" w:rsidR="00CC09AC" w:rsidRPr="007B48E9" w:rsidRDefault="00CC09AC" w:rsidP="003B085A">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tcPr>
          <w:p w14:paraId="27676236"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14:paraId="442F7E32"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tcPr>
          <w:p w14:paraId="6D091010"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14:paraId="0FBA3618"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tcPr>
          <w:p w14:paraId="75B9E8FE" w14:textId="77777777" w:rsidR="00CC09AC" w:rsidRPr="007B48E9" w:rsidRDefault="00CC09AC" w:rsidP="003B085A">
            <w:pPr>
              <w:jc w:val="right"/>
              <w:rPr>
                <w:color w:val="0070C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vAlign w:val="bottom"/>
          </w:tcPr>
          <w:p w14:paraId="782C53E7"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tcPr>
          <w:p w14:paraId="579BBA08"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5CF9E3C0" w14:textId="77777777" w:rsidTr="003B085A">
        <w:trPr>
          <w:trHeight w:val="510"/>
        </w:trPr>
        <w:tc>
          <w:tcPr>
            <w:tcW w:w="3614" w:type="dxa"/>
            <w:tcBorders>
              <w:top w:val="nil"/>
              <w:left w:val="double" w:sz="6" w:space="0" w:color="800000"/>
              <w:bottom w:val="nil"/>
              <w:right w:val="single" w:sz="4" w:space="0" w:color="800000"/>
            </w:tcBorders>
            <w:shd w:val="clear" w:color="auto" w:fill="FFFFCC"/>
            <w:noWrap/>
            <w:vAlign w:val="bottom"/>
            <w:hideMark/>
          </w:tcPr>
          <w:p w14:paraId="0C18DD45" w14:textId="77777777" w:rsidR="00CC09AC" w:rsidRPr="00D51E09" w:rsidRDefault="00CC09AC" w:rsidP="003B085A">
            <w:pPr>
              <w:rPr>
                <w:b/>
                <w:bCs/>
                <w:sz w:val="18"/>
                <w:szCs w:val="18"/>
              </w:rPr>
            </w:pPr>
            <w:r w:rsidRPr="00D51E09">
              <w:rPr>
                <w:b/>
                <w:bCs/>
                <w:sz w:val="18"/>
                <w:szCs w:val="18"/>
              </w:rPr>
              <w:t>Б. СЕЛСКО СТОПАНСТВО, ГОРСКО СТОПАНСТВО, ЛОВ И РИБОЛОВ</w:t>
            </w:r>
          </w:p>
        </w:tc>
        <w:tc>
          <w:tcPr>
            <w:tcW w:w="992" w:type="dxa"/>
            <w:tcBorders>
              <w:top w:val="nil"/>
              <w:left w:val="single" w:sz="4" w:space="0" w:color="800000"/>
              <w:bottom w:val="nil"/>
              <w:right w:val="single" w:sz="4" w:space="0" w:color="800000"/>
            </w:tcBorders>
            <w:shd w:val="clear" w:color="auto" w:fill="FFFFCC"/>
            <w:noWrap/>
            <w:vAlign w:val="bottom"/>
            <w:hideMark/>
          </w:tcPr>
          <w:p w14:paraId="30ED5917" w14:textId="77777777" w:rsidR="00CC09AC" w:rsidRPr="007B48E9" w:rsidRDefault="00CC09AC" w:rsidP="003B085A">
            <w:pPr>
              <w:jc w:val="right"/>
              <w:rPr>
                <w:b/>
                <w:bCs/>
                <w:color w:val="0070C0"/>
                <w:sz w:val="18"/>
                <w:szCs w:val="18"/>
              </w:rPr>
            </w:pPr>
            <w:r>
              <w:rPr>
                <w:b/>
                <w:bCs/>
                <w:color w:val="000000"/>
                <w:sz w:val="18"/>
                <w:szCs w:val="18"/>
              </w:rPr>
              <w:t>1 657,8</w:t>
            </w:r>
          </w:p>
        </w:tc>
        <w:tc>
          <w:tcPr>
            <w:tcW w:w="851" w:type="dxa"/>
            <w:tcBorders>
              <w:top w:val="nil"/>
              <w:left w:val="single" w:sz="4" w:space="0" w:color="800000"/>
              <w:bottom w:val="nil"/>
              <w:right w:val="single" w:sz="4" w:space="0" w:color="800000"/>
            </w:tcBorders>
            <w:shd w:val="clear" w:color="auto" w:fill="FFFFCC"/>
            <w:noWrap/>
            <w:vAlign w:val="bottom"/>
            <w:hideMark/>
          </w:tcPr>
          <w:p w14:paraId="1C7F839A" w14:textId="77777777" w:rsidR="00CC09AC" w:rsidRPr="007B48E9" w:rsidRDefault="00CC09AC" w:rsidP="003B085A">
            <w:pPr>
              <w:jc w:val="right"/>
              <w:rPr>
                <w:b/>
                <w:bCs/>
                <w:color w:val="0070C0"/>
                <w:sz w:val="18"/>
                <w:szCs w:val="18"/>
              </w:rPr>
            </w:pPr>
            <w:r>
              <w:rPr>
                <w:b/>
                <w:bCs/>
                <w:color w:val="000000"/>
                <w:sz w:val="18"/>
                <w:szCs w:val="18"/>
              </w:rPr>
              <w:t>1 211,4</w:t>
            </w:r>
          </w:p>
        </w:tc>
        <w:tc>
          <w:tcPr>
            <w:tcW w:w="709" w:type="dxa"/>
            <w:tcBorders>
              <w:top w:val="nil"/>
              <w:left w:val="single" w:sz="4" w:space="0" w:color="800000"/>
              <w:bottom w:val="nil"/>
              <w:right w:val="single" w:sz="4" w:space="0" w:color="800000"/>
            </w:tcBorders>
            <w:shd w:val="clear" w:color="auto" w:fill="FFFFCC"/>
            <w:noWrap/>
            <w:vAlign w:val="bottom"/>
            <w:hideMark/>
          </w:tcPr>
          <w:p w14:paraId="62E85FEB"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07B4A453" w14:textId="77777777" w:rsidR="00CC09AC" w:rsidRPr="007B48E9" w:rsidRDefault="00CC09AC" w:rsidP="003B085A">
            <w:pPr>
              <w:jc w:val="right"/>
              <w:rPr>
                <w:b/>
                <w:bCs/>
                <w:color w:val="0070C0"/>
                <w:sz w:val="18"/>
                <w:szCs w:val="18"/>
              </w:rPr>
            </w:pPr>
            <w:r>
              <w:rPr>
                <w:b/>
                <w:bCs/>
                <w:color w:val="000000"/>
                <w:sz w:val="18"/>
                <w:szCs w:val="18"/>
              </w:rPr>
              <w:t>29,7</w:t>
            </w:r>
          </w:p>
        </w:tc>
        <w:tc>
          <w:tcPr>
            <w:tcW w:w="709" w:type="dxa"/>
            <w:tcBorders>
              <w:top w:val="nil"/>
              <w:left w:val="single" w:sz="4" w:space="0" w:color="800000"/>
              <w:bottom w:val="nil"/>
              <w:right w:val="single" w:sz="4" w:space="0" w:color="800000"/>
            </w:tcBorders>
            <w:shd w:val="clear" w:color="auto" w:fill="FFFFCC"/>
            <w:noWrap/>
            <w:vAlign w:val="bottom"/>
            <w:hideMark/>
          </w:tcPr>
          <w:p w14:paraId="3810B17C"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7375B7C3" w14:textId="77777777" w:rsidR="00CC09AC" w:rsidRPr="007B48E9" w:rsidRDefault="00CC09AC" w:rsidP="003B085A">
            <w:pPr>
              <w:jc w:val="right"/>
              <w:rPr>
                <w:b/>
                <w:bCs/>
                <w:color w:val="0070C0"/>
                <w:sz w:val="18"/>
                <w:szCs w:val="18"/>
              </w:rPr>
            </w:pPr>
            <w:r>
              <w:rPr>
                <w:b/>
                <w:bCs/>
                <w:color w:val="000000"/>
                <w:sz w:val="18"/>
                <w:szCs w:val="18"/>
              </w:rPr>
              <w:t>416,7</w:t>
            </w:r>
          </w:p>
        </w:tc>
        <w:tc>
          <w:tcPr>
            <w:tcW w:w="993" w:type="dxa"/>
            <w:tcBorders>
              <w:top w:val="nil"/>
              <w:left w:val="single" w:sz="4" w:space="0" w:color="800000"/>
              <w:bottom w:val="nil"/>
              <w:right w:val="single" w:sz="4" w:space="0" w:color="800000"/>
            </w:tcBorders>
            <w:shd w:val="clear" w:color="auto" w:fill="FFFFCC"/>
            <w:vAlign w:val="bottom"/>
          </w:tcPr>
          <w:p w14:paraId="0617AC41" w14:textId="77777777" w:rsidR="00CC09AC" w:rsidRPr="007B48E9" w:rsidRDefault="00CC09AC" w:rsidP="003B085A">
            <w:pPr>
              <w:jc w:val="right"/>
              <w:rPr>
                <w:b/>
                <w:bCs/>
                <w:color w:val="0070C0"/>
                <w:sz w:val="18"/>
                <w:szCs w:val="18"/>
              </w:rPr>
            </w:pPr>
            <w:r>
              <w:rPr>
                <w:b/>
                <w:bCs/>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5537E931"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1F5997EC"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79A32C9D" w14:textId="77777777" w:rsidR="00CC09AC" w:rsidRPr="00D51E09" w:rsidRDefault="00CC09AC" w:rsidP="003B085A">
            <w:pPr>
              <w:rPr>
                <w:sz w:val="18"/>
                <w:szCs w:val="18"/>
              </w:rPr>
            </w:pPr>
            <w:r w:rsidRPr="00D51E09">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03F38A82" w14:textId="77777777" w:rsidR="00CC09AC" w:rsidRPr="007B48E9" w:rsidRDefault="00CC09AC" w:rsidP="003B085A">
            <w:pPr>
              <w:jc w:val="right"/>
              <w:rPr>
                <w:color w:val="0070C0"/>
                <w:sz w:val="18"/>
                <w:szCs w:val="18"/>
              </w:rPr>
            </w:pPr>
            <w:r>
              <w:rPr>
                <w:color w:val="000000"/>
                <w:sz w:val="18"/>
                <w:szCs w:val="18"/>
              </w:rPr>
              <w:t>1 481,1</w:t>
            </w:r>
          </w:p>
        </w:tc>
        <w:tc>
          <w:tcPr>
            <w:tcW w:w="851" w:type="dxa"/>
            <w:tcBorders>
              <w:top w:val="nil"/>
              <w:left w:val="single" w:sz="4" w:space="0" w:color="800000"/>
              <w:bottom w:val="nil"/>
              <w:right w:val="single" w:sz="4" w:space="0" w:color="800000"/>
            </w:tcBorders>
            <w:shd w:val="clear" w:color="auto" w:fill="FFFFCC"/>
            <w:noWrap/>
            <w:vAlign w:val="bottom"/>
            <w:hideMark/>
          </w:tcPr>
          <w:p w14:paraId="3115604A" w14:textId="77777777" w:rsidR="00CC09AC" w:rsidRPr="007B48E9" w:rsidRDefault="00CC09AC" w:rsidP="003B085A">
            <w:pPr>
              <w:jc w:val="right"/>
              <w:rPr>
                <w:color w:val="0070C0"/>
                <w:sz w:val="18"/>
                <w:szCs w:val="18"/>
              </w:rPr>
            </w:pPr>
            <w:r>
              <w:rPr>
                <w:color w:val="000000"/>
                <w:sz w:val="18"/>
                <w:szCs w:val="18"/>
              </w:rPr>
              <w:t>1 198,3</w:t>
            </w:r>
          </w:p>
        </w:tc>
        <w:tc>
          <w:tcPr>
            <w:tcW w:w="709" w:type="dxa"/>
            <w:tcBorders>
              <w:top w:val="nil"/>
              <w:left w:val="single" w:sz="4" w:space="0" w:color="800000"/>
              <w:bottom w:val="nil"/>
              <w:right w:val="single" w:sz="4" w:space="0" w:color="800000"/>
            </w:tcBorders>
            <w:shd w:val="clear" w:color="auto" w:fill="FFFFCC"/>
            <w:noWrap/>
            <w:vAlign w:val="bottom"/>
            <w:hideMark/>
          </w:tcPr>
          <w:p w14:paraId="1C1BC02A"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6FA7D775" w14:textId="77777777" w:rsidR="00CC09AC" w:rsidRPr="007B48E9" w:rsidRDefault="00CC09AC" w:rsidP="003B085A">
            <w:pPr>
              <w:jc w:val="right"/>
              <w:rPr>
                <w:color w:val="0070C0"/>
                <w:sz w:val="18"/>
                <w:szCs w:val="18"/>
              </w:rPr>
            </w:pPr>
            <w:r>
              <w:rPr>
                <w:color w:val="000000"/>
                <w:sz w:val="18"/>
                <w:szCs w:val="18"/>
              </w:rPr>
              <w:t>29,2</w:t>
            </w:r>
          </w:p>
        </w:tc>
        <w:tc>
          <w:tcPr>
            <w:tcW w:w="709" w:type="dxa"/>
            <w:tcBorders>
              <w:top w:val="nil"/>
              <w:left w:val="single" w:sz="4" w:space="0" w:color="800000"/>
              <w:bottom w:val="nil"/>
              <w:right w:val="single" w:sz="4" w:space="0" w:color="800000"/>
            </w:tcBorders>
            <w:shd w:val="clear" w:color="auto" w:fill="FFFFCC"/>
            <w:noWrap/>
            <w:vAlign w:val="bottom"/>
            <w:hideMark/>
          </w:tcPr>
          <w:p w14:paraId="1501994B"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79629A66" w14:textId="77777777" w:rsidR="00CC09AC" w:rsidRPr="007B48E9" w:rsidRDefault="00CC09AC" w:rsidP="003B085A">
            <w:pPr>
              <w:jc w:val="right"/>
              <w:rPr>
                <w:color w:val="0070C0"/>
                <w:sz w:val="18"/>
                <w:szCs w:val="18"/>
              </w:rPr>
            </w:pPr>
            <w:r>
              <w:rPr>
                <w:color w:val="000000"/>
                <w:sz w:val="18"/>
                <w:szCs w:val="18"/>
              </w:rPr>
              <w:t>253,6</w:t>
            </w:r>
          </w:p>
        </w:tc>
        <w:tc>
          <w:tcPr>
            <w:tcW w:w="993" w:type="dxa"/>
            <w:tcBorders>
              <w:top w:val="nil"/>
              <w:left w:val="single" w:sz="4" w:space="0" w:color="800000"/>
              <w:bottom w:val="nil"/>
              <w:right w:val="single" w:sz="4" w:space="0" w:color="800000"/>
            </w:tcBorders>
            <w:shd w:val="clear" w:color="auto" w:fill="FFFFCC"/>
            <w:vAlign w:val="bottom"/>
          </w:tcPr>
          <w:p w14:paraId="56CA382F"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26DA4A1A"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090AB0E8"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4B25EF5B" w14:textId="77777777" w:rsidR="00CC09AC" w:rsidRPr="00D51E09" w:rsidRDefault="00CC09AC" w:rsidP="003B085A">
            <w:pPr>
              <w:rPr>
                <w:sz w:val="18"/>
                <w:szCs w:val="18"/>
              </w:rPr>
            </w:pPr>
            <w:r w:rsidRPr="00D51E09">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095C5FDC" w14:textId="77777777" w:rsidR="00CC09AC" w:rsidRPr="007B48E9" w:rsidRDefault="00CC09AC" w:rsidP="003B085A">
            <w:pPr>
              <w:jc w:val="right"/>
              <w:rPr>
                <w:color w:val="0070C0"/>
                <w:sz w:val="18"/>
                <w:szCs w:val="18"/>
              </w:rPr>
            </w:pPr>
            <w:r>
              <w:rPr>
                <w:color w:val="000000"/>
                <w:sz w:val="18"/>
                <w:szCs w:val="18"/>
              </w:rPr>
              <w:t>176,6</w:t>
            </w:r>
          </w:p>
        </w:tc>
        <w:tc>
          <w:tcPr>
            <w:tcW w:w="851" w:type="dxa"/>
            <w:tcBorders>
              <w:top w:val="nil"/>
              <w:left w:val="single" w:sz="4" w:space="0" w:color="800000"/>
              <w:bottom w:val="nil"/>
              <w:right w:val="single" w:sz="4" w:space="0" w:color="800000"/>
            </w:tcBorders>
            <w:shd w:val="clear" w:color="auto" w:fill="FFFFCC"/>
            <w:noWrap/>
            <w:vAlign w:val="bottom"/>
            <w:hideMark/>
          </w:tcPr>
          <w:p w14:paraId="37D640AE" w14:textId="77777777" w:rsidR="00CC09AC" w:rsidRPr="007B48E9" w:rsidRDefault="00CC09AC" w:rsidP="003B085A">
            <w:pPr>
              <w:jc w:val="right"/>
              <w:rPr>
                <w:color w:val="0070C0"/>
                <w:sz w:val="18"/>
                <w:szCs w:val="18"/>
              </w:rPr>
            </w:pPr>
            <w:r>
              <w:rPr>
                <w:color w:val="000000"/>
                <w:sz w:val="18"/>
                <w:szCs w:val="18"/>
              </w:rPr>
              <w:t>13,1</w:t>
            </w:r>
          </w:p>
        </w:tc>
        <w:tc>
          <w:tcPr>
            <w:tcW w:w="709" w:type="dxa"/>
            <w:tcBorders>
              <w:top w:val="nil"/>
              <w:left w:val="single" w:sz="4" w:space="0" w:color="800000"/>
              <w:bottom w:val="nil"/>
              <w:right w:val="single" w:sz="4" w:space="0" w:color="800000"/>
            </w:tcBorders>
            <w:shd w:val="clear" w:color="auto" w:fill="FFFFCC"/>
            <w:noWrap/>
            <w:vAlign w:val="bottom"/>
            <w:hideMark/>
          </w:tcPr>
          <w:p w14:paraId="317C312C"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04773649" w14:textId="77777777" w:rsidR="00CC09AC" w:rsidRPr="007B48E9" w:rsidRDefault="00CC09AC" w:rsidP="003B085A">
            <w:pPr>
              <w:jc w:val="right"/>
              <w:rPr>
                <w:color w:val="0070C0"/>
                <w:sz w:val="18"/>
                <w:szCs w:val="18"/>
              </w:rPr>
            </w:pPr>
            <w:r>
              <w:rPr>
                <w:color w:val="000000"/>
                <w:sz w:val="18"/>
                <w:szCs w:val="18"/>
              </w:rPr>
              <w:t>0,5</w:t>
            </w:r>
          </w:p>
        </w:tc>
        <w:tc>
          <w:tcPr>
            <w:tcW w:w="709" w:type="dxa"/>
            <w:tcBorders>
              <w:top w:val="nil"/>
              <w:left w:val="single" w:sz="4" w:space="0" w:color="800000"/>
              <w:bottom w:val="nil"/>
              <w:right w:val="single" w:sz="4" w:space="0" w:color="800000"/>
            </w:tcBorders>
            <w:shd w:val="clear" w:color="auto" w:fill="FFFFCC"/>
            <w:noWrap/>
            <w:vAlign w:val="bottom"/>
            <w:hideMark/>
          </w:tcPr>
          <w:p w14:paraId="6C6A4511"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3E88002" w14:textId="77777777" w:rsidR="00CC09AC" w:rsidRPr="007B48E9" w:rsidRDefault="00CC09AC" w:rsidP="003B085A">
            <w:pPr>
              <w:jc w:val="right"/>
              <w:rPr>
                <w:color w:val="0070C0"/>
                <w:sz w:val="18"/>
                <w:szCs w:val="18"/>
              </w:rPr>
            </w:pPr>
            <w:r>
              <w:rPr>
                <w:color w:val="000000"/>
                <w:sz w:val="18"/>
                <w:szCs w:val="18"/>
              </w:rPr>
              <w:t>163,0</w:t>
            </w:r>
          </w:p>
        </w:tc>
        <w:tc>
          <w:tcPr>
            <w:tcW w:w="993" w:type="dxa"/>
            <w:tcBorders>
              <w:top w:val="nil"/>
              <w:left w:val="single" w:sz="4" w:space="0" w:color="800000"/>
              <w:bottom w:val="nil"/>
              <w:right w:val="single" w:sz="4" w:space="0" w:color="800000"/>
            </w:tcBorders>
            <w:shd w:val="clear" w:color="auto" w:fill="FFFFCC"/>
            <w:vAlign w:val="bottom"/>
          </w:tcPr>
          <w:p w14:paraId="498396AE"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583875C3"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376503C3"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7A315971" w14:textId="77777777" w:rsidR="00CC09AC" w:rsidRPr="00D51E09" w:rsidRDefault="00CC09AC" w:rsidP="003B085A">
            <w:pPr>
              <w:rPr>
                <w:sz w:val="18"/>
                <w:szCs w:val="18"/>
              </w:rPr>
            </w:pPr>
            <w:r w:rsidRPr="00D51E09">
              <w:rPr>
                <w:sz w:val="18"/>
                <w:szCs w:val="18"/>
              </w:rPr>
              <w:t xml:space="preserve">   Пред. тек. и кап. тр/ри за чужбина</w:t>
            </w:r>
          </w:p>
        </w:tc>
        <w:tc>
          <w:tcPr>
            <w:tcW w:w="992" w:type="dxa"/>
            <w:tcBorders>
              <w:top w:val="nil"/>
              <w:left w:val="single" w:sz="4" w:space="0" w:color="800000"/>
              <w:bottom w:val="nil"/>
              <w:right w:val="single" w:sz="4" w:space="0" w:color="800000"/>
            </w:tcBorders>
            <w:shd w:val="clear" w:color="auto" w:fill="FFFFCC"/>
            <w:noWrap/>
            <w:vAlign w:val="bottom"/>
            <w:hideMark/>
          </w:tcPr>
          <w:p w14:paraId="524147D9" w14:textId="77777777" w:rsidR="00CC09AC" w:rsidRPr="007B48E9" w:rsidRDefault="00CC09AC" w:rsidP="003B085A">
            <w:pPr>
              <w:jc w:val="right"/>
              <w:rPr>
                <w:color w:val="0070C0"/>
                <w:sz w:val="18"/>
                <w:szCs w:val="18"/>
              </w:rPr>
            </w:pPr>
            <w:r>
              <w:rPr>
                <w:color w:val="000000"/>
                <w:sz w:val="18"/>
                <w:szCs w:val="18"/>
              </w:rPr>
              <w:t>0,1</w:t>
            </w:r>
          </w:p>
        </w:tc>
        <w:tc>
          <w:tcPr>
            <w:tcW w:w="851" w:type="dxa"/>
            <w:tcBorders>
              <w:top w:val="nil"/>
              <w:left w:val="single" w:sz="4" w:space="0" w:color="800000"/>
              <w:bottom w:val="nil"/>
              <w:right w:val="single" w:sz="4" w:space="0" w:color="800000"/>
            </w:tcBorders>
            <w:shd w:val="clear" w:color="auto" w:fill="FFFFCC"/>
            <w:noWrap/>
            <w:vAlign w:val="bottom"/>
            <w:hideMark/>
          </w:tcPr>
          <w:p w14:paraId="2D6E3D27"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792CDB87"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8EECC7E"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0C27E0C2"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70E623ED" w14:textId="77777777" w:rsidR="00CC09AC" w:rsidRPr="007B48E9" w:rsidRDefault="00CC09AC" w:rsidP="003B085A">
            <w:pPr>
              <w:jc w:val="right"/>
              <w:rPr>
                <w:color w:val="0070C0"/>
                <w:sz w:val="18"/>
                <w:szCs w:val="18"/>
              </w:rPr>
            </w:pPr>
            <w:r>
              <w:rPr>
                <w:color w:val="000000"/>
                <w:sz w:val="18"/>
                <w:szCs w:val="18"/>
              </w:rPr>
              <w:t>0,1</w:t>
            </w:r>
          </w:p>
        </w:tc>
        <w:tc>
          <w:tcPr>
            <w:tcW w:w="993" w:type="dxa"/>
            <w:tcBorders>
              <w:top w:val="nil"/>
              <w:left w:val="single" w:sz="4" w:space="0" w:color="800000"/>
              <w:bottom w:val="nil"/>
              <w:right w:val="single" w:sz="4" w:space="0" w:color="800000"/>
            </w:tcBorders>
            <w:shd w:val="clear" w:color="auto" w:fill="FFFFCC"/>
            <w:vAlign w:val="bottom"/>
          </w:tcPr>
          <w:p w14:paraId="47FD36CE"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582C527A"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24B997AA" w14:textId="77777777" w:rsidTr="003B085A">
        <w:trPr>
          <w:trHeight w:val="315"/>
        </w:trPr>
        <w:tc>
          <w:tcPr>
            <w:tcW w:w="3614" w:type="dxa"/>
            <w:tcBorders>
              <w:top w:val="nil"/>
              <w:left w:val="double" w:sz="6" w:space="0" w:color="800000"/>
              <w:bottom w:val="nil"/>
              <w:right w:val="single" w:sz="4" w:space="0" w:color="800000"/>
            </w:tcBorders>
            <w:shd w:val="clear" w:color="auto" w:fill="FFFFCC"/>
            <w:noWrap/>
            <w:vAlign w:val="bottom"/>
            <w:hideMark/>
          </w:tcPr>
          <w:p w14:paraId="394E29D4" w14:textId="77777777" w:rsidR="00CC09AC" w:rsidRPr="00D51E09" w:rsidRDefault="00CC09AC" w:rsidP="003B085A">
            <w:pPr>
              <w:rPr>
                <w:b/>
                <w:bCs/>
                <w:sz w:val="18"/>
                <w:szCs w:val="18"/>
              </w:rPr>
            </w:pPr>
            <w:r w:rsidRPr="00D51E09">
              <w:rPr>
                <w:b/>
                <w:bCs/>
                <w:sz w:val="18"/>
                <w:szCs w:val="18"/>
              </w:rPr>
              <w:t>В. ТРАНСПОРТ И СЪОБЩЕНИЯ</w:t>
            </w:r>
          </w:p>
        </w:tc>
        <w:tc>
          <w:tcPr>
            <w:tcW w:w="992" w:type="dxa"/>
            <w:tcBorders>
              <w:top w:val="nil"/>
              <w:left w:val="single" w:sz="4" w:space="0" w:color="800000"/>
              <w:bottom w:val="nil"/>
              <w:right w:val="single" w:sz="4" w:space="0" w:color="800000"/>
            </w:tcBorders>
            <w:shd w:val="clear" w:color="auto" w:fill="FFFFCC"/>
            <w:noWrap/>
            <w:vAlign w:val="bottom"/>
            <w:hideMark/>
          </w:tcPr>
          <w:p w14:paraId="06A789A1" w14:textId="77777777" w:rsidR="00CC09AC" w:rsidRPr="007B48E9" w:rsidRDefault="00CC09AC" w:rsidP="003B085A">
            <w:pPr>
              <w:jc w:val="right"/>
              <w:rPr>
                <w:b/>
                <w:bCs/>
                <w:color w:val="0070C0"/>
                <w:sz w:val="18"/>
                <w:szCs w:val="18"/>
              </w:rPr>
            </w:pPr>
            <w:r>
              <w:rPr>
                <w:b/>
                <w:bCs/>
                <w:color w:val="000000"/>
                <w:sz w:val="18"/>
                <w:szCs w:val="18"/>
              </w:rPr>
              <w:t>4 542,7</w:t>
            </w:r>
          </w:p>
        </w:tc>
        <w:tc>
          <w:tcPr>
            <w:tcW w:w="851" w:type="dxa"/>
            <w:tcBorders>
              <w:top w:val="nil"/>
              <w:left w:val="single" w:sz="4" w:space="0" w:color="800000"/>
              <w:bottom w:val="nil"/>
              <w:right w:val="single" w:sz="4" w:space="0" w:color="800000"/>
            </w:tcBorders>
            <w:shd w:val="clear" w:color="auto" w:fill="FFFFCC"/>
            <w:noWrap/>
            <w:vAlign w:val="bottom"/>
            <w:hideMark/>
          </w:tcPr>
          <w:p w14:paraId="64579045" w14:textId="77777777" w:rsidR="00CC09AC" w:rsidRPr="007B48E9" w:rsidRDefault="00CC09AC" w:rsidP="003B085A">
            <w:pPr>
              <w:jc w:val="right"/>
              <w:rPr>
                <w:b/>
                <w:bCs/>
                <w:color w:val="0070C0"/>
                <w:sz w:val="18"/>
                <w:szCs w:val="18"/>
              </w:rPr>
            </w:pPr>
            <w:r>
              <w:rPr>
                <w:b/>
                <w:bCs/>
                <w:color w:val="000000"/>
                <w:sz w:val="18"/>
                <w:szCs w:val="18"/>
              </w:rPr>
              <w:t>3 209,7</w:t>
            </w:r>
          </w:p>
        </w:tc>
        <w:tc>
          <w:tcPr>
            <w:tcW w:w="709" w:type="dxa"/>
            <w:tcBorders>
              <w:top w:val="nil"/>
              <w:left w:val="single" w:sz="4" w:space="0" w:color="800000"/>
              <w:bottom w:val="nil"/>
              <w:right w:val="single" w:sz="4" w:space="0" w:color="800000"/>
            </w:tcBorders>
            <w:shd w:val="clear" w:color="auto" w:fill="FFFFCC"/>
            <w:noWrap/>
            <w:vAlign w:val="bottom"/>
            <w:hideMark/>
          </w:tcPr>
          <w:p w14:paraId="0E469C68"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5EB067E" w14:textId="77777777" w:rsidR="00CC09AC" w:rsidRPr="007B48E9" w:rsidRDefault="00CC09AC" w:rsidP="003B085A">
            <w:pPr>
              <w:jc w:val="right"/>
              <w:rPr>
                <w:b/>
                <w:bCs/>
                <w:color w:val="0070C0"/>
                <w:sz w:val="18"/>
                <w:szCs w:val="18"/>
              </w:rPr>
            </w:pPr>
            <w:r>
              <w:rPr>
                <w:b/>
                <w:bCs/>
                <w:color w:val="000000"/>
                <w:sz w:val="18"/>
                <w:szCs w:val="18"/>
              </w:rPr>
              <w:t>656,5</w:t>
            </w:r>
          </w:p>
        </w:tc>
        <w:tc>
          <w:tcPr>
            <w:tcW w:w="709" w:type="dxa"/>
            <w:tcBorders>
              <w:top w:val="nil"/>
              <w:left w:val="single" w:sz="4" w:space="0" w:color="800000"/>
              <w:bottom w:val="nil"/>
              <w:right w:val="single" w:sz="4" w:space="0" w:color="800000"/>
            </w:tcBorders>
            <w:shd w:val="clear" w:color="auto" w:fill="FFFFCC"/>
            <w:noWrap/>
            <w:vAlign w:val="bottom"/>
            <w:hideMark/>
          </w:tcPr>
          <w:p w14:paraId="6464D8E7"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0BE1FA8D" w14:textId="77777777" w:rsidR="00CC09AC" w:rsidRPr="007B48E9" w:rsidRDefault="00CC09AC" w:rsidP="003B085A">
            <w:pPr>
              <w:jc w:val="right"/>
              <w:rPr>
                <w:b/>
                <w:bCs/>
                <w:color w:val="0070C0"/>
                <w:sz w:val="18"/>
                <w:szCs w:val="18"/>
              </w:rPr>
            </w:pPr>
            <w:r>
              <w:rPr>
                <w:b/>
                <w:bCs/>
                <w:color w:val="000000"/>
                <w:sz w:val="18"/>
                <w:szCs w:val="18"/>
              </w:rPr>
              <w:t>676,4</w:t>
            </w:r>
          </w:p>
        </w:tc>
        <w:tc>
          <w:tcPr>
            <w:tcW w:w="993" w:type="dxa"/>
            <w:tcBorders>
              <w:top w:val="nil"/>
              <w:left w:val="single" w:sz="4" w:space="0" w:color="800000"/>
              <w:bottom w:val="nil"/>
              <w:right w:val="single" w:sz="4" w:space="0" w:color="800000"/>
            </w:tcBorders>
            <w:shd w:val="clear" w:color="auto" w:fill="FFFFCC"/>
            <w:vAlign w:val="bottom"/>
          </w:tcPr>
          <w:p w14:paraId="7755A486" w14:textId="77777777" w:rsidR="00CC09AC" w:rsidRPr="007B48E9" w:rsidRDefault="00CC09AC" w:rsidP="003B085A">
            <w:pPr>
              <w:jc w:val="right"/>
              <w:rPr>
                <w:b/>
                <w:bCs/>
                <w:color w:val="0070C0"/>
                <w:sz w:val="18"/>
                <w:szCs w:val="18"/>
              </w:rPr>
            </w:pPr>
            <w:r>
              <w:rPr>
                <w:b/>
                <w:bCs/>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2B959674"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3B9443F9"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7EFC1F15" w14:textId="77777777" w:rsidR="00CC09AC" w:rsidRPr="00D51E09" w:rsidRDefault="00CC09AC" w:rsidP="003B085A">
            <w:pPr>
              <w:rPr>
                <w:sz w:val="18"/>
                <w:szCs w:val="18"/>
              </w:rPr>
            </w:pPr>
            <w:r w:rsidRPr="00D51E09">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29417007" w14:textId="77777777" w:rsidR="00CC09AC" w:rsidRPr="007B48E9" w:rsidRDefault="00CC09AC" w:rsidP="003B085A">
            <w:pPr>
              <w:jc w:val="right"/>
              <w:rPr>
                <w:color w:val="0070C0"/>
                <w:sz w:val="18"/>
                <w:szCs w:val="18"/>
              </w:rPr>
            </w:pPr>
            <w:r>
              <w:rPr>
                <w:color w:val="000000"/>
                <w:sz w:val="18"/>
                <w:szCs w:val="18"/>
              </w:rPr>
              <w:t>2 745,3</w:t>
            </w:r>
          </w:p>
        </w:tc>
        <w:tc>
          <w:tcPr>
            <w:tcW w:w="851" w:type="dxa"/>
            <w:tcBorders>
              <w:top w:val="nil"/>
              <w:left w:val="single" w:sz="4" w:space="0" w:color="800000"/>
              <w:bottom w:val="nil"/>
              <w:right w:val="single" w:sz="4" w:space="0" w:color="800000"/>
            </w:tcBorders>
            <w:shd w:val="clear" w:color="auto" w:fill="FFFFCC"/>
            <w:noWrap/>
            <w:vAlign w:val="bottom"/>
            <w:hideMark/>
          </w:tcPr>
          <w:p w14:paraId="4E7378B6" w14:textId="77777777" w:rsidR="00CC09AC" w:rsidRPr="007B48E9" w:rsidRDefault="00CC09AC" w:rsidP="003B085A">
            <w:pPr>
              <w:jc w:val="right"/>
              <w:rPr>
                <w:color w:val="0070C0"/>
                <w:sz w:val="18"/>
                <w:szCs w:val="18"/>
              </w:rPr>
            </w:pPr>
            <w:r>
              <w:rPr>
                <w:color w:val="000000"/>
                <w:sz w:val="18"/>
                <w:szCs w:val="18"/>
              </w:rPr>
              <w:t>2 249,3</w:t>
            </w:r>
          </w:p>
        </w:tc>
        <w:tc>
          <w:tcPr>
            <w:tcW w:w="709" w:type="dxa"/>
            <w:tcBorders>
              <w:top w:val="nil"/>
              <w:left w:val="single" w:sz="4" w:space="0" w:color="800000"/>
              <w:bottom w:val="nil"/>
              <w:right w:val="single" w:sz="4" w:space="0" w:color="800000"/>
            </w:tcBorders>
            <w:shd w:val="clear" w:color="auto" w:fill="FFFFCC"/>
            <w:noWrap/>
            <w:vAlign w:val="bottom"/>
            <w:hideMark/>
          </w:tcPr>
          <w:p w14:paraId="3EEAB27D"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CCE2D1E" w14:textId="77777777" w:rsidR="00CC09AC" w:rsidRPr="007B48E9" w:rsidRDefault="00CC09AC" w:rsidP="003B085A">
            <w:pPr>
              <w:jc w:val="right"/>
              <w:rPr>
                <w:color w:val="0070C0"/>
                <w:sz w:val="18"/>
                <w:szCs w:val="18"/>
              </w:rPr>
            </w:pPr>
            <w:r>
              <w:rPr>
                <w:color w:val="000000"/>
                <w:sz w:val="18"/>
                <w:szCs w:val="18"/>
              </w:rPr>
              <w:t>483,7</w:t>
            </w:r>
          </w:p>
        </w:tc>
        <w:tc>
          <w:tcPr>
            <w:tcW w:w="709" w:type="dxa"/>
            <w:tcBorders>
              <w:top w:val="nil"/>
              <w:left w:val="single" w:sz="4" w:space="0" w:color="800000"/>
              <w:bottom w:val="nil"/>
              <w:right w:val="single" w:sz="4" w:space="0" w:color="800000"/>
            </w:tcBorders>
            <w:shd w:val="clear" w:color="auto" w:fill="FFFFCC"/>
            <w:noWrap/>
            <w:vAlign w:val="bottom"/>
            <w:hideMark/>
          </w:tcPr>
          <w:p w14:paraId="1CA5AB39"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1AA65C96" w14:textId="77777777" w:rsidR="00CC09AC" w:rsidRPr="007B48E9" w:rsidRDefault="00CC09AC" w:rsidP="003B085A">
            <w:pPr>
              <w:jc w:val="right"/>
              <w:rPr>
                <w:color w:val="0070C0"/>
                <w:sz w:val="18"/>
                <w:szCs w:val="18"/>
              </w:rPr>
            </w:pPr>
            <w:r>
              <w:rPr>
                <w:color w:val="000000"/>
                <w:sz w:val="18"/>
                <w:szCs w:val="18"/>
              </w:rPr>
              <w:t>12,3</w:t>
            </w:r>
          </w:p>
        </w:tc>
        <w:tc>
          <w:tcPr>
            <w:tcW w:w="993" w:type="dxa"/>
            <w:tcBorders>
              <w:top w:val="nil"/>
              <w:left w:val="single" w:sz="4" w:space="0" w:color="800000"/>
              <w:bottom w:val="nil"/>
              <w:right w:val="single" w:sz="4" w:space="0" w:color="800000"/>
            </w:tcBorders>
            <w:shd w:val="clear" w:color="auto" w:fill="FFFFCC"/>
            <w:vAlign w:val="bottom"/>
          </w:tcPr>
          <w:p w14:paraId="7B3AA6C7"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141D1AA7"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157757E0"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42006FFD" w14:textId="77777777" w:rsidR="00CC09AC" w:rsidRPr="00D51E09" w:rsidRDefault="00CC09AC" w:rsidP="003B085A">
            <w:pPr>
              <w:rPr>
                <w:sz w:val="18"/>
                <w:szCs w:val="18"/>
              </w:rPr>
            </w:pPr>
            <w:r w:rsidRPr="00D51E09">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25D51028" w14:textId="77777777" w:rsidR="00CC09AC" w:rsidRPr="007B48E9" w:rsidRDefault="00CC09AC" w:rsidP="003B085A">
            <w:pPr>
              <w:jc w:val="right"/>
              <w:rPr>
                <w:color w:val="0070C0"/>
                <w:sz w:val="18"/>
                <w:szCs w:val="18"/>
              </w:rPr>
            </w:pPr>
            <w:r>
              <w:rPr>
                <w:color w:val="000000"/>
                <w:sz w:val="18"/>
                <w:szCs w:val="18"/>
              </w:rPr>
              <w:t>1 796,9</w:t>
            </w:r>
          </w:p>
        </w:tc>
        <w:tc>
          <w:tcPr>
            <w:tcW w:w="851" w:type="dxa"/>
            <w:tcBorders>
              <w:top w:val="nil"/>
              <w:left w:val="single" w:sz="4" w:space="0" w:color="800000"/>
              <w:bottom w:val="nil"/>
              <w:right w:val="single" w:sz="4" w:space="0" w:color="800000"/>
            </w:tcBorders>
            <w:shd w:val="clear" w:color="auto" w:fill="FFFFCC"/>
            <w:noWrap/>
            <w:vAlign w:val="bottom"/>
            <w:hideMark/>
          </w:tcPr>
          <w:p w14:paraId="79D9A0CD" w14:textId="77777777" w:rsidR="00CC09AC" w:rsidRPr="007B48E9" w:rsidRDefault="00CC09AC" w:rsidP="003B085A">
            <w:pPr>
              <w:jc w:val="right"/>
              <w:rPr>
                <w:color w:val="0070C0"/>
                <w:sz w:val="18"/>
                <w:szCs w:val="18"/>
              </w:rPr>
            </w:pPr>
            <w:r>
              <w:rPr>
                <w:color w:val="000000"/>
                <w:sz w:val="18"/>
                <w:szCs w:val="18"/>
              </w:rPr>
              <w:t>960,5</w:t>
            </w:r>
          </w:p>
        </w:tc>
        <w:tc>
          <w:tcPr>
            <w:tcW w:w="709" w:type="dxa"/>
            <w:tcBorders>
              <w:top w:val="nil"/>
              <w:left w:val="single" w:sz="4" w:space="0" w:color="800000"/>
              <w:bottom w:val="nil"/>
              <w:right w:val="single" w:sz="4" w:space="0" w:color="800000"/>
            </w:tcBorders>
            <w:shd w:val="clear" w:color="auto" w:fill="FFFFCC"/>
            <w:noWrap/>
            <w:vAlign w:val="bottom"/>
            <w:hideMark/>
          </w:tcPr>
          <w:p w14:paraId="2CFAC33F"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2B211B95" w14:textId="77777777" w:rsidR="00CC09AC" w:rsidRPr="007B48E9" w:rsidRDefault="00CC09AC" w:rsidP="003B085A">
            <w:pPr>
              <w:jc w:val="right"/>
              <w:rPr>
                <w:color w:val="0070C0"/>
                <w:sz w:val="18"/>
                <w:szCs w:val="18"/>
              </w:rPr>
            </w:pPr>
            <w:r>
              <w:rPr>
                <w:color w:val="000000"/>
                <w:sz w:val="18"/>
                <w:szCs w:val="18"/>
              </w:rPr>
              <w:t>172,8</w:t>
            </w:r>
          </w:p>
        </w:tc>
        <w:tc>
          <w:tcPr>
            <w:tcW w:w="709" w:type="dxa"/>
            <w:tcBorders>
              <w:top w:val="nil"/>
              <w:left w:val="single" w:sz="4" w:space="0" w:color="800000"/>
              <w:bottom w:val="nil"/>
              <w:right w:val="single" w:sz="4" w:space="0" w:color="800000"/>
            </w:tcBorders>
            <w:shd w:val="clear" w:color="auto" w:fill="FFFFCC"/>
            <w:noWrap/>
            <w:vAlign w:val="bottom"/>
            <w:hideMark/>
          </w:tcPr>
          <w:p w14:paraId="302BF8D9"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21F66EE1" w14:textId="77777777" w:rsidR="00CC09AC" w:rsidRPr="007B48E9" w:rsidRDefault="00CC09AC" w:rsidP="003B085A">
            <w:pPr>
              <w:jc w:val="right"/>
              <w:rPr>
                <w:color w:val="0070C0"/>
                <w:sz w:val="18"/>
                <w:szCs w:val="18"/>
              </w:rPr>
            </w:pPr>
            <w:r>
              <w:rPr>
                <w:color w:val="000000"/>
                <w:sz w:val="18"/>
                <w:szCs w:val="18"/>
              </w:rPr>
              <w:t>663,7</w:t>
            </w:r>
          </w:p>
        </w:tc>
        <w:tc>
          <w:tcPr>
            <w:tcW w:w="993" w:type="dxa"/>
            <w:tcBorders>
              <w:top w:val="nil"/>
              <w:left w:val="single" w:sz="4" w:space="0" w:color="800000"/>
              <w:bottom w:val="nil"/>
              <w:right w:val="single" w:sz="4" w:space="0" w:color="800000"/>
            </w:tcBorders>
            <w:shd w:val="clear" w:color="auto" w:fill="FFFFCC"/>
            <w:vAlign w:val="bottom"/>
          </w:tcPr>
          <w:p w14:paraId="0608839C"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0FADB14C"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24D99828" w14:textId="77777777" w:rsidTr="003B085A">
        <w:trPr>
          <w:trHeight w:val="315"/>
        </w:trPr>
        <w:tc>
          <w:tcPr>
            <w:tcW w:w="3614" w:type="dxa"/>
            <w:tcBorders>
              <w:top w:val="nil"/>
              <w:left w:val="double" w:sz="6" w:space="0" w:color="800000"/>
              <w:bottom w:val="nil"/>
              <w:right w:val="single" w:sz="4" w:space="0" w:color="800000"/>
            </w:tcBorders>
            <w:shd w:val="clear" w:color="auto" w:fill="FFFFCC"/>
            <w:noWrap/>
            <w:vAlign w:val="bottom"/>
            <w:hideMark/>
          </w:tcPr>
          <w:p w14:paraId="1E72E6BF" w14:textId="77777777" w:rsidR="00CC09AC" w:rsidRPr="00D51E09" w:rsidRDefault="00CC09AC" w:rsidP="003B085A">
            <w:pPr>
              <w:rPr>
                <w:sz w:val="18"/>
                <w:szCs w:val="18"/>
              </w:rPr>
            </w:pPr>
            <w:r w:rsidRPr="00D51E09">
              <w:rPr>
                <w:sz w:val="18"/>
                <w:szCs w:val="18"/>
              </w:rPr>
              <w:t xml:space="preserve">   Пред. тек. и кап. тр/ри за чужбина</w:t>
            </w:r>
          </w:p>
        </w:tc>
        <w:tc>
          <w:tcPr>
            <w:tcW w:w="992" w:type="dxa"/>
            <w:tcBorders>
              <w:top w:val="nil"/>
              <w:left w:val="single" w:sz="4" w:space="0" w:color="800000"/>
              <w:bottom w:val="nil"/>
              <w:right w:val="single" w:sz="4" w:space="0" w:color="800000"/>
            </w:tcBorders>
            <w:shd w:val="clear" w:color="auto" w:fill="FFFFCC"/>
            <w:noWrap/>
            <w:vAlign w:val="bottom"/>
            <w:hideMark/>
          </w:tcPr>
          <w:p w14:paraId="390AF3F8" w14:textId="77777777" w:rsidR="00CC09AC" w:rsidRPr="007B48E9" w:rsidRDefault="00CC09AC" w:rsidP="003B085A">
            <w:pPr>
              <w:jc w:val="right"/>
              <w:rPr>
                <w:color w:val="0070C0"/>
                <w:sz w:val="18"/>
                <w:szCs w:val="18"/>
              </w:rPr>
            </w:pPr>
            <w:r>
              <w:rPr>
                <w:color w:val="000000"/>
                <w:sz w:val="18"/>
                <w:szCs w:val="18"/>
              </w:rPr>
              <w:t>0,5</w:t>
            </w:r>
          </w:p>
        </w:tc>
        <w:tc>
          <w:tcPr>
            <w:tcW w:w="851" w:type="dxa"/>
            <w:tcBorders>
              <w:top w:val="nil"/>
              <w:left w:val="single" w:sz="4" w:space="0" w:color="800000"/>
              <w:bottom w:val="nil"/>
              <w:right w:val="single" w:sz="4" w:space="0" w:color="800000"/>
            </w:tcBorders>
            <w:shd w:val="clear" w:color="auto" w:fill="FFFFCC"/>
            <w:noWrap/>
            <w:vAlign w:val="bottom"/>
            <w:hideMark/>
          </w:tcPr>
          <w:p w14:paraId="743E4EFA"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1568BD84"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6E3B2B9F"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6F055537"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3AA312E5" w14:textId="77777777" w:rsidR="00CC09AC" w:rsidRPr="007B48E9" w:rsidRDefault="00CC09AC" w:rsidP="003B085A">
            <w:pPr>
              <w:jc w:val="right"/>
              <w:rPr>
                <w:color w:val="0070C0"/>
                <w:sz w:val="18"/>
                <w:szCs w:val="18"/>
              </w:rPr>
            </w:pPr>
            <w:r>
              <w:rPr>
                <w:color w:val="000000"/>
                <w:sz w:val="18"/>
                <w:szCs w:val="18"/>
              </w:rPr>
              <w:t>0,5</w:t>
            </w:r>
          </w:p>
        </w:tc>
        <w:tc>
          <w:tcPr>
            <w:tcW w:w="993" w:type="dxa"/>
            <w:tcBorders>
              <w:top w:val="nil"/>
              <w:left w:val="single" w:sz="4" w:space="0" w:color="800000"/>
              <w:bottom w:val="nil"/>
              <w:right w:val="single" w:sz="4" w:space="0" w:color="800000"/>
            </w:tcBorders>
            <w:shd w:val="clear" w:color="auto" w:fill="FFFFCC"/>
            <w:vAlign w:val="bottom"/>
          </w:tcPr>
          <w:p w14:paraId="1D18B508"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57E5C594"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601EC14E" w14:textId="77777777" w:rsidTr="003B085A">
        <w:trPr>
          <w:trHeight w:val="510"/>
        </w:trPr>
        <w:tc>
          <w:tcPr>
            <w:tcW w:w="3614" w:type="dxa"/>
            <w:tcBorders>
              <w:top w:val="nil"/>
              <w:left w:val="double" w:sz="6" w:space="0" w:color="800000"/>
              <w:bottom w:val="nil"/>
              <w:right w:val="single" w:sz="4" w:space="0" w:color="800000"/>
            </w:tcBorders>
            <w:shd w:val="clear" w:color="auto" w:fill="FFFFCC"/>
            <w:noWrap/>
            <w:vAlign w:val="bottom"/>
            <w:hideMark/>
          </w:tcPr>
          <w:p w14:paraId="4AAF04C2" w14:textId="77777777" w:rsidR="00CC09AC" w:rsidRPr="00D51E09" w:rsidRDefault="00CC09AC" w:rsidP="003B085A">
            <w:pPr>
              <w:rPr>
                <w:b/>
                <w:bCs/>
                <w:sz w:val="18"/>
                <w:szCs w:val="18"/>
              </w:rPr>
            </w:pPr>
            <w:r w:rsidRPr="00D51E09">
              <w:rPr>
                <w:b/>
                <w:bCs/>
                <w:sz w:val="18"/>
                <w:szCs w:val="18"/>
              </w:rPr>
              <w:t>Г. ПРОМИШЛЕНОСТ И СТРОИТЕЛСТВО</w:t>
            </w:r>
          </w:p>
        </w:tc>
        <w:tc>
          <w:tcPr>
            <w:tcW w:w="992" w:type="dxa"/>
            <w:tcBorders>
              <w:top w:val="nil"/>
              <w:left w:val="single" w:sz="4" w:space="0" w:color="800000"/>
              <w:bottom w:val="nil"/>
              <w:right w:val="single" w:sz="4" w:space="0" w:color="800000"/>
            </w:tcBorders>
            <w:shd w:val="clear" w:color="auto" w:fill="FFFFCC"/>
            <w:noWrap/>
            <w:vAlign w:val="bottom"/>
            <w:hideMark/>
          </w:tcPr>
          <w:p w14:paraId="3756523B" w14:textId="77777777" w:rsidR="00CC09AC" w:rsidRPr="007B48E9" w:rsidRDefault="00CC09AC" w:rsidP="003B085A">
            <w:pPr>
              <w:jc w:val="right"/>
              <w:rPr>
                <w:b/>
                <w:bCs/>
                <w:color w:val="0070C0"/>
                <w:sz w:val="18"/>
                <w:szCs w:val="18"/>
              </w:rPr>
            </w:pPr>
            <w:r>
              <w:rPr>
                <w:b/>
                <w:bCs/>
                <w:color w:val="000000"/>
                <w:sz w:val="18"/>
                <w:szCs w:val="18"/>
              </w:rPr>
              <w:t>5,1</w:t>
            </w:r>
          </w:p>
        </w:tc>
        <w:tc>
          <w:tcPr>
            <w:tcW w:w="851" w:type="dxa"/>
            <w:tcBorders>
              <w:top w:val="nil"/>
              <w:left w:val="single" w:sz="4" w:space="0" w:color="800000"/>
              <w:bottom w:val="nil"/>
              <w:right w:val="single" w:sz="4" w:space="0" w:color="800000"/>
            </w:tcBorders>
            <w:shd w:val="clear" w:color="auto" w:fill="FFFFCC"/>
            <w:noWrap/>
            <w:vAlign w:val="bottom"/>
            <w:hideMark/>
          </w:tcPr>
          <w:p w14:paraId="059D6D6A" w14:textId="77777777" w:rsidR="00CC09AC" w:rsidRPr="007B48E9" w:rsidRDefault="00CC09AC" w:rsidP="003B085A">
            <w:pPr>
              <w:jc w:val="right"/>
              <w:rPr>
                <w:b/>
                <w:bCs/>
                <w:color w:val="0070C0"/>
                <w:sz w:val="18"/>
                <w:szCs w:val="18"/>
              </w:rPr>
            </w:pPr>
            <w:r>
              <w:rPr>
                <w:b/>
                <w:bCs/>
                <w:color w:val="000000"/>
                <w:sz w:val="18"/>
                <w:szCs w:val="18"/>
              </w:rPr>
              <w:t>2,3</w:t>
            </w:r>
          </w:p>
        </w:tc>
        <w:tc>
          <w:tcPr>
            <w:tcW w:w="709" w:type="dxa"/>
            <w:tcBorders>
              <w:top w:val="nil"/>
              <w:left w:val="single" w:sz="4" w:space="0" w:color="800000"/>
              <w:bottom w:val="nil"/>
              <w:right w:val="single" w:sz="4" w:space="0" w:color="800000"/>
            </w:tcBorders>
            <w:shd w:val="clear" w:color="auto" w:fill="FFFFCC"/>
            <w:noWrap/>
            <w:vAlign w:val="bottom"/>
            <w:hideMark/>
          </w:tcPr>
          <w:p w14:paraId="037B3608"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28D47F10" w14:textId="77777777" w:rsidR="00CC09AC" w:rsidRPr="007B48E9" w:rsidRDefault="00CC09AC" w:rsidP="003B085A">
            <w:pPr>
              <w:jc w:val="right"/>
              <w:rPr>
                <w:b/>
                <w:bCs/>
                <w:color w:val="0070C0"/>
                <w:sz w:val="18"/>
                <w:szCs w:val="18"/>
              </w:rPr>
            </w:pPr>
            <w:r>
              <w:rPr>
                <w:b/>
                <w:bCs/>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7B1B5E74"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64037995" w14:textId="77777777" w:rsidR="00CC09AC" w:rsidRPr="007B48E9" w:rsidRDefault="00CC09AC" w:rsidP="003B085A">
            <w:pPr>
              <w:jc w:val="right"/>
              <w:rPr>
                <w:b/>
                <w:bCs/>
                <w:color w:val="0070C0"/>
                <w:sz w:val="18"/>
                <w:szCs w:val="18"/>
              </w:rPr>
            </w:pPr>
            <w:r>
              <w:rPr>
                <w:b/>
                <w:bCs/>
                <w:color w:val="000000"/>
                <w:sz w:val="18"/>
                <w:szCs w:val="18"/>
              </w:rPr>
              <w:t>2,8</w:t>
            </w:r>
          </w:p>
        </w:tc>
        <w:tc>
          <w:tcPr>
            <w:tcW w:w="993" w:type="dxa"/>
            <w:tcBorders>
              <w:top w:val="nil"/>
              <w:left w:val="single" w:sz="4" w:space="0" w:color="800000"/>
              <w:bottom w:val="nil"/>
              <w:right w:val="single" w:sz="4" w:space="0" w:color="800000"/>
            </w:tcBorders>
            <w:shd w:val="clear" w:color="auto" w:fill="FFFFCC"/>
            <w:vAlign w:val="bottom"/>
          </w:tcPr>
          <w:p w14:paraId="745C2344" w14:textId="77777777" w:rsidR="00CC09AC" w:rsidRPr="007B48E9" w:rsidRDefault="00CC09AC" w:rsidP="003B085A">
            <w:pPr>
              <w:jc w:val="right"/>
              <w:rPr>
                <w:b/>
                <w:bCs/>
                <w:color w:val="0070C0"/>
                <w:sz w:val="18"/>
                <w:szCs w:val="18"/>
              </w:rPr>
            </w:pPr>
            <w:r>
              <w:rPr>
                <w:b/>
                <w:bCs/>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0DC1D540"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6C6D69E4"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16EAAB00" w14:textId="77777777" w:rsidR="00CC09AC" w:rsidRPr="00D51E09" w:rsidRDefault="00CC09AC" w:rsidP="003B085A">
            <w:pPr>
              <w:rPr>
                <w:sz w:val="18"/>
                <w:szCs w:val="18"/>
              </w:rPr>
            </w:pPr>
            <w:r w:rsidRPr="00D51E09">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43AED46D" w14:textId="77777777" w:rsidR="00CC09AC" w:rsidRPr="007B48E9" w:rsidRDefault="00CC09AC" w:rsidP="003B085A">
            <w:pPr>
              <w:jc w:val="right"/>
              <w:rPr>
                <w:color w:val="0070C0"/>
                <w:sz w:val="18"/>
                <w:szCs w:val="18"/>
              </w:rPr>
            </w:pPr>
            <w:r>
              <w:rPr>
                <w:color w:val="000000"/>
                <w:sz w:val="18"/>
                <w:szCs w:val="18"/>
              </w:rPr>
              <w:t>5,1</w:t>
            </w:r>
          </w:p>
        </w:tc>
        <w:tc>
          <w:tcPr>
            <w:tcW w:w="851" w:type="dxa"/>
            <w:tcBorders>
              <w:top w:val="nil"/>
              <w:left w:val="single" w:sz="4" w:space="0" w:color="800000"/>
              <w:bottom w:val="nil"/>
              <w:right w:val="single" w:sz="4" w:space="0" w:color="800000"/>
            </w:tcBorders>
            <w:shd w:val="clear" w:color="auto" w:fill="FFFFCC"/>
            <w:noWrap/>
            <w:vAlign w:val="bottom"/>
            <w:hideMark/>
          </w:tcPr>
          <w:p w14:paraId="251820A2" w14:textId="77777777" w:rsidR="00CC09AC" w:rsidRPr="007B48E9" w:rsidRDefault="00CC09AC" w:rsidP="003B085A">
            <w:pPr>
              <w:jc w:val="right"/>
              <w:rPr>
                <w:color w:val="0070C0"/>
                <w:sz w:val="18"/>
                <w:szCs w:val="18"/>
              </w:rPr>
            </w:pPr>
            <w:r>
              <w:rPr>
                <w:color w:val="000000"/>
                <w:sz w:val="18"/>
                <w:szCs w:val="18"/>
              </w:rPr>
              <w:t>2,3</w:t>
            </w:r>
          </w:p>
        </w:tc>
        <w:tc>
          <w:tcPr>
            <w:tcW w:w="709" w:type="dxa"/>
            <w:tcBorders>
              <w:top w:val="nil"/>
              <w:left w:val="single" w:sz="4" w:space="0" w:color="800000"/>
              <w:bottom w:val="nil"/>
              <w:right w:val="single" w:sz="4" w:space="0" w:color="800000"/>
            </w:tcBorders>
            <w:shd w:val="clear" w:color="auto" w:fill="FFFFCC"/>
            <w:noWrap/>
            <w:vAlign w:val="bottom"/>
            <w:hideMark/>
          </w:tcPr>
          <w:p w14:paraId="29A8A1D2"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554CD41"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615319E4"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4C153384" w14:textId="77777777" w:rsidR="00CC09AC" w:rsidRPr="007B48E9" w:rsidRDefault="00CC09AC" w:rsidP="003B085A">
            <w:pPr>
              <w:jc w:val="right"/>
              <w:rPr>
                <w:color w:val="0070C0"/>
                <w:sz w:val="18"/>
                <w:szCs w:val="18"/>
              </w:rPr>
            </w:pPr>
            <w:r>
              <w:rPr>
                <w:color w:val="000000"/>
                <w:sz w:val="18"/>
                <w:szCs w:val="18"/>
              </w:rPr>
              <w:t>2,8</w:t>
            </w:r>
          </w:p>
        </w:tc>
        <w:tc>
          <w:tcPr>
            <w:tcW w:w="993" w:type="dxa"/>
            <w:tcBorders>
              <w:top w:val="nil"/>
              <w:left w:val="single" w:sz="4" w:space="0" w:color="800000"/>
              <w:bottom w:val="nil"/>
              <w:right w:val="single" w:sz="4" w:space="0" w:color="800000"/>
            </w:tcBorders>
            <w:shd w:val="clear" w:color="auto" w:fill="FFFFCC"/>
            <w:vAlign w:val="bottom"/>
          </w:tcPr>
          <w:p w14:paraId="64663A2C"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40D2A76A"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5F45FB8C"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3C844E9B" w14:textId="77777777" w:rsidR="00CC09AC" w:rsidRPr="00D51E09" w:rsidRDefault="00CC09AC" w:rsidP="003B085A">
            <w:pPr>
              <w:rPr>
                <w:sz w:val="18"/>
                <w:szCs w:val="18"/>
              </w:rPr>
            </w:pPr>
            <w:r w:rsidRPr="00D51E09">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3AC87709" w14:textId="77777777" w:rsidR="00CC09AC" w:rsidRPr="007B48E9" w:rsidRDefault="00CC09AC" w:rsidP="003B085A">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378B6F3C"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7B3717E7"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0B9CE139"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1C78F531"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67631617" w14:textId="77777777" w:rsidR="00CC09AC" w:rsidRPr="007B48E9" w:rsidRDefault="00CC09AC" w:rsidP="003B085A">
            <w:pPr>
              <w:jc w:val="right"/>
              <w:rPr>
                <w:color w:val="0070C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vAlign w:val="bottom"/>
          </w:tcPr>
          <w:p w14:paraId="5F536086"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1CAACB4D"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21D8D315"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1AD01B01" w14:textId="77777777" w:rsidR="00CC09AC" w:rsidRPr="00D51E09" w:rsidRDefault="00CC09AC" w:rsidP="003B085A">
            <w:pPr>
              <w:rPr>
                <w:sz w:val="18"/>
                <w:szCs w:val="18"/>
              </w:rPr>
            </w:pPr>
            <w:r w:rsidRPr="00D51E09">
              <w:rPr>
                <w:sz w:val="18"/>
                <w:szCs w:val="18"/>
              </w:rPr>
              <w:t xml:space="preserve">   Пред. тек. и кап. тр/ри за чужбина</w:t>
            </w:r>
          </w:p>
        </w:tc>
        <w:tc>
          <w:tcPr>
            <w:tcW w:w="992" w:type="dxa"/>
            <w:tcBorders>
              <w:top w:val="nil"/>
              <w:left w:val="single" w:sz="4" w:space="0" w:color="800000"/>
              <w:bottom w:val="nil"/>
              <w:right w:val="single" w:sz="4" w:space="0" w:color="800000"/>
            </w:tcBorders>
            <w:shd w:val="clear" w:color="auto" w:fill="FFFFCC"/>
            <w:noWrap/>
            <w:vAlign w:val="bottom"/>
            <w:hideMark/>
          </w:tcPr>
          <w:p w14:paraId="3CA8B37B" w14:textId="77777777" w:rsidR="00CC09AC" w:rsidRPr="007B48E9" w:rsidRDefault="00CC09AC" w:rsidP="003B085A">
            <w:pPr>
              <w:jc w:val="right"/>
              <w:rPr>
                <w:color w:val="0070C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14:paraId="2EFA3F6A"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515F9528"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5AE9FC97"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hideMark/>
          </w:tcPr>
          <w:p w14:paraId="5D8C1D9F"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635944C3" w14:textId="77777777" w:rsidR="00CC09AC" w:rsidRPr="007B48E9" w:rsidRDefault="00CC09AC" w:rsidP="003B085A">
            <w:pPr>
              <w:jc w:val="right"/>
              <w:rPr>
                <w:color w:val="0070C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vAlign w:val="bottom"/>
          </w:tcPr>
          <w:p w14:paraId="72AFCB2C"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5D124B1F"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5DD6F9F5" w14:textId="77777777" w:rsidTr="003B085A">
        <w:trPr>
          <w:trHeight w:val="340"/>
        </w:trPr>
        <w:tc>
          <w:tcPr>
            <w:tcW w:w="3614" w:type="dxa"/>
            <w:tcBorders>
              <w:top w:val="nil"/>
              <w:left w:val="double" w:sz="6" w:space="0" w:color="800000"/>
              <w:bottom w:val="nil"/>
              <w:right w:val="single" w:sz="4" w:space="0" w:color="800000"/>
            </w:tcBorders>
            <w:shd w:val="clear" w:color="auto" w:fill="FFFFCC"/>
            <w:noWrap/>
            <w:vAlign w:val="bottom"/>
            <w:hideMark/>
          </w:tcPr>
          <w:p w14:paraId="162698E9" w14:textId="77777777" w:rsidR="00CC09AC" w:rsidRPr="00D51E09" w:rsidRDefault="00CC09AC" w:rsidP="003B085A">
            <w:pPr>
              <w:rPr>
                <w:b/>
                <w:bCs/>
                <w:sz w:val="18"/>
                <w:szCs w:val="18"/>
              </w:rPr>
            </w:pPr>
            <w:r w:rsidRPr="00D51E09">
              <w:rPr>
                <w:b/>
                <w:bCs/>
                <w:sz w:val="18"/>
                <w:szCs w:val="18"/>
              </w:rPr>
              <w:t>Д. ТУРИЗЪМ</w:t>
            </w:r>
          </w:p>
        </w:tc>
        <w:tc>
          <w:tcPr>
            <w:tcW w:w="992" w:type="dxa"/>
            <w:tcBorders>
              <w:top w:val="nil"/>
              <w:left w:val="single" w:sz="4" w:space="0" w:color="800000"/>
              <w:bottom w:val="nil"/>
              <w:right w:val="single" w:sz="4" w:space="0" w:color="800000"/>
            </w:tcBorders>
            <w:shd w:val="clear" w:color="auto" w:fill="FFFFCC"/>
            <w:noWrap/>
            <w:vAlign w:val="bottom"/>
            <w:hideMark/>
          </w:tcPr>
          <w:p w14:paraId="61C4D2AC" w14:textId="77777777" w:rsidR="00CC09AC" w:rsidRPr="007B48E9" w:rsidRDefault="00CC09AC" w:rsidP="003B085A">
            <w:pPr>
              <w:jc w:val="right"/>
              <w:rPr>
                <w:b/>
                <w:bCs/>
                <w:color w:val="0070C0"/>
                <w:sz w:val="18"/>
                <w:szCs w:val="18"/>
              </w:rPr>
            </w:pPr>
            <w:r>
              <w:rPr>
                <w:b/>
                <w:bCs/>
                <w:color w:val="000000"/>
                <w:sz w:val="18"/>
                <w:szCs w:val="18"/>
              </w:rPr>
              <w:t>280,1</w:t>
            </w:r>
          </w:p>
        </w:tc>
        <w:tc>
          <w:tcPr>
            <w:tcW w:w="851" w:type="dxa"/>
            <w:tcBorders>
              <w:top w:val="nil"/>
              <w:left w:val="single" w:sz="4" w:space="0" w:color="800000"/>
              <w:bottom w:val="nil"/>
              <w:right w:val="single" w:sz="4" w:space="0" w:color="800000"/>
            </w:tcBorders>
            <w:shd w:val="clear" w:color="auto" w:fill="FFFFCC"/>
            <w:noWrap/>
            <w:vAlign w:val="bottom"/>
            <w:hideMark/>
          </w:tcPr>
          <w:p w14:paraId="56D2FAE2" w14:textId="77777777" w:rsidR="00CC09AC" w:rsidRPr="007B48E9" w:rsidRDefault="00CC09AC" w:rsidP="003B085A">
            <w:pPr>
              <w:jc w:val="right"/>
              <w:rPr>
                <w:b/>
                <w:bCs/>
                <w:color w:val="0070C0"/>
                <w:sz w:val="18"/>
                <w:szCs w:val="18"/>
              </w:rPr>
            </w:pPr>
            <w:r>
              <w:rPr>
                <w:b/>
                <w:bCs/>
                <w:color w:val="000000"/>
                <w:sz w:val="18"/>
                <w:szCs w:val="18"/>
              </w:rPr>
              <w:t>118,7</w:t>
            </w:r>
          </w:p>
        </w:tc>
        <w:tc>
          <w:tcPr>
            <w:tcW w:w="709" w:type="dxa"/>
            <w:tcBorders>
              <w:top w:val="nil"/>
              <w:left w:val="single" w:sz="4" w:space="0" w:color="800000"/>
              <w:bottom w:val="nil"/>
              <w:right w:val="single" w:sz="4" w:space="0" w:color="800000"/>
            </w:tcBorders>
            <w:shd w:val="clear" w:color="auto" w:fill="FFFFCC"/>
            <w:noWrap/>
            <w:vAlign w:val="bottom"/>
            <w:hideMark/>
          </w:tcPr>
          <w:p w14:paraId="76EF873D" w14:textId="77777777" w:rsidR="00CC09AC" w:rsidRPr="007B48E9" w:rsidRDefault="00CC09AC" w:rsidP="003B085A">
            <w:pPr>
              <w:jc w:val="right"/>
              <w:rPr>
                <w:b/>
                <w:bCs/>
                <w:color w:val="0070C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5E2438E0" w14:textId="77777777" w:rsidR="00CC09AC" w:rsidRPr="007B48E9" w:rsidRDefault="00CC09AC" w:rsidP="003B085A">
            <w:pPr>
              <w:jc w:val="right"/>
              <w:rPr>
                <w:b/>
                <w:bCs/>
                <w:color w:val="0070C0"/>
                <w:sz w:val="18"/>
                <w:szCs w:val="18"/>
              </w:rPr>
            </w:pPr>
            <w:r>
              <w:rPr>
                <w:b/>
                <w:bCs/>
                <w:color w:val="000000"/>
                <w:sz w:val="18"/>
                <w:szCs w:val="18"/>
              </w:rPr>
              <w:t>9,5</w:t>
            </w:r>
          </w:p>
        </w:tc>
        <w:tc>
          <w:tcPr>
            <w:tcW w:w="709" w:type="dxa"/>
            <w:tcBorders>
              <w:top w:val="nil"/>
              <w:left w:val="single" w:sz="4" w:space="0" w:color="800000"/>
              <w:bottom w:val="nil"/>
              <w:right w:val="single" w:sz="4" w:space="0" w:color="800000"/>
            </w:tcBorders>
            <w:shd w:val="clear" w:color="auto" w:fill="FFFFCC"/>
            <w:noWrap/>
            <w:vAlign w:val="bottom"/>
            <w:hideMark/>
          </w:tcPr>
          <w:p w14:paraId="2EA6E42F"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538CADC0" w14:textId="77777777" w:rsidR="00CC09AC" w:rsidRPr="007B48E9" w:rsidRDefault="00CC09AC" w:rsidP="003B085A">
            <w:pPr>
              <w:jc w:val="right"/>
              <w:rPr>
                <w:b/>
                <w:bCs/>
                <w:color w:val="0070C0"/>
                <w:sz w:val="18"/>
                <w:szCs w:val="18"/>
              </w:rPr>
            </w:pPr>
            <w:r>
              <w:rPr>
                <w:b/>
                <w:bCs/>
                <w:color w:val="000000"/>
                <w:sz w:val="18"/>
                <w:szCs w:val="18"/>
              </w:rPr>
              <w:t>151,9</w:t>
            </w:r>
          </w:p>
        </w:tc>
        <w:tc>
          <w:tcPr>
            <w:tcW w:w="993" w:type="dxa"/>
            <w:tcBorders>
              <w:top w:val="nil"/>
              <w:left w:val="single" w:sz="4" w:space="0" w:color="800000"/>
              <w:bottom w:val="nil"/>
              <w:right w:val="single" w:sz="4" w:space="0" w:color="800000"/>
            </w:tcBorders>
            <w:shd w:val="clear" w:color="auto" w:fill="FFFFCC"/>
            <w:vAlign w:val="bottom"/>
          </w:tcPr>
          <w:p w14:paraId="56F26DF3" w14:textId="77777777" w:rsidR="00CC09AC" w:rsidRPr="007B48E9" w:rsidRDefault="00CC09AC" w:rsidP="003B085A">
            <w:pPr>
              <w:jc w:val="right"/>
              <w:rPr>
                <w:b/>
                <w:bCs/>
                <w:color w:val="0070C0"/>
                <w:sz w:val="18"/>
                <w:szCs w:val="18"/>
              </w:rPr>
            </w:pPr>
            <w:r>
              <w:rPr>
                <w:b/>
                <w:bCs/>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2D70DCE5" w14:textId="77777777" w:rsidR="00CC09AC" w:rsidRPr="007B48E9" w:rsidRDefault="00CC09AC" w:rsidP="003B085A">
            <w:pPr>
              <w:jc w:val="right"/>
              <w:rPr>
                <w:b/>
                <w:bCs/>
                <w:color w:val="0070C0"/>
                <w:sz w:val="18"/>
                <w:szCs w:val="18"/>
              </w:rPr>
            </w:pPr>
            <w:r>
              <w:rPr>
                <w:b/>
                <w:bCs/>
                <w:color w:val="000000"/>
                <w:sz w:val="18"/>
                <w:szCs w:val="18"/>
              </w:rPr>
              <w:t> </w:t>
            </w:r>
          </w:p>
        </w:tc>
      </w:tr>
      <w:tr w:rsidR="00CC09AC" w:rsidRPr="007B48E9" w14:paraId="7FA84EAD" w14:textId="77777777" w:rsidTr="003B085A">
        <w:trPr>
          <w:trHeight w:val="255"/>
        </w:trPr>
        <w:tc>
          <w:tcPr>
            <w:tcW w:w="3614" w:type="dxa"/>
            <w:tcBorders>
              <w:top w:val="nil"/>
              <w:left w:val="double" w:sz="6" w:space="0" w:color="800000"/>
              <w:bottom w:val="nil"/>
              <w:right w:val="single" w:sz="4" w:space="0" w:color="800000"/>
            </w:tcBorders>
            <w:shd w:val="clear" w:color="auto" w:fill="FFFFCC"/>
            <w:noWrap/>
            <w:vAlign w:val="bottom"/>
            <w:hideMark/>
          </w:tcPr>
          <w:p w14:paraId="1B4011C2" w14:textId="77777777" w:rsidR="00CC09AC" w:rsidRPr="00D51E09" w:rsidRDefault="00CC09AC" w:rsidP="003B085A">
            <w:pPr>
              <w:rPr>
                <w:sz w:val="18"/>
                <w:szCs w:val="18"/>
              </w:rPr>
            </w:pPr>
            <w:r w:rsidRPr="00D51E09">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03F60C95" w14:textId="77777777" w:rsidR="00CC09AC" w:rsidRPr="007B48E9" w:rsidRDefault="00CC09AC" w:rsidP="003B085A">
            <w:pPr>
              <w:jc w:val="right"/>
              <w:rPr>
                <w:color w:val="0070C0"/>
                <w:sz w:val="18"/>
                <w:szCs w:val="18"/>
              </w:rPr>
            </w:pPr>
            <w:r>
              <w:rPr>
                <w:color w:val="000000"/>
                <w:sz w:val="18"/>
                <w:szCs w:val="18"/>
              </w:rPr>
              <w:t>276,3</w:t>
            </w:r>
          </w:p>
        </w:tc>
        <w:tc>
          <w:tcPr>
            <w:tcW w:w="851" w:type="dxa"/>
            <w:tcBorders>
              <w:top w:val="nil"/>
              <w:left w:val="single" w:sz="4" w:space="0" w:color="800000"/>
              <w:bottom w:val="nil"/>
              <w:right w:val="single" w:sz="4" w:space="0" w:color="800000"/>
            </w:tcBorders>
            <w:shd w:val="clear" w:color="auto" w:fill="FFFFCC"/>
            <w:noWrap/>
            <w:vAlign w:val="bottom"/>
            <w:hideMark/>
          </w:tcPr>
          <w:p w14:paraId="114D6016" w14:textId="77777777" w:rsidR="00CC09AC" w:rsidRPr="007B48E9" w:rsidRDefault="00CC09AC" w:rsidP="003B085A">
            <w:pPr>
              <w:jc w:val="right"/>
              <w:rPr>
                <w:color w:val="0070C0"/>
                <w:sz w:val="18"/>
                <w:szCs w:val="18"/>
              </w:rPr>
            </w:pPr>
            <w:r>
              <w:rPr>
                <w:color w:val="000000"/>
                <w:sz w:val="18"/>
                <w:szCs w:val="18"/>
              </w:rPr>
              <w:t>118,7</w:t>
            </w:r>
          </w:p>
        </w:tc>
        <w:tc>
          <w:tcPr>
            <w:tcW w:w="709" w:type="dxa"/>
            <w:tcBorders>
              <w:top w:val="nil"/>
              <w:left w:val="single" w:sz="4" w:space="0" w:color="800000"/>
              <w:bottom w:val="nil"/>
              <w:right w:val="single" w:sz="4" w:space="0" w:color="800000"/>
            </w:tcBorders>
            <w:shd w:val="clear" w:color="auto" w:fill="FFFFCC"/>
            <w:noWrap/>
            <w:vAlign w:val="bottom"/>
            <w:hideMark/>
          </w:tcPr>
          <w:p w14:paraId="606BE90F"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26D8BFB7" w14:textId="77777777" w:rsidR="00CC09AC" w:rsidRPr="007B48E9" w:rsidRDefault="00CC09AC" w:rsidP="003B085A">
            <w:pPr>
              <w:jc w:val="right"/>
              <w:rPr>
                <w:color w:val="0070C0"/>
                <w:sz w:val="18"/>
                <w:szCs w:val="18"/>
              </w:rPr>
            </w:pPr>
            <w:r>
              <w:rPr>
                <w:color w:val="000000"/>
                <w:sz w:val="18"/>
                <w:szCs w:val="18"/>
              </w:rPr>
              <w:t>8,8</w:t>
            </w:r>
          </w:p>
        </w:tc>
        <w:tc>
          <w:tcPr>
            <w:tcW w:w="709" w:type="dxa"/>
            <w:tcBorders>
              <w:top w:val="nil"/>
              <w:left w:val="single" w:sz="4" w:space="0" w:color="800000"/>
              <w:bottom w:val="nil"/>
              <w:right w:val="single" w:sz="4" w:space="0" w:color="800000"/>
            </w:tcBorders>
            <w:shd w:val="clear" w:color="auto" w:fill="FFFFCC"/>
            <w:noWrap/>
            <w:vAlign w:val="bottom"/>
            <w:hideMark/>
          </w:tcPr>
          <w:p w14:paraId="643F8C18"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74EE72E5" w14:textId="77777777" w:rsidR="00CC09AC" w:rsidRPr="007B48E9" w:rsidRDefault="00CC09AC" w:rsidP="003B085A">
            <w:pPr>
              <w:jc w:val="right"/>
              <w:rPr>
                <w:color w:val="0070C0"/>
                <w:sz w:val="18"/>
                <w:szCs w:val="18"/>
              </w:rPr>
            </w:pPr>
            <w:r>
              <w:rPr>
                <w:color w:val="000000"/>
                <w:sz w:val="18"/>
                <w:szCs w:val="18"/>
              </w:rPr>
              <w:t>148,9</w:t>
            </w:r>
          </w:p>
        </w:tc>
        <w:tc>
          <w:tcPr>
            <w:tcW w:w="993" w:type="dxa"/>
            <w:tcBorders>
              <w:top w:val="nil"/>
              <w:left w:val="single" w:sz="4" w:space="0" w:color="800000"/>
              <w:bottom w:val="nil"/>
              <w:right w:val="single" w:sz="4" w:space="0" w:color="800000"/>
            </w:tcBorders>
            <w:shd w:val="clear" w:color="auto" w:fill="FFFFCC"/>
            <w:vAlign w:val="bottom"/>
          </w:tcPr>
          <w:p w14:paraId="7ABAB6E5"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68076B32"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1EAFE3DD" w14:textId="77777777" w:rsidTr="003B085A">
        <w:trPr>
          <w:trHeight w:val="270"/>
        </w:trPr>
        <w:tc>
          <w:tcPr>
            <w:tcW w:w="3614" w:type="dxa"/>
            <w:tcBorders>
              <w:top w:val="nil"/>
              <w:left w:val="double" w:sz="6" w:space="0" w:color="800000"/>
              <w:bottom w:val="nil"/>
              <w:right w:val="single" w:sz="4" w:space="0" w:color="800000"/>
            </w:tcBorders>
            <w:shd w:val="clear" w:color="auto" w:fill="FFFFCC"/>
            <w:noWrap/>
            <w:vAlign w:val="bottom"/>
            <w:hideMark/>
          </w:tcPr>
          <w:p w14:paraId="76DF4A2A" w14:textId="77777777" w:rsidR="00CC09AC" w:rsidRPr="00D51E09" w:rsidRDefault="00CC09AC" w:rsidP="003B085A">
            <w:pPr>
              <w:rPr>
                <w:sz w:val="18"/>
                <w:szCs w:val="18"/>
              </w:rPr>
            </w:pPr>
            <w:r w:rsidRPr="00D51E09">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14:paraId="6F2D2F41" w14:textId="77777777" w:rsidR="00CC09AC" w:rsidRPr="007B48E9" w:rsidRDefault="00CC09AC" w:rsidP="003B085A">
            <w:pPr>
              <w:jc w:val="right"/>
              <w:rPr>
                <w:color w:val="0070C0"/>
                <w:sz w:val="18"/>
                <w:szCs w:val="18"/>
              </w:rPr>
            </w:pPr>
            <w:r>
              <w:rPr>
                <w:color w:val="000000"/>
                <w:sz w:val="18"/>
                <w:szCs w:val="18"/>
              </w:rPr>
              <w:t>3,6</w:t>
            </w:r>
          </w:p>
        </w:tc>
        <w:tc>
          <w:tcPr>
            <w:tcW w:w="851" w:type="dxa"/>
            <w:tcBorders>
              <w:top w:val="nil"/>
              <w:left w:val="single" w:sz="4" w:space="0" w:color="800000"/>
              <w:bottom w:val="nil"/>
              <w:right w:val="single" w:sz="4" w:space="0" w:color="800000"/>
            </w:tcBorders>
            <w:shd w:val="clear" w:color="auto" w:fill="FFFFCC"/>
            <w:noWrap/>
            <w:vAlign w:val="bottom"/>
            <w:hideMark/>
          </w:tcPr>
          <w:p w14:paraId="337AD683" w14:textId="77777777" w:rsidR="00CC09AC" w:rsidRPr="007B48E9" w:rsidRDefault="00CC09AC" w:rsidP="003B085A">
            <w:pPr>
              <w:jc w:val="right"/>
              <w:rPr>
                <w:color w:val="0070C0"/>
                <w:sz w:val="18"/>
                <w:szCs w:val="18"/>
              </w:rPr>
            </w:pPr>
            <w:r>
              <w:rPr>
                <w:color w:val="000000"/>
                <w:sz w:val="18"/>
                <w:szCs w:val="18"/>
              </w:rPr>
              <w:t>0,0</w:t>
            </w:r>
          </w:p>
        </w:tc>
        <w:tc>
          <w:tcPr>
            <w:tcW w:w="709" w:type="dxa"/>
            <w:tcBorders>
              <w:top w:val="nil"/>
              <w:left w:val="single" w:sz="4" w:space="0" w:color="800000"/>
              <w:bottom w:val="nil"/>
              <w:right w:val="single" w:sz="4" w:space="0" w:color="800000"/>
            </w:tcBorders>
            <w:shd w:val="clear" w:color="auto" w:fill="FFFFCC"/>
            <w:noWrap/>
            <w:vAlign w:val="bottom"/>
            <w:hideMark/>
          </w:tcPr>
          <w:p w14:paraId="0A8429D9"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0B461D89" w14:textId="77777777" w:rsidR="00CC09AC" w:rsidRPr="007B48E9" w:rsidRDefault="00CC09AC" w:rsidP="003B085A">
            <w:pPr>
              <w:jc w:val="right"/>
              <w:rPr>
                <w:color w:val="0070C0"/>
                <w:sz w:val="18"/>
                <w:szCs w:val="18"/>
              </w:rPr>
            </w:pPr>
            <w:r>
              <w:rPr>
                <w:color w:val="000000"/>
                <w:sz w:val="18"/>
                <w:szCs w:val="18"/>
              </w:rPr>
              <w:t>0,7</w:t>
            </w:r>
          </w:p>
        </w:tc>
        <w:tc>
          <w:tcPr>
            <w:tcW w:w="709" w:type="dxa"/>
            <w:tcBorders>
              <w:top w:val="nil"/>
              <w:left w:val="single" w:sz="4" w:space="0" w:color="800000"/>
              <w:bottom w:val="nil"/>
              <w:right w:val="single" w:sz="4" w:space="0" w:color="800000"/>
            </w:tcBorders>
            <w:shd w:val="clear" w:color="auto" w:fill="FFFFCC"/>
            <w:noWrap/>
            <w:vAlign w:val="bottom"/>
            <w:hideMark/>
          </w:tcPr>
          <w:p w14:paraId="1BE7D0FC"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14:paraId="27492093" w14:textId="77777777" w:rsidR="00CC09AC" w:rsidRPr="007B48E9" w:rsidRDefault="00CC09AC" w:rsidP="003B085A">
            <w:pPr>
              <w:jc w:val="right"/>
              <w:rPr>
                <w:color w:val="0070C0"/>
                <w:sz w:val="18"/>
                <w:szCs w:val="18"/>
              </w:rPr>
            </w:pPr>
            <w:r>
              <w:rPr>
                <w:color w:val="000000"/>
                <w:sz w:val="18"/>
                <w:szCs w:val="18"/>
              </w:rPr>
              <w:t>2,8</w:t>
            </w:r>
          </w:p>
        </w:tc>
        <w:tc>
          <w:tcPr>
            <w:tcW w:w="993" w:type="dxa"/>
            <w:tcBorders>
              <w:top w:val="nil"/>
              <w:left w:val="single" w:sz="4" w:space="0" w:color="800000"/>
              <w:bottom w:val="nil"/>
              <w:right w:val="single" w:sz="4" w:space="0" w:color="800000"/>
            </w:tcBorders>
            <w:shd w:val="clear" w:color="auto" w:fill="FFFFCC"/>
            <w:vAlign w:val="bottom"/>
          </w:tcPr>
          <w:p w14:paraId="3B7376C1"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hideMark/>
          </w:tcPr>
          <w:p w14:paraId="579F8B4D"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6764801B" w14:textId="77777777" w:rsidTr="003B085A">
        <w:trPr>
          <w:trHeight w:val="270"/>
        </w:trPr>
        <w:tc>
          <w:tcPr>
            <w:tcW w:w="3614" w:type="dxa"/>
            <w:tcBorders>
              <w:top w:val="nil"/>
              <w:left w:val="double" w:sz="6" w:space="0" w:color="800000"/>
              <w:bottom w:val="nil"/>
              <w:right w:val="single" w:sz="4" w:space="0" w:color="800000"/>
            </w:tcBorders>
            <w:shd w:val="clear" w:color="auto" w:fill="FFFFCC"/>
            <w:noWrap/>
            <w:vAlign w:val="bottom"/>
          </w:tcPr>
          <w:p w14:paraId="5CC5556C" w14:textId="77777777" w:rsidR="00CC09AC" w:rsidRPr="00D51E09" w:rsidRDefault="00CC09AC" w:rsidP="003B085A">
            <w:pPr>
              <w:rPr>
                <w:sz w:val="18"/>
                <w:szCs w:val="18"/>
              </w:rPr>
            </w:pPr>
            <w:r w:rsidRPr="00D51E09">
              <w:rPr>
                <w:sz w:val="18"/>
                <w:szCs w:val="18"/>
              </w:rPr>
              <w:t xml:space="preserve">   Пред. тек. и кап. тр/ри за чужбина</w:t>
            </w:r>
          </w:p>
        </w:tc>
        <w:tc>
          <w:tcPr>
            <w:tcW w:w="992" w:type="dxa"/>
            <w:tcBorders>
              <w:top w:val="nil"/>
              <w:left w:val="single" w:sz="4" w:space="0" w:color="800000"/>
              <w:bottom w:val="nil"/>
              <w:right w:val="single" w:sz="4" w:space="0" w:color="800000"/>
            </w:tcBorders>
            <w:shd w:val="clear" w:color="auto" w:fill="FFFFCC"/>
            <w:noWrap/>
            <w:vAlign w:val="bottom"/>
          </w:tcPr>
          <w:p w14:paraId="196AFCA9" w14:textId="77777777" w:rsidR="00CC09AC" w:rsidRPr="007B48E9" w:rsidRDefault="00CC09AC" w:rsidP="003B085A">
            <w:pPr>
              <w:jc w:val="right"/>
              <w:rPr>
                <w:color w:val="0070C0"/>
                <w:sz w:val="18"/>
                <w:szCs w:val="18"/>
              </w:rPr>
            </w:pPr>
            <w:r>
              <w:rPr>
                <w:color w:val="000000"/>
                <w:sz w:val="18"/>
                <w:szCs w:val="18"/>
              </w:rPr>
              <w:t>0,2</w:t>
            </w:r>
          </w:p>
        </w:tc>
        <w:tc>
          <w:tcPr>
            <w:tcW w:w="851" w:type="dxa"/>
            <w:tcBorders>
              <w:top w:val="nil"/>
              <w:left w:val="single" w:sz="4" w:space="0" w:color="800000"/>
              <w:bottom w:val="nil"/>
              <w:right w:val="single" w:sz="4" w:space="0" w:color="800000"/>
            </w:tcBorders>
            <w:shd w:val="clear" w:color="auto" w:fill="FFFFCC"/>
            <w:noWrap/>
            <w:vAlign w:val="bottom"/>
          </w:tcPr>
          <w:p w14:paraId="386B8C81"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14:paraId="10F9F1AE"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tcPr>
          <w:p w14:paraId="5FB95841"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14:paraId="647BB0B8"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tcPr>
          <w:p w14:paraId="78376D64" w14:textId="77777777" w:rsidR="00CC09AC" w:rsidRPr="007B48E9" w:rsidRDefault="00CC09AC" w:rsidP="003B085A">
            <w:pPr>
              <w:jc w:val="right"/>
              <w:rPr>
                <w:color w:val="0070C0"/>
                <w:sz w:val="18"/>
                <w:szCs w:val="18"/>
              </w:rPr>
            </w:pPr>
            <w:r>
              <w:rPr>
                <w:color w:val="000000"/>
                <w:sz w:val="18"/>
                <w:szCs w:val="18"/>
              </w:rPr>
              <w:t>0,2</w:t>
            </w:r>
          </w:p>
        </w:tc>
        <w:tc>
          <w:tcPr>
            <w:tcW w:w="993" w:type="dxa"/>
            <w:tcBorders>
              <w:top w:val="nil"/>
              <w:left w:val="single" w:sz="4" w:space="0" w:color="800000"/>
              <w:bottom w:val="nil"/>
              <w:right w:val="single" w:sz="4" w:space="0" w:color="800000"/>
            </w:tcBorders>
            <w:shd w:val="clear" w:color="auto" w:fill="FFFFCC"/>
            <w:vAlign w:val="bottom"/>
          </w:tcPr>
          <w:p w14:paraId="016C7A69"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tcPr>
          <w:p w14:paraId="39A0C2F8" w14:textId="77777777" w:rsidR="00CC09AC" w:rsidRPr="007B48E9" w:rsidRDefault="00CC09AC" w:rsidP="003B085A">
            <w:pPr>
              <w:jc w:val="right"/>
              <w:rPr>
                <w:color w:val="0070C0"/>
                <w:sz w:val="18"/>
                <w:szCs w:val="18"/>
              </w:rPr>
            </w:pPr>
            <w:r>
              <w:rPr>
                <w:color w:val="000000"/>
                <w:sz w:val="18"/>
                <w:szCs w:val="18"/>
              </w:rPr>
              <w:t> </w:t>
            </w:r>
          </w:p>
        </w:tc>
      </w:tr>
      <w:tr w:rsidR="00CC09AC" w:rsidRPr="007B48E9" w14:paraId="29ED9114" w14:textId="77777777" w:rsidTr="003B085A">
        <w:trPr>
          <w:trHeight w:val="510"/>
        </w:trPr>
        <w:tc>
          <w:tcPr>
            <w:tcW w:w="3614" w:type="dxa"/>
            <w:tcBorders>
              <w:top w:val="nil"/>
              <w:left w:val="double" w:sz="6" w:space="0" w:color="800000"/>
              <w:bottom w:val="nil"/>
              <w:right w:val="single" w:sz="4" w:space="0" w:color="800000"/>
            </w:tcBorders>
            <w:shd w:val="clear" w:color="auto" w:fill="FFFFCC"/>
            <w:noWrap/>
            <w:vAlign w:val="bottom"/>
          </w:tcPr>
          <w:p w14:paraId="15937336" w14:textId="77777777" w:rsidR="00CC09AC" w:rsidRPr="00D51E09" w:rsidRDefault="00CC09AC" w:rsidP="003B085A">
            <w:pPr>
              <w:rPr>
                <w:b/>
                <w:bCs/>
                <w:sz w:val="18"/>
                <w:szCs w:val="18"/>
              </w:rPr>
            </w:pPr>
            <w:r w:rsidRPr="00D51E09">
              <w:rPr>
                <w:b/>
                <w:bCs/>
                <w:sz w:val="18"/>
                <w:szCs w:val="18"/>
              </w:rPr>
              <w:t>Е. ДРУГИ ДЕЙНОСТИ ПО ИКОНОМИКАТА</w:t>
            </w:r>
          </w:p>
        </w:tc>
        <w:tc>
          <w:tcPr>
            <w:tcW w:w="992" w:type="dxa"/>
            <w:tcBorders>
              <w:top w:val="nil"/>
              <w:left w:val="single" w:sz="4" w:space="0" w:color="800000"/>
              <w:bottom w:val="nil"/>
              <w:right w:val="single" w:sz="4" w:space="0" w:color="800000"/>
            </w:tcBorders>
            <w:shd w:val="clear" w:color="auto" w:fill="FFFFCC"/>
            <w:noWrap/>
            <w:vAlign w:val="bottom"/>
          </w:tcPr>
          <w:p w14:paraId="54B7AB91" w14:textId="77777777" w:rsidR="00CC09AC" w:rsidRPr="007B48E9" w:rsidRDefault="00CC09AC" w:rsidP="003B085A">
            <w:pPr>
              <w:jc w:val="right"/>
              <w:rPr>
                <w:b/>
                <w:bCs/>
                <w:color w:val="0070C0"/>
                <w:sz w:val="18"/>
                <w:szCs w:val="18"/>
              </w:rPr>
            </w:pPr>
            <w:r>
              <w:rPr>
                <w:b/>
                <w:bCs/>
                <w:color w:val="000000"/>
                <w:sz w:val="18"/>
                <w:szCs w:val="18"/>
              </w:rPr>
              <w:t>451,8</w:t>
            </w:r>
          </w:p>
        </w:tc>
        <w:tc>
          <w:tcPr>
            <w:tcW w:w="851" w:type="dxa"/>
            <w:tcBorders>
              <w:top w:val="nil"/>
              <w:left w:val="single" w:sz="4" w:space="0" w:color="800000"/>
              <w:bottom w:val="nil"/>
              <w:right w:val="single" w:sz="4" w:space="0" w:color="800000"/>
            </w:tcBorders>
            <w:shd w:val="clear" w:color="auto" w:fill="FFFFCC"/>
            <w:noWrap/>
            <w:vAlign w:val="bottom"/>
          </w:tcPr>
          <w:p w14:paraId="253DC86C" w14:textId="77777777" w:rsidR="00CC09AC" w:rsidRPr="007B48E9" w:rsidRDefault="00CC09AC" w:rsidP="003B085A">
            <w:pPr>
              <w:jc w:val="right"/>
              <w:rPr>
                <w:b/>
                <w:bCs/>
                <w:color w:val="0070C0"/>
                <w:sz w:val="18"/>
                <w:szCs w:val="18"/>
              </w:rPr>
            </w:pPr>
            <w:r>
              <w:rPr>
                <w:b/>
                <w:bCs/>
                <w:color w:val="000000"/>
                <w:sz w:val="18"/>
                <w:szCs w:val="18"/>
              </w:rPr>
              <w:t>72,3</w:t>
            </w:r>
          </w:p>
        </w:tc>
        <w:tc>
          <w:tcPr>
            <w:tcW w:w="709" w:type="dxa"/>
            <w:tcBorders>
              <w:top w:val="nil"/>
              <w:left w:val="single" w:sz="4" w:space="0" w:color="800000"/>
              <w:bottom w:val="nil"/>
              <w:right w:val="single" w:sz="4" w:space="0" w:color="800000"/>
            </w:tcBorders>
            <w:shd w:val="clear" w:color="auto" w:fill="FFFFCC"/>
            <w:noWrap/>
            <w:vAlign w:val="bottom"/>
          </w:tcPr>
          <w:p w14:paraId="4E3E9C8B" w14:textId="77777777" w:rsidR="00CC09AC" w:rsidRPr="007B48E9" w:rsidRDefault="00CC09AC" w:rsidP="003B085A">
            <w:pPr>
              <w:jc w:val="right"/>
              <w:rPr>
                <w:b/>
                <w:bCs/>
                <w:color w:val="0070C0"/>
                <w:sz w:val="18"/>
                <w:szCs w:val="18"/>
              </w:rPr>
            </w:pPr>
            <w:r>
              <w:rPr>
                <w:b/>
                <w:bCs/>
                <w:color w:val="000000"/>
                <w:sz w:val="18"/>
                <w:szCs w:val="18"/>
              </w:rPr>
              <w:t>1,7</w:t>
            </w:r>
          </w:p>
        </w:tc>
        <w:tc>
          <w:tcPr>
            <w:tcW w:w="850" w:type="dxa"/>
            <w:tcBorders>
              <w:top w:val="nil"/>
              <w:left w:val="single" w:sz="4" w:space="0" w:color="800000"/>
              <w:bottom w:val="nil"/>
              <w:right w:val="single" w:sz="4" w:space="0" w:color="800000"/>
            </w:tcBorders>
            <w:shd w:val="clear" w:color="auto" w:fill="FFFFCC"/>
            <w:noWrap/>
            <w:vAlign w:val="bottom"/>
          </w:tcPr>
          <w:p w14:paraId="53085B02" w14:textId="77777777" w:rsidR="00CC09AC" w:rsidRPr="007B48E9" w:rsidRDefault="00CC09AC" w:rsidP="003B085A">
            <w:pPr>
              <w:jc w:val="right"/>
              <w:rPr>
                <w:b/>
                <w:bCs/>
                <w:color w:val="0070C0"/>
                <w:sz w:val="18"/>
                <w:szCs w:val="18"/>
              </w:rPr>
            </w:pPr>
            <w:r>
              <w:rPr>
                <w:b/>
                <w:bCs/>
                <w:color w:val="000000"/>
                <w:sz w:val="18"/>
                <w:szCs w:val="18"/>
              </w:rPr>
              <w:t>158,9</w:t>
            </w:r>
          </w:p>
        </w:tc>
        <w:tc>
          <w:tcPr>
            <w:tcW w:w="709" w:type="dxa"/>
            <w:tcBorders>
              <w:top w:val="nil"/>
              <w:left w:val="single" w:sz="4" w:space="0" w:color="800000"/>
              <w:bottom w:val="nil"/>
              <w:right w:val="single" w:sz="4" w:space="0" w:color="800000"/>
            </w:tcBorders>
            <w:shd w:val="clear" w:color="auto" w:fill="FFFFCC"/>
            <w:noWrap/>
            <w:vAlign w:val="bottom"/>
          </w:tcPr>
          <w:p w14:paraId="029845C1" w14:textId="77777777" w:rsidR="00CC09AC" w:rsidRPr="007B48E9" w:rsidRDefault="00CC09AC" w:rsidP="003B085A">
            <w:pPr>
              <w:jc w:val="right"/>
              <w:rPr>
                <w:b/>
                <w:bCs/>
                <w:color w:val="0070C0"/>
                <w:sz w:val="18"/>
                <w:szCs w:val="18"/>
              </w:rPr>
            </w:pPr>
            <w:r>
              <w:rPr>
                <w:b/>
                <w:bCs/>
                <w:color w:val="000000"/>
                <w:sz w:val="18"/>
                <w:szCs w:val="18"/>
              </w:rPr>
              <w:t>1,6</w:t>
            </w:r>
          </w:p>
        </w:tc>
        <w:tc>
          <w:tcPr>
            <w:tcW w:w="850" w:type="dxa"/>
            <w:tcBorders>
              <w:top w:val="nil"/>
              <w:left w:val="single" w:sz="4" w:space="0" w:color="800000"/>
              <w:bottom w:val="nil"/>
              <w:right w:val="single" w:sz="4" w:space="0" w:color="800000"/>
            </w:tcBorders>
            <w:shd w:val="clear" w:color="auto" w:fill="FFFFCC"/>
            <w:noWrap/>
            <w:vAlign w:val="bottom"/>
          </w:tcPr>
          <w:p w14:paraId="26B8B16A" w14:textId="77777777" w:rsidR="00CC09AC" w:rsidRPr="007B48E9" w:rsidRDefault="00CC09AC" w:rsidP="003B085A">
            <w:pPr>
              <w:jc w:val="right"/>
              <w:rPr>
                <w:b/>
                <w:bCs/>
                <w:color w:val="0070C0"/>
                <w:sz w:val="18"/>
                <w:szCs w:val="18"/>
              </w:rPr>
            </w:pPr>
            <w:r>
              <w:rPr>
                <w:b/>
                <w:bCs/>
                <w:color w:val="000000"/>
                <w:sz w:val="18"/>
                <w:szCs w:val="18"/>
              </w:rPr>
              <w:t>209,9</w:t>
            </w:r>
          </w:p>
        </w:tc>
        <w:tc>
          <w:tcPr>
            <w:tcW w:w="993" w:type="dxa"/>
            <w:tcBorders>
              <w:top w:val="nil"/>
              <w:left w:val="single" w:sz="4" w:space="0" w:color="800000"/>
              <w:bottom w:val="nil"/>
              <w:right w:val="single" w:sz="4" w:space="0" w:color="800000"/>
            </w:tcBorders>
            <w:shd w:val="clear" w:color="auto" w:fill="FFFFCC"/>
            <w:vAlign w:val="bottom"/>
          </w:tcPr>
          <w:p w14:paraId="167B011C" w14:textId="77777777" w:rsidR="00CC09AC" w:rsidRPr="007B48E9" w:rsidRDefault="00CC09AC" w:rsidP="003B085A">
            <w:pPr>
              <w:jc w:val="right"/>
              <w:rPr>
                <w:b/>
                <w:bCs/>
                <w:color w:val="0070C0"/>
                <w:sz w:val="18"/>
                <w:szCs w:val="18"/>
              </w:rPr>
            </w:pPr>
            <w:r>
              <w:rPr>
                <w:b/>
                <w:bCs/>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tcPr>
          <w:p w14:paraId="07E6523D" w14:textId="77777777" w:rsidR="00CC09AC" w:rsidRPr="007B48E9" w:rsidRDefault="00CC09AC" w:rsidP="003B085A">
            <w:pPr>
              <w:jc w:val="right"/>
              <w:rPr>
                <w:b/>
                <w:bCs/>
                <w:color w:val="0070C0"/>
                <w:sz w:val="18"/>
                <w:szCs w:val="18"/>
              </w:rPr>
            </w:pPr>
            <w:r>
              <w:rPr>
                <w:b/>
                <w:bCs/>
                <w:color w:val="000000"/>
                <w:sz w:val="18"/>
                <w:szCs w:val="18"/>
              </w:rPr>
              <w:t>7,4</w:t>
            </w:r>
          </w:p>
        </w:tc>
      </w:tr>
      <w:tr w:rsidR="00CC09AC" w:rsidRPr="007B48E9" w14:paraId="3442E33A" w14:textId="77777777" w:rsidTr="003B085A">
        <w:trPr>
          <w:trHeight w:val="270"/>
        </w:trPr>
        <w:tc>
          <w:tcPr>
            <w:tcW w:w="3614" w:type="dxa"/>
            <w:tcBorders>
              <w:top w:val="nil"/>
              <w:left w:val="double" w:sz="6" w:space="0" w:color="800000"/>
              <w:bottom w:val="nil"/>
              <w:right w:val="single" w:sz="4" w:space="0" w:color="800000"/>
            </w:tcBorders>
            <w:shd w:val="clear" w:color="auto" w:fill="FFFFCC"/>
            <w:noWrap/>
            <w:vAlign w:val="bottom"/>
          </w:tcPr>
          <w:p w14:paraId="19E37878" w14:textId="77777777" w:rsidR="00CC09AC" w:rsidRPr="00D51E09" w:rsidRDefault="00CC09AC" w:rsidP="003B085A">
            <w:pPr>
              <w:rPr>
                <w:sz w:val="18"/>
                <w:szCs w:val="18"/>
              </w:rPr>
            </w:pPr>
            <w:r w:rsidRPr="00D51E09">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tcPr>
          <w:p w14:paraId="46916305" w14:textId="77777777" w:rsidR="00CC09AC" w:rsidRPr="007B48E9" w:rsidRDefault="00CC09AC" w:rsidP="003B085A">
            <w:pPr>
              <w:jc w:val="right"/>
              <w:rPr>
                <w:color w:val="0070C0"/>
                <w:sz w:val="18"/>
                <w:szCs w:val="18"/>
              </w:rPr>
            </w:pPr>
            <w:r>
              <w:rPr>
                <w:color w:val="000000"/>
                <w:sz w:val="18"/>
                <w:szCs w:val="18"/>
              </w:rPr>
              <w:t>362,4</w:t>
            </w:r>
          </w:p>
        </w:tc>
        <w:tc>
          <w:tcPr>
            <w:tcW w:w="851" w:type="dxa"/>
            <w:tcBorders>
              <w:top w:val="nil"/>
              <w:left w:val="single" w:sz="4" w:space="0" w:color="800000"/>
              <w:bottom w:val="nil"/>
              <w:right w:val="single" w:sz="4" w:space="0" w:color="800000"/>
            </w:tcBorders>
            <w:shd w:val="clear" w:color="auto" w:fill="FFFFCC"/>
            <w:noWrap/>
            <w:vAlign w:val="bottom"/>
          </w:tcPr>
          <w:p w14:paraId="52907EF9" w14:textId="77777777" w:rsidR="00CC09AC" w:rsidRPr="007B48E9" w:rsidRDefault="00CC09AC" w:rsidP="003B085A">
            <w:pPr>
              <w:jc w:val="right"/>
              <w:rPr>
                <w:color w:val="0070C0"/>
                <w:sz w:val="18"/>
                <w:szCs w:val="18"/>
              </w:rPr>
            </w:pPr>
            <w:r>
              <w:rPr>
                <w:color w:val="000000"/>
                <w:sz w:val="18"/>
                <w:szCs w:val="18"/>
              </w:rPr>
              <w:t>70,2</w:t>
            </w:r>
          </w:p>
        </w:tc>
        <w:tc>
          <w:tcPr>
            <w:tcW w:w="709" w:type="dxa"/>
            <w:tcBorders>
              <w:top w:val="nil"/>
              <w:left w:val="single" w:sz="4" w:space="0" w:color="800000"/>
              <w:bottom w:val="nil"/>
              <w:right w:val="single" w:sz="4" w:space="0" w:color="800000"/>
            </w:tcBorders>
            <w:shd w:val="clear" w:color="auto" w:fill="FFFFCC"/>
            <w:noWrap/>
            <w:vAlign w:val="bottom"/>
          </w:tcPr>
          <w:p w14:paraId="0C63ED3A" w14:textId="77777777" w:rsidR="00CC09AC" w:rsidRPr="007B48E9" w:rsidRDefault="00CC09AC" w:rsidP="003B085A">
            <w:pPr>
              <w:jc w:val="right"/>
              <w:rPr>
                <w:color w:val="0070C0"/>
                <w:sz w:val="18"/>
                <w:szCs w:val="18"/>
              </w:rPr>
            </w:pPr>
            <w:r>
              <w:rPr>
                <w:color w:val="000000"/>
                <w:sz w:val="18"/>
                <w:szCs w:val="18"/>
              </w:rPr>
              <w:t>1,7</w:t>
            </w:r>
          </w:p>
        </w:tc>
        <w:tc>
          <w:tcPr>
            <w:tcW w:w="850" w:type="dxa"/>
            <w:tcBorders>
              <w:top w:val="nil"/>
              <w:left w:val="single" w:sz="4" w:space="0" w:color="800000"/>
              <w:bottom w:val="nil"/>
              <w:right w:val="single" w:sz="4" w:space="0" w:color="800000"/>
            </w:tcBorders>
            <w:shd w:val="clear" w:color="auto" w:fill="FFFFCC"/>
            <w:noWrap/>
            <w:vAlign w:val="bottom"/>
          </w:tcPr>
          <w:p w14:paraId="70908A95" w14:textId="77777777" w:rsidR="00CC09AC" w:rsidRPr="007B48E9" w:rsidRDefault="00CC09AC" w:rsidP="003B085A">
            <w:pPr>
              <w:jc w:val="right"/>
              <w:rPr>
                <w:color w:val="0070C0"/>
                <w:sz w:val="18"/>
                <w:szCs w:val="18"/>
              </w:rPr>
            </w:pPr>
            <w:r>
              <w:rPr>
                <w:color w:val="000000"/>
                <w:sz w:val="18"/>
                <w:szCs w:val="18"/>
              </w:rPr>
              <w:t>146,6</w:t>
            </w:r>
          </w:p>
        </w:tc>
        <w:tc>
          <w:tcPr>
            <w:tcW w:w="709" w:type="dxa"/>
            <w:tcBorders>
              <w:top w:val="nil"/>
              <w:left w:val="single" w:sz="4" w:space="0" w:color="800000"/>
              <w:bottom w:val="nil"/>
              <w:right w:val="single" w:sz="4" w:space="0" w:color="800000"/>
            </w:tcBorders>
            <w:shd w:val="clear" w:color="auto" w:fill="FFFFCC"/>
            <w:noWrap/>
            <w:vAlign w:val="bottom"/>
          </w:tcPr>
          <w:p w14:paraId="74215F07" w14:textId="77777777" w:rsidR="00CC09AC" w:rsidRPr="007B48E9" w:rsidRDefault="00CC09AC" w:rsidP="003B085A">
            <w:pPr>
              <w:jc w:val="right"/>
              <w:rPr>
                <w:color w:val="0070C0"/>
                <w:sz w:val="18"/>
                <w:szCs w:val="18"/>
              </w:rPr>
            </w:pPr>
            <w:r>
              <w:rPr>
                <w:color w:val="000000"/>
                <w:sz w:val="18"/>
                <w:szCs w:val="18"/>
              </w:rPr>
              <w:t>0,8</w:t>
            </w:r>
          </w:p>
        </w:tc>
        <w:tc>
          <w:tcPr>
            <w:tcW w:w="850" w:type="dxa"/>
            <w:tcBorders>
              <w:top w:val="nil"/>
              <w:left w:val="single" w:sz="4" w:space="0" w:color="800000"/>
              <w:bottom w:val="nil"/>
              <w:right w:val="single" w:sz="4" w:space="0" w:color="800000"/>
            </w:tcBorders>
            <w:shd w:val="clear" w:color="auto" w:fill="FFFFCC"/>
            <w:noWrap/>
            <w:vAlign w:val="bottom"/>
          </w:tcPr>
          <w:p w14:paraId="3F4774C5" w14:textId="77777777" w:rsidR="00CC09AC" w:rsidRPr="007B48E9" w:rsidRDefault="00CC09AC" w:rsidP="003B085A">
            <w:pPr>
              <w:jc w:val="right"/>
              <w:rPr>
                <w:color w:val="0070C0"/>
                <w:sz w:val="18"/>
                <w:szCs w:val="18"/>
              </w:rPr>
            </w:pPr>
            <w:r>
              <w:rPr>
                <w:color w:val="000000"/>
                <w:sz w:val="18"/>
                <w:szCs w:val="18"/>
              </w:rPr>
              <w:t>137,6</w:t>
            </w:r>
          </w:p>
        </w:tc>
        <w:tc>
          <w:tcPr>
            <w:tcW w:w="993" w:type="dxa"/>
            <w:tcBorders>
              <w:top w:val="nil"/>
              <w:left w:val="single" w:sz="4" w:space="0" w:color="800000"/>
              <w:bottom w:val="nil"/>
              <w:right w:val="single" w:sz="4" w:space="0" w:color="800000"/>
            </w:tcBorders>
            <w:shd w:val="clear" w:color="auto" w:fill="FFFFCC"/>
            <w:vAlign w:val="bottom"/>
          </w:tcPr>
          <w:p w14:paraId="335792B1"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tcPr>
          <w:p w14:paraId="41A36412" w14:textId="77777777" w:rsidR="00CC09AC" w:rsidRPr="007B48E9" w:rsidRDefault="00CC09AC" w:rsidP="003B085A">
            <w:pPr>
              <w:jc w:val="right"/>
              <w:rPr>
                <w:color w:val="0070C0"/>
                <w:sz w:val="18"/>
                <w:szCs w:val="18"/>
              </w:rPr>
            </w:pPr>
            <w:r>
              <w:rPr>
                <w:color w:val="000000"/>
                <w:sz w:val="18"/>
                <w:szCs w:val="18"/>
              </w:rPr>
              <w:t>5,5</w:t>
            </w:r>
          </w:p>
        </w:tc>
      </w:tr>
      <w:tr w:rsidR="00CC09AC" w:rsidRPr="007B48E9" w14:paraId="29449BDB" w14:textId="77777777" w:rsidTr="003B085A">
        <w:trPr>
          <w:trHeight w:val="270"/>
        </w:trPr>
        <w:tc>
          <w:tcPr>
            <w:tcW w:w="3614" w:type="dxa"/>
            <w:tcBorders>
              <w:top w:val="nil"/>
              <w:left w:val="double" w:sz="6" w:space="0" w:color="800000"/>
              <w:bottom w:val="nil"/>
              <w:right w:val="single" w:sz="4" w:space="0" w:color="800000"/>
            </w:tcBorders>
            <w:shd w:val="clear" w:color="auto" w:fill="FFFFCC"/>
            <w:noWrap/>
            <w:vAlign w:val="bottom"/>
          </w:tcPr>
          <w:p w14:paraId="0513F600" w14:textId="77777777" w:rsidR="00CC09AC" w:rsidRPr="00D51E09" w:rsidRDefault="00CC09AC" w:rsidP="003B085A">
            <w:pPr>
              <w:rPr>
                <w:sz w:val="18"/>
                <w:szCs w:val="18"/>
              </w:rPr>
            </w:pPr>
            <w:r w:rsidRPr="00D51E09">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tcPr>
          <w:p w14:paraId="69D10DE1" w14:textId="77777777" w:rsidR="00CC09AC" w:rsidRPr="007B48E9" w:rsidRDefault="00CC09AC" w:rsidP="003B085A">
            <w:pPr>
              <w:jc w:val="right"/>
              <w:rPr>
                <w:color w:val="0070C0"/>
                <w:sz w:val="18"/>
                <w:szCs w:val="18"/>
              </w:rPr>
            </w:pPr>
            <w:r>
              <w:rPr>
                <w:color w:val="000000"/>
                <w:sz w:val="18"/>
                <w:szCs w:val="18"/>
              </w:rPr>
              <w:t>84,6</w:t>
            </w:r>
          </w:p>
        </w:tc>
        <w:tc>
          <w:tcPr>
            <w:tcW w:w="851" w:type="dxa"/>
            <w:tcBorders>
              <w:top w:val="nil"/>
              <w:left w:val="single" w:sz="4" w:space="0" w:color="800000"/>
              <w:bottom w:val="nil"/>
              <w:right w:val="single" w:sz="4" w:space="0" w:color="800000"/>
            </w:tcBorders>
            <w:shd w:val="clear" w:color="auto" w:fill="FFFFCC"/>
            <w:noWrap/>
            <w:vAlign w:val="bottom"/>
          </w:tcPr>
          <w:p w14:paraId="140E4D34" w14:textId="77777777" w:rsidR="00CC09AC" w:rsidRPr="007B48E9" w:rsidRDefault="00CC09AC" w:rsidP="003B085A">
            <w:pPr>
              <w:jc w:val="right"/>
              <w:rPr>
                <w:color w:val="0070C0"/>
                <w:sz w:val="18"/>
                <w:szCs w:val="18"/>
              </w:rPr>
            </w:pPr>
            <w:r>
              <w:rPr>
                <w:color w:val="000000"/>
                <w:sz w:val="18"/>
                <w:szCs w:val="18"/>
              </w:rPr>
              <w:t>1,3</w:t>
            </w:r>
          </w:p>
        </w:tc>
        <w:tc>
          <w:tcPr>
            <w:tcW w:w="709" w:type="dxa"/>
            <w:tcBorders>
              <w:top w:val="nil"/>
              <w:left w:val="single" w:sz="4" w:space="0" w:color="800000"/>
              <w:bottom w:val="nil"/>
              <w:right w:val="single" w:sz="4" w:space="0" w:color="800000"/>
            </w:tcBorders>
            <w:shd w:val="clear" w:color="auto" w:fill="FFFFCC"/>
            <w:noWrap/>
            <w:vAlign w:val="bottom"/>
          </w:tcPr>
          <w:p w14:paraId="03B47CEA" w14:textId="77777777" w:rsidR="00CC09AC" w:rsidRPr="007B48E9" w:rsidRDefault="00CC09AC" w:rsidP="003B085A">
            <w:pPr>
              <w:jc w:val="right"/>
              <w:rPr>
                <w:color w:val="0070C0"/>
                <w:sz w:val="18"/>
                <w:szCs w:val="18"/>
              </w:rPr>
            </w:pPr>
            <w:r>
              <w:rPr>
                <w:color w:val="000000"/>
                <w:sz w:val="18"/>
                <w:szCs w:val="18"/>
              </w:rPr>
              <w:t>0,003</w:t>
            </w:r>
          </w:p>
        </w:tc>
        <w:tc>
          <w:tcPr>
            <w:tcW w:w="850" w:type="dxa"/>
            <w:tcBorders>
              <w:top w:val="nil"/>
              <w:left w:val="single" w:sz="4" w:space="0" w:color="800000"/>
              <w:bottom w:val="nil"/>
              <w:right w:val="single" w:sz="4" w:space="0" w:color="800000"/>
            </w:tcBorders>
            <w:shd w:val="clear" w:color="auto" w:fill="FFFFCC"/>
            <w:noWrap/>
            <w:vAlign w:val="bottom"/>
          </w:tcPr>
          <w:p w14:paraId="3E28D940" w14:textId="77777777" w:rsidR="00CC09AC" w:rsidRPr="007B48E9" w:rsidRDefault="00CC09AC" w:rsidP="003B085A">
            <w:pPr>
              <w:jc w:val="right"/>
              <w:rPr>
                <w:color w:val="0070C0"/>
                <w:sz w:val="18"/>
                <w:szCs w:val="18"/>
              </w:rPr>
            </w:pPr>
            <w:r>
              <w:rPr>
                <w:color w:val="000000"/>
                <w:sz w:val="18"/>
                <w:szCs w:val="18"/>
              </w:rPr>
              <w:t>12,3</w:t>
            </w:r>
          </w:p>
        </w:tc>
        <w:tc>
          <w:tcPr>
            <w:tcW w:w="709" w:type="dxa"/>
            <w:tcBorders>
              <w:top w:val="nil"/>
              <w:left w:val="single" w:sz="4" w:space="0" w:color="800000"/>
              <w:bottom w:val="nil"/>
              <w:right w:val="single" w:sz="4" w:space="0" w:color="800000"/>
            </w:tcBorders>
            <w:shd w:val="clear" w:color="auto" w:fill="FFFFCC"/>
            <w:noWrap/>
            <w:vAlign w:val="bottom"/>
          </w:tcPr>
          <w:p w14:paraId="40234797" w14:textId="77777777" w:rsidR="00CC09AC" w:rsidRPr="007B48E9" w:rsidRDefault="00CC09AC" w:rsidP="003B085A">
            <w:pPr>
              <w:jc w:val="right"/>
              <w:rPr>
                <w:color w:val="0070C0"/>
                <w:sz w:val="18"/>
                <w:szCs w:val="18"/>
              </w:rPr>
            </w:pPr>
            <w:r>
              <w:rPr>
                <w:color w:val="000000"/>
                <w:sz w:val="18"/>
                <w:szCs w:val="18"/>
              </w:rPr>
              <w:t>0,8</w:t>
            </w:r>
          </w:p>
        </w:tc>
        <w:tc>
          <w:tcPr>
            <w:tcW w:w="850" w:type="dxa"/>
            <w:tcBorders>
              <w:top w:val="nil"/>
              <w:left w:val="single" w:sz="4" w:space="0" w:color="800000"/>
              <w:bottom w:val="nil"/>
              <w:right w:val="single" w:sz="4" w:space="0" w:color="800000"/>
            </w:tcBorders>
            <w:shd w:val="clear" w:color="auto" w:fill="FFFFCC"/>
            <w:noWrap/>
            <w:vAlign w:val="bottom"/>
          </w:tcPr>
          <w:p w14:paraId="247E2F71" w14:textId="77777777" w:rsidR="00CC09AC" w:rsidRPr="007B48E9" w:rsidRDefault="00CC09AC" w:rsidP="003B085A">
            <w:pPr>
              <w:jc w:val="right"/>
              <w:rPr>
                <w:color w:val="0070C0"/>
                <w:sz w:val="18"/>
                <w:szCs w:val="18"/>
              </w:rPr>
            </w:pPr>
            <w:r>
              <w:rPr>
                <w:color w:val="000000"/>
                <w:sz w:val="18"/>
                <w:szCs w:val="18"/>
              </w:rPr>
              <w:t>68,3</w:t>
            </w:r>
          </w:p>
        </w:tc>
        <w:tc>
          <w:tcPr>
            <w:tcW w:w="993" w:type="dxa"/>
            <w:tcBorders>
              <w:top w:val="nil"/>
              <w:left w:val="single" w:sz="4" w:space="0" w:color="800000"/>
              <w:bottom w:val="nil"/>
              <w:right w:val="single" w:sz="4" w:space="0" w:color="800000"/>
            </w:tcBorders>
            <w:shd w:val="clear" w:color="auto" w:fill="FFFFCC"/>
            <w:vAlign w:val="bottom"/>
          </w:tcPr>
          <w:p w14:paraId="17EED5C0"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nil"/>
              <w:right w:val="double" w:sz="6" w:space="0" w:color="800000"/>
            </w:tcBorders>
            <w:shd w:val="clear" w:color="auto" w:fill="FFFFCC"/>
            <w:noWrap/>
            <w:vAlign w:val="bottom"/>
          </w:tcPr>
          <w:p w14:paraId="408AD61B" w14:textId="77777777" w:rsidR="00CC09AC" w:rsidRPr="007B48E9" w:rsidRDefault="00CC09AC" w:rsidP="003B085A">
            <w:pPr>
              <w:jc w:val="right"/>
              <w:rPr>
                <w:color w:val="0070C0"/>
                <w:sz w:val="18"/>
                <w:szCs w:val="18"/>
              </w:rPr>
            </w:pPr>
            <w:r>
              <w:rPr>
                <w:color w:val="000000"/>
                <w:sz w:val="18"/>
                <w:szCs w:val="18"/>
              </w:rPr>
              <w:t>1,84</w:t>
            </w:r>
          </w:p>
        </w:tc>
      </w:tr>
      <w:tr w:rsidR="00CC09AC" w:rsidRPr="007B48E9" w14:paraId="5C21237C" w14:textId="77777777" w:rsidTr="003B085A">
        <w:trPr>
          <w:trHeight w:val="270"/>
        </w:trPr>
        <w:tc>
          <w:tcPr>
            <w:tcW w:w="3614" w:type="dxa"/>
            <w:tcBorders>
              <w:top w:val="nil"/>
              <w:left w:val="double" w:sz="6" w:space="0" w:color="800000"/>
              <w:bottom w:val="double" w:sz="6" w:space="0" w:color="800000"/>
              <w:right w:val="single" w:sz="4" w:space="0" w:color="800000"/>
            </w:tcBorders>
            <w:shd w:val="clear" w:color="auto" w:fill="FFFFCC"/>
            <w:noWrap/>
            <w:vAlign w:val="bottom"/>
          </w:tcPr>
          <w:p w14:paraId="481BF66D" w14:textId="77777777" w:rsidR="00CC09AC" w:rsidRPr="00D51E09" w:rsidRDefault="00CC09AC" w:rsidP="003B085A">
            <w:pPr>
              <w:rPr>
                <w:sz w:val="18"/>
                <w:szCs w:val="18"/>
              </w:rPr>
            </w:pPr>
            <w:r w:rsidRPr="00D51E09">
              <w:rPr>
                <w:sz w:val="18"/>
                <w:szCs w:val="18"/>
              </w:rPr>
              <w:t xml:space="preserve">   Пред. тек. и кап. тр/ри за чужбина</w:t>
            </w:r>
          </w:p>
        </w:tc>
        <w:tc>
          <w:tcPr>
            <w:tcW w:w="992" w:type="dxa"/>
            <w:tcBorders>
              <w:top w:val="nil"/>
              <w:left w:val="single" w:sz="4" w:space="0" w:color="800000"/>
              <w:bottom w:val="double" w:sz="6" w:space="0" w:color="800000"/>
              <w:right w:val="single" w:sz="4" w:space="0" w:color="800000"/>
            </w:tcBorders>
            <w:shd w:val="clear" w:color="auto" w:fill="FFFFCC"/>
            <w:noWrap/>
            <w:vAlign w:val="bottom"/>
          </w:tcPr>
          <w:p w14:paraId="73C99394" w14:textId="77777777" w:rsidR="00CC09AC" w:rsidRPr="007B48E9" w:rsidRDefault="00CC09AC" w:rsidP="003B085A">
            <w:pPr>
              <w:jc w:val="right"/>
              <w:rPr>
                <w:color w:val="0070C0"/>
                <w:sz w:val="18"/>
                <w:szCs w:val="18"/>
              </w:rPr>
            </w:pPr>
            <w:r>
              <w:rPr>
                <w:color w:val="000000"/>
                <w:sz w:val="18"/>
                <w:szCs w:val="18"/>
              </w:rPr>
              <w:t>4,8</w:t>
            </w:r>
          </w:p>
        </w:tc>
        <w:tc>
          <w:tcPr>
            <w:tcW w:w="851" w:type="dxa"/>
            <w:tcBorders>
              <w:top w:val="nil"/>
              <w:left w:val="single" w:sz="4" w:space="0" w:color="800000"/>
              <w:bottom w:val="double" w:sz="6" w:space="0" w:color="800000"/>
              <w:right w:val="single" w:sz="4" w:space="0" w:color="800000"/>
            </w:tcBorders>
            <w:shd w:val="clear" w:color="auto" w:fill="FFFFCC"/>
            <w:noWrap/>
            <w:vAlign w:val="bottom"/>
          </w:tcPr>
          <w:p w14:paraId="172F88C2" w14:textId="77777777" w:rsidR="00CC09AC" w:rsidRPr="007B48E9" w:rsidRDefault="00CC09AC" w:rsidP="003B085A">
            <w:pPr>
              <w:jc w:val="right"/>
              <w:rPr>
                <w:color w:val="0070C0"/>
                <w:sz w:val="18"/>
                <w:szCs w:val="18"/>
              </w:rPr>
            </w:pPr>
            <w:r>
              <w:rPr>
                <w:color w:val="000000"/>
                <w:sz w:val="18"/>
                <w:szCs w:val="18"/>
              </w:rPr>
              <w:t>0,7</w:t>
            </w:r>
          </w:p>
        </w:tc>
        <w:tc>
          <w:tcPr>
            <w:tcW w:w="709" w:type="dxa"/>
            <w:tcBorders>
              <w:top w:val="nil"/>
              <w:left w:val="single" w:sz="4" w:space="0" w:color="800000"/>
              <w:bottom w:val="double" w:sz="6" w:space="0" w:color="800000"/>
              <w:right w:val="single" w:sz="4" w:space="0" w:color="800000"/>
            </w:tcBorders>
            <w:shd w:val="clear" w:color="auto" w:fill="FFFFCC"/>
            <w:noWrap/>
            <w:vAlign w:val="bottom"/>
          </w:tcPr>
          <w:p w14:paraId="159E34D9"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double" w:sz="6" w:space="0" w:color="800000"/>
              <w:right w:val="single" w:sz="4" w:space="0" w:color="800000"/>
            </w:tcBorders>
            <w:shd w:val="clear" w:color="auto" w:fill="FFFFCC"/>
            <w:noWrap/>
            <w:vAlign w:val="bottom"/>
          </w:tcPr>
          <w:p w14:paraId="715E2F69" w14:textId="77777777" w:rsidR="00CC09AC" w:rsidRPr="007B48E9" w:rsidRDefault="00CC09AC" w:rsidP="003B085A">
            <w:pPr>
              <w:jc w:val="right"/>
              <w:rPr>
                <w:color w:val="0070C0"/>
                <w:sz w:val="18"/>
                <w:szCs w:val="18"/>
              </w:rPr>
            </w:pPr>
            <w:r>
              <w:rPr>
                <w:color w:val="000000"/>
                <w:sz w:val="18"/>
                <w:szCs w:val="18"/>
              </w:rPr>
              <w:t> </w:t>
            </w:r>
          </w:p>
        </w:tc>
        <w:tc>
          <w:tcPr>
            <w:tcW w:w="709" w:type="dxa"/>
            <w:tcBorders>
              <w:top w:val="nil"/>
              <w:left w:val="single" w:sz="4" w:space="0" w:color="800000"/>
              <w:bottom w:val="double" w:sz="6" w:space="0" w:color="800000"/>
              <w:right w:val="single" w:sz="4" w:space="0" w:color="800000"/>
            </w:tcBorders>
            <w:shd w:val="clear" w:color="auto" w:fill="FFFFCC"/>
            <w:noWrap/>
            <w:vAlign w:val="bottom"/>
          </w:tcPr>
          <w:p w14:paraId="454DD365" w14:textId="77777777" w:rsidR="00CC09AC" w:rsidRPr="007B48E9" w:rsidRDefault="00CC09AC" w:rsidP="003B085A">
            <w:pPr>
              <w:jc w:val="right"/>
              <w:rPr>
                <w:color w:val="0070C0"/>
                <w:sz w:val="18"/>
                <w:szCs w:val="18"/>
              </w:rPr>
            </w:pPr>
            <w:r>
              <w:rPr>
                <w:color w:val="000000"/>
                <w:sz w:val="18"/>
                <w:szCs w:val="18"/>
              </w:rPr>
              <w:t> </w:t>
            </w:r>
          </w:p>
        </w:tc>
        <w:tc>
          <w:tcPr>
            <w:tcW w:w="850" w:type="dxa"/>
            <w:tcBorders>
              <w:top w:val="nil"/>
              <w:left w:val="single" w:sz="4" w:space="0" w:color="800000"/>
              <w:bottom w:val="double" w:sz="6" w:space="0" w:color="800000"/>
              <w:right w:val="single" w:sz="4" w:space="0" w:color="800000"/>
            </w:tcBorders>
            <w:shd w:val="clear" w:color="auto" w:fill="FFFFCC"/>
            <w:noWrap/>
            <w:vAlign w:val="bottom"/>
          </w:tcPr>
          <w:p w14:paraId="55B39418" w14:textId="77777777" w:rsidR="00CC09AC" w:rsidRPr="007B48E9" w:rsidRDefault="00CC09AC" w:rsidP="003B085A">
            <w:pPr>
              <w:jc w:val="right"/>
              <w:rPr>
                <w:color w:val="0070C0"/>
                <w:sz w:val="18"/>
                <w:szCs w:val="18"/>
              </w:rPr>
            </w:pPr>
            <w:r>
              <w:rPr>
                <w:color w:val="000000"/>
                <w:sz w:val="18"/>
                <w:szCs w:val="18"/>
              </w:rPr>
              <w:t>4,1</w:t>
            </w:r>
          </w:p>
        </w:tc>
        <w:tc>
          <w:tcPr>
            <w:tcW w:w="993" w:type="dxa"/>
            <w:tcBorders>
              <w:top w:val="nil"/>
              <w:left w:val="single" w:sz="4" w:space="0" w:color="800000"/>
              <w:bottom w:val="double" w:sz="6" w:space="0" w:color="800000"/>
              <w:right w:val="single" w:sz="4" w:space="0" w:color="800000"/>
            </w:tcBorders>
            <w:shd w:val="clear" w:color="auto" w:fill="FFFFCC"/>
            <w:vAlign w:val="bottom"/>
          </w:tcPr>
          <w:p w14:paraId="654544B8" w14:textId="77777777" w:rsidR="00CC09AC" w:rsidRPr="007B48E9" w:rsidRDefault="00CC09AC" w:rsidP="003B085A">
            <w:pPr>
              <w:jc w:val="right"/>
              <w:rPr>
                <w:color w:val="0070C0"/>
                <w:sz w:val="18"/>
                <w:szCs w:val="18"/>
              </w:rPr>
            </w:pPr>
            <w:r>
              <w:rPr>
                <w:color w:val="000000"/>
                <w:sz w:val="18"/>
                <w:szCs w:val="18"/>
              </w:rPr>
              <w:t> </w:t>
            </w:r>
          </w:p>
        </w:tc>
        <w:tc>
          <w:tcPr>
            <w:tcW w:w="992" w:type="dxa"/>
            <w:tcBorders>
              <w:top w:val="nil"/>
              <w:left w:val="single" w:sz="4" w:space="0" w:color="800000"/>
              <w:bottom w:val="double" w:sz="6" w:space="0" w:color="800000"/>
              <w:right w:val="double" w:sz="6" w:space="0" w:color="800000"/>
            </w:tcBorders>
            <w:shd w:val="clear" w:color="auto" w:fill="FFFFCC"/>
            <w:noWrap/>
            <w:vAlign w:val="bottom"/>
          </w:tcPr>
          <w:p w14:paraId="2D6A252E" w14:textId="77777777" w:rsidR="00CC09AC" w:rsidRPr="007B48E9" w:rsidRDefault="00CC09AC" w:rsidP="003B085A">
            <w:pPr>
              <w:jc w:val="right"/>
              <w:rPr>
                <w:color w:val="0070C0"/>
                <w:sz w:val="18"/>
                <w:szCs w:val="18"/>
              </w:rPr>
            </w:pPr>
            <w:r>
              <w:rPr>
                <w:color w:val="000000"/>
                <w:sz w:val="18"/>
                <w:szCs w:val="18"/>
              </w:rPr>
              <w:t> </w:t>
            </w:r>
          </w:p>
        </w:tc>
      </w:tr>
    </w:tbl>
    <w:p w14:paraId="7E5B3AB6" w14:textId="77777777" w:rsidR="00CC09AC" w:rsidRPr="007B48E9" w:rsidRDefault="00CC09AC" w:rsidP="00CC09AC">
      <w:pPr>
        <w:pStyle w:val="ListParagraph"/>
        <w:ind w:left="357"/>
        <w:jc w:val="right"/>
        <w:rPr>
          <w:b/>
          <w:color w:val="0070C0"/>
          <w:sz w:val="10"/>
          <w:szCs w:val="10"/>
        </w:rPr>
      </w:pPr>
    </w:p>
    <w:p w14:paraId="0CE86330" w14:textId="77777777" w:rsidR="00CC09AC" w:rsidRPr="007B48E9" w:rsidRDefault="00CC09AC" w:rsidP="00CC09AC">
      <w:pPr>
        <w:rPr>
          <w:color w:val="0070C0"/>
          <w:sz w:val="2"/>
          <w:szCs w:val="2"/>
        </w:rPr>
      </w:pPr>
    </w:p>
    <w:p w14:paraId="4A31E0B5" w14:textId="77777777" w:rsidR="00CC09AC" w:rsidRPr="007B48E9" w:rsidRDefault="00CC09AC" w:rsidP="00CC09AC">
      <w:pPr>
        <w:ind w:firstLine="540"/>
        <w:rPr>
          <w:b/>
          <w:color w:val="0070C0"/>
        </w:rPr>
      </w:pPr>
    </w:p>
    <w:p w14:paraId="76866966" w14:textId="77777777" w:rsidR="00CC09AC" w:rsidRPr="00AA7B04" w:rsidRDefault="00CC09AC" w:rsidP="00CC09AC">
      <w:pPr>
        <w:ind w:firstLine="709"/>
        <w:rPr>
          <w:b/>
        </w:rPr>
      </w:pPr>
      <w:r w:rsidRPr="00AA7B04">
        <w:rPr>
          <w:b/>
        </w:rPr>
        <w:t xml:space="preserve">Група А: </w:t>
      </w:r>
      <w:r w:rsidRPr="00AA7B04">
        <w:rPr>
          <w:b/>
          <w:i/>
        </w:rPr>
        <w:t>„Минно дело, горива и енергия”</w:t>
      </w:r>
    </w:p>
    <w:p w14:paraId="1D86729B" w14:textId="77777777" w:rsidR="00CC09AC" w:rsidRPr="007B48E9" w:rsidRDefault="00CC09AC" w:rsidP="00CC09AC">
      <w:pPr>
        <w:ind w:firstLine="709"/>
        <w:rPr>
          <w:b/>
          <w:color w:val="0070C0"/>
          <w:sz w:val="12"/>
          <w:szCs w:val="12"/>
        </w:rPr>
      </w:pPr>
    </w:p>
    <w:p w14:paraId="49E76439" w14:textId="77777777" w:rsidR="00CC09AC" w:rsidRPr="007B48E9" w:rsidRDefault="00CC09AC" w:rsidP="00CC09AC">
      <w:pPr>
        <w:ind w:firstLine="709"/>
        <w:jc w:val="both"/>
        <w:rPr>
          <w:color w:val="0070C0"/>
        </w:rPr>
      </w:pPr>
      <w:r w:rsidRPr="00AA7B04">
        <w:t xml:space="preserve">Със ЗДБРБ за 2022 г. в група „Минно дело, горива и енергия” по </w:t>
      </w:r>
      <w:r w:rsidRPr="00AA7B04">
        <w:rPr>
          <w:b/>
        </w:rPr>
        <w:t>държавния бюджет</w:t>
      </w:r>
      <w:r w:rsidRPr="00AA7B04">
        <w:t xml:space="preserve"> са предвидени 62,9 млн. лв. (разходите по уточнен план са в размер на 512,5 млн. лв.). </w:t>
      </w:r>
      <w:r w:rsidRPr="00D24D54">
        <w:rPr>
          <w:color w:val="000000" w:themeColor="text1"/>
        </w:rPr>
        <w:t>Одобрените средства са за реализиране на политиката на правителството, която е постигане на устойчиво и конкурентоспособно енергийно развитие. От достигнатите по УП разходи 450,0 млн. лв. са за компенсация на високите цени на енергийните ресурси и горивата, които  в края на годината са прехвърлени по сметка за чужди средства на Министерство на енергетиката</w:t>
      </w:r>
      <w:r w:rsidRPr="007B48E9">
        <w:rPr>
          <w:color w:val="0070C0"/>
        </w:rPr>
        <w:t>.</w:t>
      </w:r>
    </w:p>
    <w:p w14:paraId="4CFCB639" w14:textId="77777777" w:rsidR="00CC09AC" w:rsidRPr="007B48E9" w:rsidRDefault="00CC09AC" w:rsidP="00CC09AC">
      <w:pPr>
        <w:ind w:firstLine="709"/>
        <w:jc w:val="both"/>
        <w:rPr>
          <w:color w:val="0070C0"/>
        </w:rPr>
      </w:pPr>
      <w:r w:rsidRPr="00AA7B04">
        <w:t>За 2022 г. отчетените разходи по държавния бюджет в групата са в размер на 512,3 млн. лв. и са изразходвани по бюджета на Министерството на енергетиката. Усвоените през годината средства са за реализиране на политиката в областта на енергетиката и са насочени към постигане на следните резултати</w:t>
      </w:r>
      <w:r w:rsidRPr="00AA7B04">
        <w:rPr>
          <w:lang w:val="ru-RU"/>
        </w:rPr>
        <w:t>:</w:t>
      </w:r>
    </w:p>
    <w:p w14:paraId="15E7888B" w14:textId="77777777" w:rsidR="00CC09AC" w:rsidRPr="00D24D54" w:rsidRDefault="00CC09AC" w:rsidP="00BD39E0">
      <w:pPr>
        <w:numPr>
          <w:ilvl w:val="0"/>
          <w:numId w:val="74"/>
        </w:numPr>
        <w:jc w:val="both"/>
        <w:rPr>
          <w:color w:val="000000" w:themeColor="text1"/>
        </w:rPr>
      </w:pPr>
      <w:r w:rsidRPr="00D24D54">
        <w:rPr>
          <w:color w:val="000000" w:themeColor="text1"/>
        </w:rPr>
        <w:t>гарантиране на енергийната сигурност на страната, чрез проучване на нови райони за снабдяване с горива, проучване на нови технологии, по-нататъшно разработване на местните ресурси и подобряване на инфраструктурата за достъп до нови източници на снабдяване, в т.ч. изграждане на междусистемни газови връзки на България със съседните страни и др.;</w:t>
      </w:r>
    </w:p>
    <w:p w14:paraId="6E6DFC2F" w14:textId="77777777" w:rsidR="00CC09AC" w:rsidRPr="00D24D54" w:rsidRDefault="00CC09AC" w:rsidP="00BD39E0">
      <w:pPr>
        <w:numPr>
          <w:ilvl w:val="0"/>
          <w:numId w:val="74"/>
        </w:numPr>
        <w:jc w:val="both"/>
        <w:rPr>
          <w:color w:val="000000" w:themeColor="text1"/>
        </w:rPr>
      </w:pPr>
      <w:r w:rsidRPr="00D24D54">
        <w:rPr>
          <w:color w:val="000000" w:themeColor="text1"/>
        </w:rPr>
        <w:t>пълна либерализация на пазарите на електроенергия и газ и интегрирането им в Общия европейски енергиен пазар;</w:t>
      </w:r>
    </w:p>
    <w:p w14:paraId="0C70800D" w14:textId="77777777" w:rsidR="00CC09AC" w:rsidRPr="00D24D54" w:rsidRDefault="00CC09AC" w:rsidP="00BD39E0">
      <w:pPr>
        <w:numPr>
          <w:ilvl w:val="0"/>
          <w:numId w:val="74"/>
        </w:numPr>
        <w:jc w:val="both"/>
        <w:rPr>
          <w:color w:val="000000" w:themeColor="text1"/>
        </w:rPr>
      </w:pPr>
      <w:r w:rsidRPr="00D24D54">
        <w:rPr>
          <w:color w:val="000000" w:themeColor="text1"/>
        </w:rPr>
        <w:t>установяване на по-чисто и ефективно производство на енергия чрез по-рационално използване на изкопаемите и възобновяеми източници /ВИ/;</w:t>
      </w:r>
    </w:p>
    <w:p w14:paraId="52ED38A1" w14:textId="77777777" w:rsidR="00CC09AC" w:rsidRPr="00D24D54" w:rsidRDefault="00CC09AC" w:rsidP="00BD39E0">
      <w:pPr>
        <w:numPr>
          <w:ilvl w:val="0"/>
          <w:numId w:val="74"/>
        </w:numPr>
        <w:jc w:val="both"/>
        <w:rPr>
          <w:color w:val="000000" w:themeColor="text1"/>
        </w:rPr>
      </w:pPr>
      <w:r w:rsidRPr="00D24D54">
        <w:rPr>
          <w:color w:val="000000" w:themeColor="text1"/>
        </w:rPr>
        <w:t>минимизиране влиянието на производството, преноса и използването на енергия върху околната среда, подобряване управлението на естествените ресурси;</w:t>
      </w:r>
    </w:p>
    <w:p w14:paraId="71A26462" w14:textId="77777777" w:rsidR="00CC09AC" w:rsidRPr="00D24D54" w:rsidRDefault="00CC09AC" w:rsidP="00BD39E0">
      <w:pPr>
        <w:numPr>
          <w:ilvl w:val="0"/>
          <w:numId w:val="74"/>
        </w:numPr>
        <w:jc w:val="both"/>
        <w:rPr>
          <w:color w:val="000000" w:themeColor="text1"/>
        </w:rPr>
      </w:pPr>
      <w:r w:rsidRPr="00D24D54">
        <w:rPr>
          <w:color w:val="000000" w:themeColor="text1"/>
        </w:rPr>
        <w:t>развитие на нови икономически ефективни проекти, създаващи възможност за екологично нисковъглеродно производство на енергия, без предоставяне на държавни или корпоративни гаранции;</w:t>
      </w:r>
    </w:p>
    <w:p w14:paraId="7DF1F304" w14:textId="77777777" w:rsidR="00CC09AC" w:rsidRPr="00D24D54" w:rsidRDefault="00CC09AC" w:rsidP="00BD39E0">
      <w:pPr>
        <w:numPr>
          <w:ilvl w:val="0"/>
          <w:numId w:val="74"/>
        </w:numPr>
        <w:jc w:val="both"/>
        <w:rPr>
          <w:color w:val="000000" w:themeColor="text1"/>
        </w:rPr>
      </w:pPr>
      <w:r w:rsidRPr="00D24D54">
        <w:rPr>
          <w:color w:val="000000" w:themeColor="text1"/>
        </w:rPr>
        <w:t>ограничаване на външната зависимост от енергиен внос чрез диверсификация на енергийните доставки, енергоспестяване и насърчаване на използването на местни ресурси и енергия от ВИ;</w:t>
      </w:r>
    </w:p>
    <w:p w14:paraId="4604E48D" w14:textId="77777777" w:rsidR="00CC09AC" w:rsidRPr="00D24D54" w:rsidRDefault="00CC09AC" w:rsidP="00BD39E0">
      <w:pPr>
        <w:numPr>
          <w:ilvl w:val="0"/>
          <w:numId w:val="74"/>
        </w:numPr>
        <w:jc w:val="both"/>
        <w:rPr>
          <w:color w:val="000000" w:themeColor="text1"/>
        </w:rPr>
      </w:pPr>
      <w:r w:rsidRPr="00D24D54">
        <w:rPr>
          <w:color w:val="000000" w:themeColor="text1"/>
        </w:rPr>
        <w:t>насърчаване на местното устойчиво развитие чрез подкрепа на енергоспестяването;</w:t>
      </w:r>
    </w:p>
    <w:p w14:paraId="44C0D80E" w14:textId="77777777" w:rsidR="00CC09AC" w:rsidRPr="00D24D54" w:rsidRDefault="00CC09AC" w:rsidP="00BD39E0">
      <w:pPr>
        <w:numPr>
          <w:ilvl w:val="0"/>
          <w:numId w:val="74"/>
        </w:numPr>
        <w:jc w:val="both"/>
        <w:rPr>
          <w:color w:val="000000" w:themeColor="text1"/>
        </w:rPr>
      </w:pPr>
      <w:r w:rsidRPr="00D24D54">
        <w:rPr>
          <w:color w:val="000000" w:themeColor="text1"/>
        </w:rPr>
        <w:t>качествено и сигурно задоволяване потребностите на обществото от енергия и енергийни ресурси, съобразено с изискванията за надеждност, безопасност и опазване на околната среда;</w:t>
      </w:r>
    </w:p>
    <w:p w14:paraId="352D5AF7" w14:textId="77777777" w:rsidR="00CC09AC" w:rsidRPr="00D24D54" w:rsidRDefault="00CC09AC" w:rsidP="00BD39E0">
      <w:pPr>
        <w:numPr>
          <w:ilvl w:val="0"/>
          <w:numId w:val="74"/>
        </w:numPr>
        <w:jc w:val="both"/>
        <w:rPr>
          <w:color w:val="000000" w:themeColor="text1"/>
        </w:rPr>
      </w:pPr>
      <w:r w:rsidRPr="00D24D54">
        <w:rPr>
          <w:color w:val="000000" w:themeColor="text1"/>
        </w:rPr>
        <w:t>дългосрочна енергийна сигурност на страната при ефективно използване на енергията и енергийните ресурси и устойчивост на енергийния сектор;</w:t>
      </w:r>
    </w:p>
    <w:p w14:paraId="28079351" w14:textId="77777777" w:rsidR="00CC09AC" w:rsidRPr="00D24D54" w:rsidRDefault="00CC09AC" w:rsidP="00BD39E0">
      <w:pPr>
        <w:numPr>
          <w:ilvl w:val="0"/>
          <w:numId w:val="74"/>
        </w:numPr>
        <w:jc w:val="both"/>
        <w:rPr>
          <w:color w:val="000000" w:themeColor="text1"/>
        </w:rPr>
      </w:pPr>
      <w:r w:rsidRPr="00D24D54">
        <w:rPr>
          <w:color w:val="000000" w:themeColor="text1"/>
        </w:rPr>
        <w:t>запазване и развитие капацитета на ядрената енергетика, в т.ч. продължаване живота на блокове 5 и 6 на АЕЦ „Козлодуй“ и др.;</w:t>
      </w:r>
    </w:p>
    <w:p w14:paraId="45AB5F3F" w14:textId="77777777" w:rsidR="00CC09AC" w:rsidRPr="00AA7B04" w:rsidRDefault="00CC09AC" w:rsidP="00BD39E0">
      <w:pPr>
        <w:pStyle w:val="ListParagraph"/>
        <w:numPr>
          <w:ilvl w:val="0"/>
          <w:numId w:val="74"/>
        </w:numPr>
        <w:jc w:val="both"/>
        <w:rPr>
          <w:color w:val="000000" w:themeColor="text1"/>
        </w:rPr>
      </w:pPr>
      <w:r w:rsidRPr="00AA7B04">
        <w:rPr>
          <w:color w:val="000000" w:themeColor="text1"/>
        </w:rPr>
        <w:t>компенсация на високите цени на енергийните ресурси и горивата.</w:t>
      </w:r>
    </w:p>
    <w:p w14:paraId="5A71BF0A" w14:textId="74D6620A" w:rsidR="00CC09AC" w:rsidRPr="00623627" w:rsidRDefault="00CC09AC" w:rsidP="00CC09AC">
      <w:pPr>
        <w:spacing w:before="120"/>
        <w:ind w:firstLine="709"/>
        <w:jc w:val="both"/>
      </w:pPr>
      <w:r w:rsidRPr="00623627">
        <w:t xml:space="preserve">Отчетените разходи на </w:t>
      </w:r>
      <w:r w:rsidRPr="00623627">
        <w:rPr>
          <w:b/>
        </w:rPr>
        <w:t xml:space="preserve">Фонд </w:t>
      </w:r>
      <w:r w:rsidR="00F13B19">
        <w:rPr>
          <w:b/>
        </w:rPr>
        <w:t>„</w:t>
      </w:r>
      <w:r w:rsidRPr="00623627">
        <w:rPr>
          <w:b/>
        </w:rPr>
        <w:t>Сигурност на електроенергийната система</w:t>
      </w:r>
      <w:r w:rsidR="00F13B19">
        <w:rPr>
          <w:b/>
        </w:rPr>
        <w:t>“</w:t>
      </w:r>
      <w:r w:rsidRPr="00623627">
        <w:t xml:space="preserve"> са в размер на </w:t>
      </w:r>
      <w:r w:rsidR="00381CFD">
        <w:t>6 383,8</w:t>
      </w:r>
      <w:r w:rsidRPr="00623627">
        <w:t xml:space="preserve"> млн. лв., </w:t>
      </w:r>
      <w:r w:rsidR="00381CFD" w:rsidRPr="00381CFD">
        <w:t>като изпълнението им спрямо разчетените 2 644,5 млн. лв. е 241,4</w:t>
      </w:r>
      <w:r w:rsidR="00381CFD">
        <w:t> </w:t>
      </w:r>
      <w:r w:rsidR="00381CFD" w:rsidRPr="00381CFD">
        <w:t>%, а спрямо достигнатите по УП 9 956,9 млн. лв. – 64,1 %</w:t>
      </w:r>
      <w:r w:rsidRPr="00623627">
        <w:t>. С основната част от тях са платени средства за компенсиране високите цени на енергията по одобрени от Министерския съвет програми за покриване на разходите, извършени от обществения доставчик (на ел. енергия), произтичащи от задълженията му по чл. 93а и 94 от Закона за енергетиката /ЗЕ/, за предоставяне на премия на производителите по чл. 162а от ЗЕ и производител с обект на обща инсталирана мощност 500 kW и над 500 kW, по Закона за енергията от възобновяеми източници (ЗЕВИ), включително за минали регулаторни периоди и за лихви, договорени с рамково споразумение между фонда и кредитна или друга финансираща институция за финансиране на проекти за енергийна ефективност.</w:t>
      </w:r>
    </w:p>
    <w:p w14:paraId="58BAC397" w14:textId="77777777" w:rsidR="00CC09AC" w:rsidRPr="007B48E9" w:rsidRDefault="00CC09AC" w:rsidP="00CC09AC">
      <w:pPr>
        <w:ind w:firstLine="540"/>
        <w:rPr>
          <w:color w:val="0070C0"/>
        </w:rPr>
      </w:pPr>
    </w:p>
    <w:p w14:paraId="0FEE5359" w14:textId="77777777" w:rsidR="00CC09AC" w:rsidRPr="00BD7A51" w:rsidRDefault="00CC09AC" w:rsidP="00CC09AC">
      <w:pPr>
        <w:spacing w:after="120"/>
        <w:ind w:firstLine="709"/>
        <w:rPr>
          <w:b/>
        </w:rPr>
      </w:pPr>
      <w:r w:rsidRPr="00BD7A51">
        <w:rPr>
          <w:b/>
        </w:rPr>
        <w:t xml:space="preserve">Група Б: </w:t>
      </w:r>
      <w:r w:rsidRPr="00BD7A51">
        <w:rPr>
          <w:b/>
          <w:i/>
        </w:rPr>
        <w:t>„Селско стопанство, горско стопанство, лов и риболов”</w:t>
      </w:r>
    </w:p>
    <w:p w14:paraId="4500287E" w14:textId="77777777" w:rsidR="00CC09AC" w:rsidRPr="007B48E9" w:rsidRDefault="00CC09AC" w:rsidP="00CC09AC">
      <w:pPr>
        <w:spacing w:after="120"/>
        <w:ind w:firstLine="709"/>
        <w:jc w:val="both"/>
        <w:rPr>
          <w:color w:val="0070C0"/>
          <w:lang w:val="ru-RU"/>
        </w:rPr>
      </w:pPr>
      <w:r w:rsidRPr="00BD7A51">
        <w:t xml:space="preserve">Със ЗДБРБ за 2022 г. за група  „Селско стопанство, горско стопанство, лов и риболов” по </w:t>
      </w:r>
      <w:r w:rsidRPr="00BD7A51">
        <w:rPr>
          <w:b/>
        </w:rPr>
        <w:t>държавния бюджет</w:t>
      </w:r>
      <w:r w:rsidRPr="00BD7A51">
        <w:t xml:space="preserve"> са предвидени средства в размер на 1 293,6 млн. лв. От тези средства 728,9 млн. лв. са утвърдени по бюджетите на министерствата и ведомствата, като през годината са усвоени 1 211,4 млн.</w:t>
      </w:r>
      <w:r w:rsidRPr="000F5239">
        <w:t xml:space="preserve"> лв. Одобрените средства са изразходвани чрез бюджетите на Министерство на земеделието и ДФ „Земеделие“. През 2022 г. по бюджета на Министерство на земеделието за тази група са отчетени 253,4 млн. лв. за изпълнение на следните приоритетни политики</w:t>
      </w:r>
      <w:r w:rsidRPr="000F5239">
        <w:rPr>
          <w:lang w:val="ru-RU"/>
        </w:rPr>
        <w:t>:</w:t>
      </w:r>
    </w:p>
    <w:p w14:paraId="321E353A" w14:textId="77777777" w:rsidR="00CC09AC" w:rsidRPr="004666C6" w:rsidRDefault="00CC09AC" w:rsidP="00BD39E0">
      <w:pPr>
        <w:pStyle w:val="ListParagraph"/>
        <w:numPr>
          <w:ilvl w:val="0"/>
          <w:numId w:val="53"/>
        </w:numPr>
        <w:tabs>
          <w:tab w:val="left" w:pos="851"/>
        </w:tabs>
        <w:jc w:val="both"/>
      </w:pPr>
      <w:r w:rsidRPr="004666C6">
        <w:t xml:space="preserve">борбата със заразни и паразитни болести; </w:t>
      </w:r>
    </w:p>
    <w:p w14:paraId="4BECC88A" w14:textId="77777777" w:rsidR="00CC09AC" w:rsidRPr="004666C6" w:rsidRDefault="00CC09AC" w:rsidP="00BD39E0">
      <w:pPr>
        <w:pStyle w:val="ListParagraph"/>
        <w:numPr>
          <w:ilvl w:val="0"/>
          <w:numId w:val="53"/>
        </w:numPr>
        <w:tabs>
          <w:tab w:val="left" w:pos="851"/>
        </w:tabs>
        <w:jc w:val="both"/>
      </w:pPr>
      <w:r w:rsidRPr="004666C6">
        <w:t>събиране и унищожаване на високо рискови отпадъци; закупуване на ваксини и диагностикуми; покупка на противоградови ракети за борба с градушките;</w:t>
      </w:r>
    </w:p>
    <w:p w14:paraId="55D62123" w14:textId="77777777" w:rsidR="00CC09AC" w:rsidRPr="004666C6" w:rsidRDefault="00CC09AC" w:rsidP="00BD39E0">
      <w:pPr>
        <w:pStyle w:val="ListParagraph"/>
        <w:numPr>
          <w:ilvl w:val="0"/>
          <w:numId w:val="53"/>
        </w:numPr>
        <w:tabs>
          <w:tab w:val="left" w:pos="851"/>
        </w:tabs>
        <w:jc w:val="both"/>
      </w:pPr>
      <w:r w:rsidRPr="004666C6">
        <w:t xml:space="preserve">охрана и възпроизводство на горите;  </w:t>
      </w:r>
    </w:p>
    <w:p w14:paraId="12C20EBD" w14:textId="77777777" w:rsidR="00CC09AC" w:rsidRPr="004666C6" w:rsidRDefault="00CC09AC" w:rsidP="00BD39E0">
      <w:pPr>
        <w:pStyle w:val="ListParagraph"/>
        <w:numPr>
          <w:ilvl w:val="0"/>
          <w:numId w:val="53"/>
        </w:numPr>
        <w:tabs>
          <w:tab w:val="left" w:pos="851"/>
        </w:tabs>
        <w:jc w:val="both"/>
      </w:pPr>
      <w:r w:rsidRPr="004666C6">
        <w:t xml:space="preserve">издръжка на горската и ловна стража с оглед опазване на горите и дивеча;  </w:t>
      </w:r>
    </w:p>
    <w:p w14:paraId="39BC2607" w14:textId="77777777" w:rsidR="00CC09AC" w:rsidRPr="004666C6" w:rsidRDefault="00CC09AC" w:rsidP="00BD39E0">
      <w:pPr>
        <w:pStyle w:val="ListParagraph"/>
        <w:numPr>
          <w:ilvl w:val="0"/>
          <w:numId w:val="53"/>
        </w:numPr>
        <w:tabs>
          <w:tab w:val="left" w:pos="851"/>
        </w:tabs>
        <w:jc w:val="both"/>
      </w:pPr>
      <w:r w:rsidRPr="004666C6">
        <w:t xml:space="preserve">опазване, възстановяване и подобряване на почвеното плодородие и екологичните функции на почвената покривка; </w:t>
      </w:r>
    </w:p>
    <w:p w14:paraId="020BAB52" w14:textId="77777777" w:rsidR="00CC09AC" w:rsidRPr="004666C6" w:rsidRDefault="00CC09AC" w:rsidP="00BD39E0">
      <w:pPr>
        <w:pStyle w:val="ListParagraph"/>
        <w:numPr>
          <w:ilvl w:val="0"/>
          <w:numId w:val="53"/>
        </w:numPr>
        <w:tabs>
          <w:tab w:val="left" w:pos="851"/>
        </w:tabs>
        <w:jc w:val="both"/>
      </w:pPr>
      <w:r w:rsidRPr="004666C6">
        <w:t>развитието на лозаровинарския сектор в страната, съгласно изискванията на ЕС; опазване селекцията в животновъдството с оглед подобряване породата им; контрол на зърното и фуража;</w:t>
      </w:r>
    </w:p>
    <w:p w14:paraId="14B814ED" w14:textId="77777777" w:rsidR="00CC09AC" w:rsidRPr="004666C6" w:rsidRDefault="00CC09AC" w:rsidP="00BD39E0">
      <w:pPr>
        <w:pStyle w:val="ListParagraph"/>
        <w:numPr>
          <w:ilvl w:val="0"/>
          <w:numId w:val="53"/>
        </w:numPr>
        <w:tabs>
          <w:tab w:val="left" w:pos="851"/>
        </w:tabs>
        <w:jc w:val="both"/>
      </w:pPr>
      <w:r w:rsidRPr="004666C6">
        <w:t xml:space="preserve">опазване и възпроизводство на рибата и аквакултурите, опазване и обогатяване на рибните ресурси в страната; </w:t>
      </w:r>
    </w:p>
    <w:p w14:paraId="75077B0C" w14:textId="77777777" w:rsidR="00CC09AC" w:rsidRPr="004666C6" w:rsidRDefault="00CC09AC" w:rsidP="00BD39E0">
      <w:pPr>
        <w:pStyle w:val="ListParagraph"/>
        <w:numPr>
          <w:ilvl w:val="0"/>
          <w:numId w:val="53"/>
        </w:numPr>
        <w:tabs>
          <w:tab w:val="left" w:pos="851"/>
        </w:tabs>
        <w:jc w:val="both"/>
      </w:pPr>
      <w:r w:rsidRPr="004666C6">
        <w:t>изпитване, изследване и сертифициране на земеделската и горска  техника;</w:t>
      </w:r>
    </w:p>
    <w:p w14:paraId="3B087FFC" w14:textId="77777777" w:rsidR="00CC09AC" w:rsidRPr="004666C6" w:rsidRDefault="00CC09AC" w:rsidP="00BD39E0">
      <w:pPr>
        <w:pStyle w:val="ListParagraph"/>
        <w:numPr>
          <w:ilvl w:val="0"/>
          <w:numId w:val="53"/>
        </w:numPr>
        <w:tabs>
          <w:tab w:val="left" w:pos="851"/>
        </w:tabs>
        <w:jc w:val="both"/>
      </w:pPr>
      <w:r w:rsidRPr="004666C6">
        <w:t>сортоизпитване, сертифициране и контрол на посевния и посадъчен материал;</w:t>
      </w:r>
    </w:p>
    <w:p w14:paraId="5022AD81" w14:textId="77777777" w:rsidR="00CC09AC" w:rsidRPr="004666C6" w:rsidRDefault="00CC09AC" w:rsidP="00BD39E0">
      <w:pPr>
        <w:pStyle w:val="ListParagraph"/>
        <w:numPr>
          <w:ilvl w:val="0"/>
          <w:numId w:val="53"/>
        </w:numPr>
        <w:tabs>
          <w:tab w:val="left" w:pos="851"/>
        </w:tabs>
        <w:jc w:val="both"/>
      </w:pPr>
      <w:r w:rsidRPr="004666C6">
        <w:t xml:space="preserve">опазване на страната от проникването и разпространяването на вредители по растенията и растителните продукти; </w:t>
      </w:r>
    </w:p>
    <w:p w14:paraId="5D67083A" w14:textId="77777777" w:rsidR="00CC09AC" w:rsidRPr="00B44610" w:rsidRDefault="00CC09AC" w:rsidP="00BD39E0">
      <w:pPr>
        <w:pStyle w:val="ListParagraph"/>
        <w:numPr>
          <w:ilvl w:val="0"/>
          <w:numId w:val="53"/>
        </w:numPr>
        <w:tabs>
          <w:tab w:val="left" w:pos="851"/>
        </w:tabs>
        <w:jc w:val="both"/>
        <w:rPr>
          <w:color w:val="0070C0"/>
        </w:rPr>
      </w:pPr>
      <w:r w:rsidRPr="004666C6">
        <w:t>за субсидиране цената на водата за поливни ну</w:t>
      </w:r>
      <w:r w:rsidRPr="00B44610">
        <w:t>жди.</w:t>
      </w:r>
    </w:p>
    <w:p w14:paraId="54B37528" w14:textId="7EF69247" w:rsidR="00CC09AC" w:rsidRPr="00DA4A63" w:rsidRDefault="00CC09AC" w:rsidP="00CC09AC">
      <w:pPr>
        <w:spacing w:before="240" w:after="120"/>
        <w:ind w:firstLine="709"/>
        <w:jc w:val="both"/>
      </w:pPr>
      <w:r w:rsidRPr="00A860CD">
        <w:t xml:space="preserve">Средствата изразходвани през 2022 г. за реализиране на </w:t>
      </w:r>
      <w:r w:rsidRPr="00A860CD">
        <w:rPr>
          <w:b/>
        </w:rPr>
        <w:t>национални политики в сектора чрез бюджета на Държавен фонд „Земеделие”</w:t>
      </w:r>
      <w:r w:rsidRPr="00A860CD">
        <w:t xml:space="preserve"> са в размер на 958,0 млн. лв. </w:t>
      </w:r>
      <w:r>
        <w:t xml:space="preserve">и са </w:t>
      </w:r>
      <w:r w:rsidRPr="00A860CD">
        <w:t xml:space="preserve">за развитие на селските райони, за селскостопански пазарни механизми, за директни плащания и мерки за специфично подпомагане, за държавни помощи, национални </w:t>
      </w:r>
      <w:r w:rsidRPr="009544CD">
        <w:t xml:space="preserve">доплащания и САПАРД, за рибарство и аквакултури. Най-голяма част от средствата са изразходени за осъществяване на държавно подпомагане под формата на държавни помощи (731,0 млн. лв.), следвани от преходна национална помощ за животни (73,9 млн. лв.) и преходна национална помощ за тютюн (70,1 млн. лв.). </w:t>
      </w:r>
      <w:r w:rsidRPr="00DA4A63">
        <w:t>Одобрените схеми за преходна национална помощ са предварително съгласувани с Европейската комисия (ЕК). Целта им е да приближи нивото на подкрепа на българските производители с останалите държави-членки и да повиши конкурентоспособността им. Схемите се определят от Министерството на земеделието съобразно водената политика, след одобрена нотификация от ЕК. Подпомагането по схемите за преходна национална помощ се извършва според разпоредбите на Наредба 3</w:t>
      </w:r>
      <w:r w:rsidR="00524BDC">
        <w:t xml:space="preserve"> от 2015 г.</w:t>
      </w:r>
      <w:r w:rsidRPr="00DA4A63">
        <w:t xml:space="preserve"> за условията и реда за прилагане на схемите за директни плащания, като право на подпомагане по схемата за тютюн имат земеделски стопани, които са отглеждали тютюн, през която и да е година от референтния период 2007 - 2009 г., изкупен и премиран по реда на Закона за тютюна и тютюневите изделия. </w:t>
      </w:r>
    </w:p>
    <w:p w14:paraId="03A26271" w14:textId="77777777" w:rsidR="00CC09AC" w:rsidRPr="007B48E9" w:rsidRDefault="00CC09AC" w:rsidP="00CC09AC">
      <w:pPr>
        <w:pStyle w:val="BodyText2"/>
        <w:spacing w:line="240" w:lineRule="auto"/>
        <w:ind w:firstLine="709"/>
        <w:jc w:val="both"/>
        <w:rPr>
          <w:color w:val="0070C0"/>
        </w:rPr>
      </w:pPr>
      <w:r w:rsidRPr="006E7F56">
        <w:rPr>
          <w:b/>
        </w:rPr>
        <w:t xml:space="preserve">Европейски средства - </w:t>
      </w:r>
      <w:r w:rsidRPr="006E7F56">
        <w:t xml:space="preserve">изразходваните средства в група  „Селско стопанство, горско стопанство, лов и риболов” са 416,7 млн. лв., включително разходите за национално съфинансиране. Основната част от тези разходи (396,0 млн. лв.) са извършени чрез </w:t>
      </w:r>
      <w:r w:rsidRPr="006E7F56">
        <w:rPr>
          <w:i/>
        </w:rPr>
        <w:t xml:space="preserve">Разплащателната агенция към Държавен фонд „Земеделие” </w:t>
      </w:r>
      <w:r w:rsidRPr="006E7F56">
        <w:t>за финансиране на мерки и програми, финансирани чрез Европейския земеделски фонд за развитие на селските райони, Европейския фонд за рибарство и Европейския фонд за гарантиране на земеделието.</w:t>
      </w:r>
    </w:p>
    <w:p w14:paraId="07A7338A" w14:textId="77777777" w:rsidR="00CC09AC" w:rsidRPr="00C822EE" w:rsidRDefault="00CC09AC" w:rsidP="00CC09AC">
      <w:pPr>
        <w:spacing w:after="120"/>
        <w:ind w:firstLine="709"/>
        <w:jc w:val="both"/>
      </w:pPr>
      <w:r w:rsidRPr="00C822EE">
        <w:rPr>
          <w:b/>
          <w:i/>
        </w:rPr>
        <w:t>Разходи по др. програми и проекти, финансирани от фондове и институции на ЕС</w:t>
      </w:r>
      <w:r w:rsidRPr="00C822EE">
        <w:t xml:space="preserve">  - 19,7 млн. лева.</w:t>
      </w:r>
    </w:p>
    <w:p w14:paraId="3470E83C" w14:textId="77777777" w:rsidR="00CC09AC" w:rsidRPr="007B48E9" w:rsidRDefault="00CC09AC" w:rsidP="00CC09AC">
      <w:pPr>
        <w:widowControl w:val="0"/>
        <w:ind w:firstLine="540"/>
        <w:jc w:val="both"/>
        <w:rPr>
          <w:color w:val="0070C0"/>
        </w:rPr>
      </w:pPr>
      <w:r w:rsidRPr="0072626A">
        <w:t xml:space="preserve">По </w:t>
      </w:r>
      <w:r w:rsidRPr="0072626A">
        <w:rPr>
          <w:b/>
        </w:rPr>
        <w:t>общинските бюджети</w:t>
      </w:r>
      <w:r w:rsidRPr="0072626A">
        <w:t xml:space="preserve"> в групата са изразходвани 29,7 млн. лв. Тези разходи са основно текущи </w:t>
      </w:r>
      <w:r w:rsidRPr="0072626A">
        <w:rPr>
          <w:lang w:val="ru-RU"/>
        </w:rPr>
        <w:t xml:space="preserve">– 29,2 млн. </w:t>
      </w:r>
      <w:r w:rsidRPr="0072626A">
        <w:t>л</w:t>
      </w:r>
      <w:r w:rsidRPr="0072626A">
        <w:rPr>
          <w:lang w:val="ru-RU"/>
        </w:rPr>
        <w:t xml:space="preserve">в. </w:t>
      </w:r>
      <w:r w:rsidRPr="0072626A">
        <w:t xml:space="preserve">и са за </w:t>
      </w:r>
      <w:r w:rsidRPr="0072626A">
        <w:rPr>
          <w:i/>
        </w:rPr>
        <w:t>местни дейности</w:t>
      </w:r>
      <w:r w:rsidRPr="0072626A">
        <w:t xml:space="preserve">, от които </w:t>
      </w:r>
      <w:r>
        <w:t>–</w:t>
      </w:r>
      <w:r w:rsidRPr="00894B31">
        <w:t xml:space="preserve"> </w:t>
      </w:r>
      <w:r w:rsidRPr="001D3B95">
        <w:t xml:space="preserve">разходи </w:t>
      </w:r>
      <w:r w:rsidRPr="00894B31">
        <w:t>за издръжка – 53,4</w:t>
      </w:r>
      <w:r>
        <w:t xml:space="preserve"> </w:t>
      </w:r>
      <w:r w:rsidRPr="00894B31">
        <w:t>% (15,6 млн. лв.) и разходи за персонал са 45,9</w:t>
      </w:r>
      <w:r>
        <w:t xml:space="preserve"> </w:t>
      </w:r>
      <w:r w:rsidRPr="00894B31">
        <w:t>% (13,4 млн. лв.). Отчетените капиталови разходи са в размер на 0,5 млн. лв. и съставляват 68,9</w:t>
      </w:r>
      <w:r>
        <w:t xml:space="preserve"> </w:t>
      </w:r>
      <w:r w:rsidRPr="00894B31">
        <w:t>% от разчетените по закон 0,8 млн. лв. и 77,7</w:t>
      </w:r>
      <w:r>
        <w:t xml:space="preserve"> </w:t>
      </w:r>
      <w:r w:rsidRPr="00894B31">
        <w:t>% от отчетените за 2021 г. В групата се отчитат разходите, определени по решение на общинския съвет, свързани с охрана на земеделски имоти, горски площи, управление и регулиране на дейностите по горско стопанство, лов и риболов и други дейности по селско и горско стопанство</w:t>
      </w:r>
      <w:r w:rsidRPr="007B48E9">
        <w:rPr>
          <w:color w:val="0070C0"/>
        </w:rPr>
        <w:t xml:space="preserve">. </w:t>
      </w:r>
    </w:p>
    <w:p w14:paraId="6A8A1AFD" w14:textId="77777777" w:rsidR="00CC09AC" w:rsidRPr="0072626A" w:rsidRDefault="00CC09AC" w:rsidP="00AE1F1D">
      <w:pPr>
        <w:spacing w:before="120"/>
        <w:ind w:firstLine="709"/>
        <w:rPr>
          <w:b/>
        </w:rPr>
      </w:pPr>
      <w:r w:rsidRPr="0072626A">
        <w:rPr>
          <w:b/>
        </w:rPr>
        <w:t xml:space="preserve">Група В: </w:t>
      </w:r>
      <w:r w:rsidRPr="0072626A">
        <w:rPr>
          <w:b/>
          <w:i/>
        </w:rPr>
        <w:t>„Транспорт и съобщения”</w:t>
      </w:r>
    </w:p>
    <w:p w14:paraId="4F3A49E7" w14:textId="77777777" w:rsidR="00CC09AC" w:rsidRPr="003D52C4" w:rsidRDefault="00CC09AC" w:rsidP="00CC09AC">
      <w:pPr>
        <w:ind w:firstLine="709"/>
        <w:jc w:val="both"/>
        <w:rPr>
          <w:lang w:val="ru-RU"/>
        </w:rPr>
      </w:pPr>
      <w:r w:rsidRPr="003D52C4">
        <w:t xml:space="preserve">Със ЗДБРБ за 2022 г. за група „Транспорт и съобщения” по </w:t>
      </w:r>
      <w:r w:rsidRPr="003D52C4">
        <w:rPr>
          <w:b/>
        </w:rPr>
        <w:t>държавния бюджет</w:t>
      </w:r>
      <w:r w:rsidRPr="003D52C4">
        <w:t xml:space="preserve"> са предвидени 3 627,8 млн. лв. Одобрените средства са за реализиране на следните приоритетни политики:</w:t>
      </w:r>
    </w:p>
    <w:p w14:paraId="0A3215A3" w14:textId="77777777" w:rsidR="00CC09AC" w:rsidRPr="003D52C4" w:rsidRDefault="00CC09AC" w:rsidP="00CC09AC">
      <w:pPr>
        <w:numPr>
          <w:ilvl w:val="0"/>
          <w:numId w:val="21"/>
        </w:numPr>
        <w:tabs>
          <w:tab w:val="clear" w:pos="1080"/>
          <w:tab w:val="num" w:pos="426"/>
          <w:tab w:val="num" w:pos="851"/>
          <w:tab w:val="num" w:pos="900"/>
          <w:tab w:val="num" w:pos="962"/>
        </w:tabs>
        <w:ind w:left="993" w:hanging="273"/>
        <w:jc w:val="both"/>
        <w:rPr>
          <w:szCs w:val="20"/>
        </w:rPr>
      </w:pPr>
      <w:r w:rsidRPr="003D52C4">
        <w:rPr>
          <w:szCs w:val="20"/>
        </w:rPr>
        <w:t>Развитие, поддържане, модернизация и изграждане на пътната и железопътната инфраструктура, свързана с подобряване на транспортната достъпност;</w:t>
      </w:r>
    </w:p>
    <w:p w14:paraId="3E74C536" w14:textId="77777777" w:rsidR="00CC09AC" w:rsidRPr="003D52C4" w:rsidRDefault="00CC09AC" w:rsidP="00CC09AC">
      <w:pPr>
        <w:numPr>
          <w:ilvl w:val="0"/>
          <w:numId w:val="21"/>
        </w:numPr>
        <w:tabs>
          <w:tab w:val="clear" w:pos="1080"/>
          <w:tab w:val="num" w:pos="426"/>
          <w:tab w:val="num" w:pos="851"/>
          <w:tab w:val="num" w:pos="900"/>
          <w:tab w:val="num" w:pos="962"/>
        </w:tabs>
        <w:ind w:left="993" w:hanging="273"/>
        <w:jc w:val="both"/>
        <w:rPr>
          <w:szCs w:val="20"/>
        </w:rPr>
      </w:pPr>
      <w:r w:rsidRPr="003D52C4">
        <w:rPr>
          <w:szCs w:val="20"/>
        </w:rPr>
        <w:t>Организация и управление на транспорта, осигуряване на безопасност, сигурност и екологосъобразност;</w:t>
      </w:r>
    </w:p>
    <w:p w14:paraId="20BE8EE6" w14:textId="77777777" w:rsidR="00CC09AC" w:rsidRPr="003D52C4" w:rsidRDefault="00CC09AC" w:rsidP="00CC09AC">
      <w:pPr>
        <w:numPr>
          <w:ilvl w:val="0"/>
          <w:numId w:val="21"/>
        </w:numPr>
        <w:tabs>
          <w:tab w:val="clear" w:pos="1080"/>
          <w:tab w:val="num" w:pos="426"/>
          <w:tab w:val="num" w:pos="851"/>
          <w:tab w:val="num" w:pos="900"/>
          <w:tab w:val="num" w:pos="962"/>
        </w:tabs>
        <w:ind w:left="993" w:hanging="273"/>
        <w:jc w:val="both"/>
        <w:rPr>
          <w:szCs w:val="20"/>
        </w:rPr>
      </w:pPr>
      <w:r w:rsidRPr="003D52C4">
        <w:rPr>
          <w:szCs w:val="20"/>
        </w:rPr>
        <w:t>Развитие на съобщенията и информационните технологии.</w:t>
      </w:r>
    </w:p>
    <w:p w14:paraId="497CBEB5" w14:textId="1B723D51" w:rsidR="00CC09AC" w:rsidRPr="003D52C4" w:rsidRDefault="00CC09AC" w:rsidP="00CC09AC">
      <w:pPr>
        <w:tabs>
          <w:tab w:val="num" w:pos="426"/>
          <w:tab w:val="num" w:pos="962"/>
        </w:tabs>
        <w:ind w:firstLine="709"/>
        <w:jc w:val="both"/>
        <w:rPr>
          <w:szCs w:val="20"/>
        </w:rPr>
      </w:pPr>
      <w:r w:rsidRPr="003D52C4">
        <w:rPr>
          <w:szCs w:val="20"/>
        </w:rPr>
        <w:t xml:space="preserve">Към 31.12.2022 г. отчетените разходи </w:t>
      </w:r>
      <w:r w:rsidR="00C15E71" w:rsidRPr="003D52C4">
        <w:rPr>
          <w:szCs w:val="20"/>
        </w:rPr>
        <w:t>по бюджетите на министерствата и ведом</w:t>
      </w:r>
      <w:r w:rsidR="00C15E71">
        <w:rPr>
          <w:szCs w:val="20"/>
        </w:rPr>
        <w:t>-</w:t>
      </w:r>
      <w:r w:rsidR="00C15E71" w:rsidRPr="003D52C4">
        <w:rPr>
          <w:szCs w:val="20"/>
        </w:rPr>
        <w:t xml:space="preserve">ствата </w:t>
      </w:r>
      <w:r w:rsidRPr="003D52C4">
        <w:rPr>
          <w:szCs w:val="20"/>
        </w:rPr>
        <w:t xml:space="preserve"> в група „Транспорт и съобщения” са в размер на 3 127,1 млн. лв.</w:t>
      </w:r>
    </w:p>
    <w:p w14:paraId="51AD0596" w14:textId="7D4E4E9F" w:rsidR="00CC09AC" w:rsidRPr="003D52C4" w:rsidRDefault="00CC09AC" w:rsidP="00CC09AC">
      <w:pPr>
        <w:tabs>
          <w:tab w:val="num" w:pos="426"/>
          <w:tab w:val="num" w:pos="962"/>
        </w:tabs>
        <w:ind w:firstLine="709"/>
        <w:jc w:val="both"/>
        <w:rPr>
          <w:szCs w:val="20"/>
        </w:rPr>
      </w:pPr>
      <w:r w:rsidRPr="003D52C4">
        <w:rPr>
          <w:szCs w:val="20"/>
        </w:rPr>
        <w:t>През 2022 г. по бюджета на</w:t>
      </w:r>
      <w:r w:rsidRPr="003D52C4">
        <w:rPr>
          <w:b/>
          <w:szCs w:val="20"/>
        </w:rPr>
        <w:t xml:space="preserve"> </w:t>
      </w:r>
      <w:r w:rsidRPr="003D52C4">
        <w:rPr>
          <w:szCs w:val="20"/>
        </w:rPr>
        <w:t>Министерството на транспорта и съобщенията</w:t>
      </w:r>
      <w:r w:rsidR="00C15E71">
        <w:rPr>
          <w:szCs w:val="20"/>
        </w:rPr>
        <w:t xml:space="preserve"> (МТС)</w:t>
      </w:r>
      <w:r w:rsidRPr="003D52C4">
        <w:rPr>
          <w:szCs w:val="20"/>
        </w:rPr>
        <w:t xml:space="preserve"> в група „Транспорт и съобщения” са усвоени средства в размер на 746,5 млн. лв. Стратегическите цели на транспортната политика през 2022 г. са повишаване на ефективността и конкурентоспособността на транспортния сектор, подобряване на транспортната свързаност и достъпност (вътрешна и външна) и ограничаване на отрицателните ефекти от развитие на транспортния сектор. Усилията на МТС бяха насочени към постигането на следните приоритети:</w:t>
      </w:r>
    </w:p>
    <w:p w14:paraId="75BC318B" w14:textId="316F2500"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е</w:t>
      </w:r>
      <w:r w:rsidR="00CC09AC" w:rsidRPr="003D52C4">
        <w:rPr>
          <w:szCs w:val="20"/>
        </w:rPr>
        <w:t>фективно поддържане, модернизация и развитие на транспортната инфраструктура;</w:t>
      </w:r>
    </w:p>
    <w:p w14:paraId="4FC58A78" w14:textId="13C44B78"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п</w:t>
      </w:r>
      <w:r w:rsidR="00CC09AC" w:rsidRPr="003D52C4">
        <w:rPr>
          <w:szCs w:val="20"/>
        </w:rPr>
        <w:t>одобряване на управлението на транспортната система;</w:t>
      </w:r>
    </w:p>
    <w:p w14:paraId="685E09DD" w14:textId="77368DAE"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р</w:t>
      </w:r>
      <w:r w:rsidR="00CC09AC" w:rsidRPr="003D52C4">
        <w:rPr>
          <w:szCs w:val="20"/>
        </w:rPr>
        <w:t>азвитие на интермодален транспорт;</w:t>
      </w:r>
    </w:p>
    <w:p w14:paraId="7AAD4F2E" w14:textId="5E34E90D"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п</w:t>
      </w:r>
      <w:r w:rsidR="00CC09AC" w:rsidRPr="003D52C4">
        <w:rPr>
          <w:szCs w:val="20"/>
        </w:rPr>
        <w:t>одобряване на условията за прилагане на принципите на либерализация на транспортния пазар;</w:t>
      </w:r>
    </w:p>
    <w:p w14:paraId="65C38721" w14:textId="65EC6F9B"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н</w:t>
      </w:r>
      <w:r w:rsidR="00CC09AC" w:rsidRPr="003D52C4">
        <w:rPr>
          <w:szCs w:val="20"/>
        </w:rPr>
        <w:t>амаляване на потреблението на горива и повишаване на енергийната ефективност на транспорта;</w:t>
      </w:r>
    </w:p>
    <w:p w14:paraId="1923DABA" w14:textId="40D1C38D"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п</w:t>
      </w:r>
      <w:r w:rsidR="00CC09AC" w:rsidRPr="003D52C4">
        <w:rPr>
          <w:szCs w:val="20"/>
        </w:rPr>
        <w:t>одобряване на свързаността на българската транспортна система с единното европейско транспортно пространство;</w:t>
      </w:r>
    </w:p>
    <w:p w14:paraId="0F8ACDF7" w14:textId="76E7119F"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о</w:t>
      </w:r>
      <w:r w:rsidR="00CC09AC" w:rsidRPr="003D52C4">
        <w:rPr>
          <w:szCs w:val="20"/>
        </w:rPr>
        <w:t>сигуряване на качествен и достъпен транспорт във всички райони на страната;</w:t>
      </w:r>
    </w:p>
    <w:p w14:paraId="5B0C3FA4" w14:textId="6BDD4E15"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о</w:t>
      </w:r>
      <w:r w:rsidR="00CC09AC" w:rsidRPr="003D52C4">
        <w:rPr>
          <w:szCs w:val="20"/>
        </w:rPr>
        <w:t>граничаване на негативното въздействие на транспорта върху околната среда и здравето на хората;</w:t>
      </w:r>
    </w:p>
    <w:p w14:paraId="7FF25848" w14:textId="01A5DB19"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п</w:t>
      </w:r>
      <w:r w:rsidR="00CC09AC" w:rsidRPr="003D52C4">
        <w:rPr>
          <w:szCs w:val="20"/>
        </w:rPr>
        <w:t>овишаване на сигурността и безопасността на транспортната система;</w:t>
      </w:r>
    </w:p>
    <w:p w14:paraId="0F31BCF8" w14:textId="6F20D39C"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о</w:t>
      </w:r>
      <w:r w:rsidR="00CC09AC" w:rsidRPr="003D52C4">
        <w:rPr>
          <w:szCs w:val="20"/>
        </w:rPr>
        <w:t>сигуряване на условия за свободна, лоялна и ефективна конкуренция както на пазара на електронните съобщения, така и на пазара на пощенските услуги, като част от единния вътрешен пазар в ЕС;</w:t>
      </w:r>
    </w:p>
    <w:p w14:paraId="022B1E7C" w14:textId="79D7FB88"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р</w:t>
      </w:r>
      <w:r w:rsidR="00CC09AC" w:rsidRPr="003D52C4">
        <w:rPr>
          <w:szCs w:val="20"/>
        </w:rPr>
        <w:t>азвитие на надеждна и сигурна високоскоростна електронна съобщителна инфраструктура;</w:t>
      </w:r>
    </w:p>
    <w:p w14:paraId="4B3D2ADA" w14:textId="49375F86"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п</w:t>
      </w:r>
      <w:r w:rsidR="00CC09AC" w:rsidRPr="003D52C4">
        <w:rPr>
          <w:szCs w:val="20"/>
        </w:rPr>
        <w:t>реодоляване на изоставането в изграждането и развитието на електронната съобщителна инфраструктура в слабо населени и отдалечени райони, чрез подобряване на възможностите за публична интервенция и усъвършенстване на правилата за държавни помощи;</w:t>
      </w:r>
    </w:p>
    <w:p w14:paraId="04A1C2B2" w14:textId="06F73A84" w:rsidR="00CC09AC" w:rsidRPr="003D52C4" w:rsidRDefault="00C15E71" w:rsidP="00CC09AC">
      <w:pPr>
        <w:numPr>
          <w:ilvl w:val="0"/>
          <w:numId w:val="21"/>
        </w:numPr>
        <w:tabs>
          <w:tab w:val="clear" w:pos="1080"/>
          <w:tab w:val="num" w:pos="426"/>
          <w:tab w:val="num" w:pos="502"/>
          <w:tab w:val="num" w:pos="851"/>
          <w:tab w:val="num" w:pos="900"/>
          <w:tab w:val="num" w:pos="962"/>
        </w:tabs>
        <w:ind w:left="993" w:hanging="273"/>
        <w:jc w:val="both"/>
        <w:rPr>
          <w:szCs w:val="20"/>
        </w:rPr>
      </w:pPr>
      <w:r>
        <w:rPr>
          <w:szCs w:val="20"/>
        </w:rPr>
        <w:t>с</w:t>
      </w:r>
      <w:r w:rsidR="00CC09AC" w:rsidRPr="003D52C4">
        <w:rPr>
          <w:szCs w:val="20"/>
        </w:rPr>
        <w:t>ъздаване на условия за предоставяне на съвременни, ефективни и качествени пощенски услуги, включително развитие на услугите по доставка на стоки, закупени онлайн, като пощенски пратки.</w:t>
      </w:r>
    </w:p>
    <w:p w14:paraId="4CB6D472" w14:textId="706C75E5" w:rsidR="00CC09AC" w:rsidRPr="00BA6D71" w:rsidRDefault="00CC09AC" w:rsidP="00CC09AC">
      <w:pPr>
        <w:tabs>
          <w:tab w:val="num" w:pos="426"/>
          <w:tab w:val="num" w:pos="962"/>
        </w:tabs>
        <w:ind w:firstLine="709"/>
        <w:jc w:val="both"/>
        <w:rPr>
          <w:szCs w:val="20"/>
        </w:rPr>
      </w:pPr>
      <w:r w:rsidRPr="00BA6D71">
        <w:rPr>
          <w:szCs w:val="20"/>
        </w:rPr>
        <w:t>В изпълнение на задължението за компенсиране на несправедливата финансова тежест от изпълнението на универсалната пощенска услуга през 2022 г. на „Български пощи“ ЕАД чрез бюджета на Министерството на транспорта и съобщенията са изплатени 19</w:t>
      </w:r>
      <w:r w:rsidR="00C15E71">
        <w:rPr>
          <w:szCs w:val="20"/>
        </w:rPr>
        <w:t>,0</w:t>
      </w:r>
      <w:r w:rsidRPr="00BA6D71">
        <w:rPr>
          <w:szCs w:val="20"/>
        </w:rPr>
        <w:t xml:space="preserve"> млн. лв., както и за компенсиране на извършването на услугата от общ икономически интерес по разпространение на периодични печатни издания (вестници и списания) с отстъпки на едро и дребно, директно или на абонаментна основа, на „Български пощи“ ЕАД са изплатени 16,5 млн. л</w:t>
      </w:r>
      <w:r w:rsidR="00C15E71">
        <w:rPr>
          <w:szCs w:val="20"/>
        </w:rPr>
        <w:t>е</w:t>
      </w:r>
      <w:r w:rsidRPr="00BA6D71">
        <w:rPr>
          <w:szCs w:val="20"/>
        </w:rPr>
        <w:t>в</w:t>
      </w:r>
      <w:r w:rsidR="00C15E71">
        <w:rPr>
          <w:szCs w:val="20"/>
        </w:rPr>
        <w:t>а</w:t>
      </w:r>
      <w:r w:rsidRPr="00BA6D71">
        <w:rPr>
          <w:szCs w:val="20"/>
        </w:rPr>
        <w:t xml:space="preserve">. </w:t>
      </w:r>
    </w:p>
    <w:p w14:paraId="1D00F295" w14:textId="6CA9663D" w:rsidR="00CC09AC" w:rsidRPr="00BA6D71" w:rsidRDefault="00CC09AC" w:rsidP="00CC09AC">
      <w:pPr>
        <w:tabs>
          <w:tab w:val="num" w:pos="426"/>
          <w:tab w:val="num" w:pos="962"/>
        </w:tabs>
        <w:ind w:firstLine="709"/>
        <w:jc w:val="both"/>
        <w:rPr>
          <w:szCs w:val="20"/>
        </w:rPr>
      </w:pPr>
      <w:r w:rsidRPr="00BA6D71">
        <w:rPr>
          <w:szCs w:val="20"/>
        </w:rPr>
        <w:t>През 2022 г. чрез бюджета на МТС са предоставени субсидии за „БДЖ – Пътнически превози“ ЕООД за изпълнението на обществена превозна услуга – превоз на пътници на територията на Република България с железопътен транспорт в размер на 196,2 млн. лв. През 2022 г. екипът на МТС подготви и обоснова необходимостта от извършване на обществена превозна услуга – безплатен превоз на украински граждани под временна закрила след първоначалната фаза на приемане и настаняване, с железопътен и автобусен транспорт на територията на Република България до определените населени места на отсядане, до 30 юни 2022 г. С ПМС № 161/</w:t>
      </w:r>
      <w:r w:rsidR="00C75DC8">
        <w:rPr>
          <w:szCs w:val="20"/>
        </w:rPr>
        <w:t xml:space="preserve"> </w:t>
      </w:r>
      <w:r w:rsidRPr="00BA6D71">
        <w:rPr>
          <w:szCs w:val="20"/>
        </w:rPr>
        <w:t xml:space="preserve">2022 г. </w:t>
      </w:r>
      <w:r w:rsidRPr="00BA6D71">
        <w:rPr>
          <w:bCs/>
          <w:szCs w:val="20"/>
        </w:rPr>
        <w:t>и ПМС 365/</w:t>
      </w:r>
      <w:r w:rsidR="00C75DC8">
        <w:rPr>
          <w:bCs/>
          <w:szCs w:val="20"/>
        </w:rPr>
        <w:t xml:space="preserve"> </w:t>
      </w:r>
      <w:r w:rsidRPr="00BA6D71">
        <w:rPr>
          <w:bCs/>
          <w:szCs w:val="20"/>
        </w:rPr>
        <w:t>2022 г.</w:t>
      </w:r>
      <w:r w:rsidR="00C15E71">
        <w:rPr>
          <w:bCs/>
          <w:szCs w:val="20"/>
        </w:rPr>
        <w:t xml:space="preserve"> </w:t>
      </w:r>
      <w:r w:rsidRPr="00BA6D71">
        <w:rPr>
          <w:szCs w:val="20"/>
        </w:rPr>
        <w:t xml:space="preserve">са одобрени допълнителни разходи в размер на 2,6 млн. лв. по бюджета на </w:t>
      </w:r>
      <w:r w:rsidR="001D6809">
        <w:rPr>
          <w:szCs w:val="20"/>
        </w:rPr>
        <w:t>МТС</w:t>
      </w:r>
      <w:r w:rsidRPr="00BA6D71">
        <w:rPr>
          <w:szCs w:val="20"/>
        </w:rPr>
        <w:t xml:space="preserve"> за 2022 г. </w:t>
      </w:r>
    </w:p>
    <w:p w14:paraId="4866F773" w14:textId="77777777" w:rsidR="00CC09AC" w:rsidRPr="00BA6D71" w:rsidRDefault="00CC09AC" w:rsidP="00CC09AC">
      <w:pPr>
        <w:tabs>
          <w:tab w:val="num" w:pos="426"/>
          <w:tab w:val="num" w:pos="962"/>
        </w:tabs>
        <w:ind w:firstLine="709"/>
        <w:jc w:val="both"/>
        <w:rPr>
          <w:szCs w:val="20"/>
        </w:rPr>
      </w:pPr>
      <w:r w:rsidRPr="00BA6D71">
        <w:rPr>
          <w:szCs w:val="20"/>
        </w:rPr>
        <w:t xml:space="preserve">Чрез бюджета на </w:t>
      </w:r>
      <w:r w:rsidRPr="00BA6D71">
        <w:rPr>
          <w:b/>
          <w:szCs w:val="20"/>
        </w:rPr>
        <w:t>Комисията за регулиране на съобщенията</w:t>
      </w:r>
      <w:r w:rsidRPr="00BA6D71">
        <w:rPr>
          <w:szCs w:val="20"/>
        </w:rPr>
        <w:t xml:space="preserve"> през 2022 г. са усвоени средства в размер на 18 млн. лв. за изпълнение на секторната политика в областта на далекосъобщенията чрез финансиране на дейности, свързани с регулирането и контролирането на далекосъобщителния, радиочестотния спектър и услуги на информационното общество.</w:t>
      </w:r>
    </w:p>
    <w:p w14:paraId="312FCEE5" w14:textId="77777777" w:rsidR="00CC09AC" w:rsidRPr="00BA6D71" w:rsidRDefault="00CC09AC" w:rsidP="00CC09AC">
      <w:pPr>
        <w:tabs>
          <w:tab w:val="num" w:pos="426"/>
          <w:tab w:val="num" w:pos="962"/>
        </w:tabs>
        <w:ind w:firstLine="709"/>
        <w:jc w:val="both"/>
        <w:rPr>
          <w:szCs w:val="20"/>
        </w:rPr>
      </w:pPr>
      <w:r w:rsidRPr="00BA6D71">
        <w:rPr>
          <w:szCs w:val="20"/>
        </w:rPr>
        <w:t xml:space="preserve">През 2022 г. чрез бюджета на </w:t>
      </w:r>
      <w:r w:rsidRPr="00BA6D71">
        <w:rPr>
          <w:b/>
          <w:szCs w:val="20"/>
        </w:rPr>
        <w:t>Държавна комисия по сигурността на информацията</w:t>
      </w:r>
      <w:r w:rsidRPr="00BA6D71">
        <w:rPr>
          <w:szCs w:val="20"/>
        </w:rPr>
        <w:t xml:space="preserve"> в това функционално направление за финансово обезпечаване дейността на Специалната куриерска служба са изразходвани средства в размер на 7 млн. лв.</w:t>
      </w:r>
    </w:p>
    <w:p w14:paraId="1220F20C" w14:textId="77777777" w:rsidR="00CC09AC" w:rsidRPr="00BA6D71" w:rsidRDefault="00CC09AC" w:rsidP="00CC09AC">
      <w:pPr>
        <w:tabs>
          <w:tab w:val="num" w:pos="426"/>
          <w:tab w:val="num" w:pos="962"/>
        </w:tabs>
        <w:ind w:firstLine="709"/>
        <w:jc w:val="both"/>
      </w:pPr>
      <w:r w:rsidRPr="00BA6D71">
        <w:rPr>
          <w:szCs w:val="20"/>
        </w:rPr>
        <w:t xml:space="preserve">Чрез бюджета на </w:t>
      </w:r>
      <w:r w:rsidRPr="00BA6D71">
        <w:rPr>
          <w:b/>
          <w:szCs w:val="20"/>
        </w:rPr>
        <w:t>Министерството на електронното управление</w:t>
      </w:r>
      <w:r w:rsidRPr="00BA6D71">
        <w:rPr>
          <w:szCs w:val="20"/>
        </w:rPr>
        <w:t xml:space="preserve"> през 2022 г. са усвоени средства в размер на 53 млн. лв. за финансово обезпечаване на дейностите в областта на електронното управление, електронните удостоверителни услуги, електронната идентификация, мрежовата и информационна сигурност, както и за поддържане на информационните системи и центрове</w:t>
      </w:r>
      <w:r w:rsidRPr="00BA6D71">
        <w:t>.</w:t>
      </w:r>
    </w:p>
    <w:p w14:paraId="340C96FA" w14:textId="50EEDA20" w:rsidR="00C15E71" w:rsidRDefault="00CC09AC" w:rsidP="00CC09AC">
      <w:pPr>
        <w:spacing w:before="120"/>
        <w:ind w:firstLine="709"/>
        <w:jc w:val="both"/>
      </w:pPr>
      <w:r w:rsidRPr="0072626A">
        <w:t xml:space="preserve">Отчетените разходи </w:t>
      </w:r>
      <w:r w:rsidRPr="0072626A">
        <w:rPr>
          <w:b/>
        </w:rPr>
        <w:t>по общинските бюджети</w:t>
      </w:r>
      <w:r w:rsidRPr="0072626A">
        <w:t xml:space="preserve"> за група  „Транспорт и съобщения” са в размер на </w:t>
      </w:r>
      <w:r w:rsidRPr="00A21879">
        <w:t>656,5 млн. лв., от които 483,7 млн. лв. текущи и 172,8</w:t>
      </w:r>
      <w:r w:rsidRPr="0072626A">
        <w:t xml:space="preserve"> млн. лв. капиталови разходи. </w:t>
      </w:r>
      <w:r w:rsidR="00C15E71" w:rsidRPr="00894B31">
        <w:t>Съпоставени с отчета за 2021 г. общо текущите разходи са със 125,1 млн. лв. повече. Това увеличение се дължи основно на отчетените за 2022 г. със 106,4 млн. лв. повече разходи за субсидии за нефинансови предприятия</w:t>
      </w:r>
      <w:r w:rsidR="00C15E71">
        <w:t xml:space="preserve"> </w:t>
      </w:r>
      <w:r w:rsidR="00C15E71" w:rsidRPr="00894B31">
        <w:t xml:space="preserve">в делегираните от държавата </w:t>
      </w:r>
      <w:r w:rsidR="00C15E71" w:rsidRPr="001D3B95">
        <w:t xml:space="preserve">дейности, субсидии </w:t>
      </w:r>
      <w:r w:rsidR="00C15E71">
        <w:t>–</w:t>
      </w:r>
      <w:r w:rsidR="00C15E71" w:rsidRPr="001D3B95">
        <w:t xml:space="preserve"> съответно </w:t>
      </w:r>
      <w:r w:rsidR="00C15E71" w:rsidRPr="00894B31">
        <w:t xml:space="preserve">за вътрешноградски и междуградски превози, които се предоставят на общините от централния бюджет, вкл. и средствата, предвидени в област </w:t>
      </w:r>
      <w:r w:rsidR="00C15E71">
        <w:t>„</w:t>
      </w:r>
      <w:r w:rsidR="00C15E71" w:rsidRPr="00894B31">
        <w:t>Транспорт</w:t>
      </w:r>
      <w:r w:rsidR="00C15E71">
        <w:t>“</w:t>
      </w:r>
      <w:r w:rsidR="00C15E71" w:rsidRPr="00894B31">
        <w:t xml:space="preserve"> със ЗИД на ЗДБРБ за 2022 г. </w:t>
      </w:r>
    </w:p>
    <w:p w14:paraId="14F27B72" w14:textId="000672B4" w:rsidR="00CC09AC" w:rsidRPr="00894B31" w:rsidRDefault="00CC09AC" w:rsidP="00CC09AC">
      <w:pPr>
        <w:spacing w:before="120"/>
        <w:ind w:firstLine="709"/>
        <w:jc w:val="both"/>
      </w:pPr>
      <w:r w:rsidRPr="00894B31">
        <w:t xml:space="preserve">Отчетените текущи разходи за </w:t>
      </w:r>
      <w:r w:rsidRPr="00894B31">
        <w:rPr>
          <w:i/>
        </w:rPr>
        <w:t>делегираните от държавата дейности</w:t>
      </w:r>
      <w:r w:rsidRPr="00894B31">
        <w:t xml:space="preserve"> са в размер на 167,8 млн. лв., от които 2,8 млн. лв.</w:t>
      </w:r>
      <w:r>
        <w:t xml:space="preserve"> –</w:t>
      </w:r>
      <w:r w:rsidRPr="001D3B95">
        <w:t xml:space="preserve"> за </w:t>
      </w:r>
      <w:r w:rsidRPr="00894B31">
        <w:t>издръжка на фериботен комплекс – Белослав</w:t>
      </w:r>
      <w:r w:rsidRPr="00894B31">
        <w:rPr>
          <w:lang w:val="ru-RU"/>
        </w:rPr>
        <w:t xml:space="preserve"> </w:t>
      </w:r>
      <w:r w:rsidRPr="00894B31">
        <w:t>и 16</w:t>
      </w:r>
      <w:r w:rsidR="00C15E71">
        <w:t>0</w:t>
      </w:r>
      <w:r w:rsidRPr="00894B31">
        <w:t>,</w:t>
      </w:r>
      <w:r w:rsidR="00C15E71">
        <w:t>4</w:t>
      </w:r>
      <w:r w:rsidRPr="001D3B95">
        <w:t xml:space="preserve"> млн. лв. </w:t>
      </w:r>
      <w:r>
        <w:t>–</w:t>
      </w:r>
      <w:r w:rsidRPr="001D3B95">
        <w:t xml:space="preserve"> предоставени </w:t>
      </w:r>
      <w:r w:rsidRPr="00894B31">
        <w:t>субсидии от централния бюджет на общините за превоз на пътници по нерентабилни автобусни линии във вътрешноградския транспорт и транспорта в планински и други райони.</w:t>
      </w:r>
    </w:p>
    <w:p w14:paraId="35768A06" w14:textId="0EB02E1B" w:rsidR="00CC09AC" w:rsidRPr="00894B31" w:rsidRDefault="00CC09AC" w:rsidP="00AE1F1D">
      <w:pPr>
        <w:widowControl w:val="0"/>
        <w:ind w:firstLine="709"/>
        <w:jc w:val="both"/>
      </w:pPr>
      <w:r w:rsidRPr="00894B31">
        <w:t xml:space="preserve">В </w:t>
      </w:r>
      <w:r w:rsidRPr="00894B31">
        <w:rPr>
          <w:i/>
        </w:rPr>
        <w:t>местните дейности</w:t>
      </w:r>
      <w:r w:rsidRPr="00894B31">
        <w:t xml:space="preserve"> от групата са отчетени текущи разходи в размер на 315,6 млн. лв., които са с 30,3 млн. лв. повече спрямо п</w:t>
      </w:r>
      <w:r w:rsidRPr="001D3B95">
        <w:t xml:space="preserve">ланираните по закон </w:t>
      </w:r>
      <w:r>
        <w:t>–</w:t>
      </w:r>
      <w:r w:rsidRPr="001D3B95">
        <w:t xml:space="preserve"> основните </w:t>
      </w:r>
      <w:r w:rsidRPr="00894B31">
        <w:t xml:space="preserve">ръстове са в издръжката и субсидиите за нефинансови предприятия. </w:t>
      </w:r>
    </w:p>
    <w:p w14:paraId="1F99D835" w14:textId="06AFD61C" w:rsidR="00CC09AC" w:rsidRPr="007B48E9" w:rsidRDefault="00CC09AC" w:rsidP="00AE1F1D">
      <w:pPr>
        <w:ind w:firstLine="709"/>
        <w:jc w:val="both"/>
        <w:rPr>
          <w:color w:val="0070C0"/>
        </w:rPr>
      </w:pPr>
      <w:r w:rsidRPr="00894B31">
        <w:t xml:space="preserve">Отчетените капиталови разходи общо са в размер на </w:t>
      </w:r>
      <w:r w:rsidRPr="00340046">
        <w:t>172,8 млн. лв</w:t>
      </w:r>
      <w:r w:rsidRPr="00894B31">
        <w:t xml:space="preserve">. В сравнение с планираните по закон те са с </w:t>
      </w:r>
      <w:r w:rsidRPr="00340046">
        <w:t>26,</w:t>
      </w:r>
      <w:r w:rsidR="00340046" w:rsidRPr="00340046">
        <w:t>2</w:t>
      </w:r>
      <w:r w:rsidRPr="00340046">
        <w:t xml:space="preserve"> млн</w:t>
      </w:r>
      <w:r w:rsidRPr="00894B31">
        <w:t xml:space="preserve">. лв. повече, което се дължи на увеличението на разходите за основен ремонт с </w:t>
      </w:r>
      <w:r w:rsidRPr="00FF6FD6">
        <w:t>49,3 млн. лв., докато разходите за придобиване на дълготрайни материални активи са с 11,8 млн. лв. по-малко от планираните, както и капиталовите трансфери, които са с 11,3 млн.</w:t>
      </w:r>
      <w:r w:rsidRPr="00894B31">
        <w:t xml:space="preserve"> лв. по-малко от заложените по закон. Спрямо отчета за 2021 г., отчетените общо капиталови разходи са </w:t>
      </w:r>
      <w:r w:rsidRPr="00363505">
        <w:t>с 82,</w:t>
      </w:r>
      <w:r w:rsidR="00363505" w:rsidRPr="00363505">
        <w:t>0</w:t>
      </w:r>
      <w:r w:rsidRPr="00363505">
        <w:t xml:space="preserve"> млн</w:t>
      </w:r>
      <w:r w:rsidRPr="00894B31">
        <w:t xml:space="preserve">. лв. повече, като най-голямо е увеличението на </w:t>
      </w:r>
      <w:r w:rsidRPr="001D3B95">
        <w:t>разходите за основен ремонт</w:t>
      </w:r>
      <w:r w:rsidRPr="00894B31">
        <w:t xml:space="preserve"> – </w:t>
      </w:r>
      <w:r w:rsidRPr="001B5E4A">
        <w:t>с 57,6 млн.</w:t>
      </w:r>
      <w:r w:rsidRPr="00894B31">
        <w:t xml:space="preserve"> лв. В тази група се отчитат разходите за поддържане, основен ремонт и изграждане на четвъртокласната пътна мрежа на общините и прилежащата към нея инфраструктура, както и придобиването от общините на транспортни средства за осъществяване на междуградски и вътрешноградски превози</w:t>
      </w:r>
      <w:r w:rsidRPr="007B48E9">
        <w:rPr>
          <w:color w:val="0070C0"/>
        </w:rPr>
        <w:t>.</w:t>
      </w:r>
    </w:p>
    <w:p w14:paraId="6C081C6D" w14:textId="77777777" w:rsidR="00CC09AC" w:rsidRPr="00CB4D8F" w:rsidRDefault="00CC09AC" w:rsidP="00AE1F1D">
      <w:pPr>
        <w:pStyle w:val="BodyTextIndent2"/>
        <w:spacing w:after="0" w:line="240" w:lineRule="auto"/>
        <w:ind w:left="0" w:firstLine="709"/>
        <w:jc w:val="both"/>
      </w:pPr>
      <w:r w:rsidRPr="00CB4D8F">
        <w:rPr>
          <w:b/>
        </w:rPr>
        <w:t>Европейски средства</w:t>
      </w:r>
      <w:r w:rsidRPr="00CB4D8F">
        <w:t xml:space="preserve"> – в група  „Транспорт и съобщения” изразходваните средства са в размер на 676,4 млн. лв. (в т.ч. капиталови разходи 663,7 млн. лв.), основно по следните оперативни и др. програми:</w:t>
      </w:r>
    </w:p>
    <w:p w14:paraId="0E378420" w14:textId="77777777" w:rsidR="00CC09AC" w:rsidRPr="00932503" w:rsidRDefault="00CC09AC" w:rsidP="00CC09AC">
      <w:pPr>
        <w:pStyle w:val="BodyTextIndent2"/>
        <w:spacing w:line="240" w:lineRule="auto"/>
        <w:ind w:left="0" w:firstLine="709"/>
        <w:jc w:val="both"/>
      </w:pPr>
      <w:r w:rsidRPr="00BB77C5">
        <w:rPr>
          <w:b/>
          <w:i/>
        </w:rPr>
        <w:t>Оперативна програма „Транспорт и транспортна инфраструктура</w:t>
      </w:r>
      <w:r w:rsidRPr="00BB77C5">
        <w:t>” (239,8 млн. лв., прогр</w:t>
      </w:r>
      <w:r>
        <w:t>а</w:t>
      </w:r>
      <w:r w:rsidRPr="00BB77C5">
        <w:t xml:space="preserve">мен период 2014-2020 г.) </w:t>
      </w:r>
      <w:r w:rsidRPr="00932503">
        <w:t>- програмата финансира мащабни инфраструктурни проекти. Инвестициите в това функционално направление са концентрирани основно върху завършване на приоритетните железопътни и пътни направления и насърчаване на мултимодалния транспорт – изграждане на интермодални терминали и подобряване на връзките на пристанищата и летищата с пътната и железопътната мрежа. С постепенното завършване на модернизацията на направленията на Транс-европейската транспортна мрежа ще се постигне по-добра интеграция на националната мрежа в тази на ЕС, както и подобряване на връзките със съседните страни. Основните инвестиции са насочени по направления с напреднала степен на изпълнение, в основни линии, финансирани по оперативна програма „Транспорт“ (2007-2013), целящи в максимална степен приключване на модернизацията им или тяхното доизграждане. В рамките на оперативна програма „Транспорт и транспортна инфраструктура”  2014-2020 продължава финансирането на инвестиции във внедряване на интелигентни системи за управление на трафика, подобряване на безопасността и сигурността на транспорта. Продължава и изпълнението на проекти за развитие на транспортната система, които допринасят за ефективната свързаност на транспортната мрежа и премахването на участъци с недостатъчен капацитет в нея, намаляване на задръстванията, на нивата на шум и замърсяване, подобряване на безопасността и  насърчаване употребата на екологосъобразни видове транспорт.</w:t>
      </w:r>
      <w:r w:rsidRPr="007B48E9">
        <w:rPr>
          <w:color w:val="0070C0"/>
        </w:rPr>
        <w:t xml:space="preserve"> </w:t>
      </w:r>
      <w:r w:rsidRPr="00932503">
        <w:t>През програмния период 2014 – 2020 г. по ОП „Транспорт и транспортна инфраструктура” 2014-2020 се реализират няколко големи инфраструктурни проекта, като по-значимите от тях са следните: „</w:t>
      </w:r>
      <w:r w:rsidRPr="00932503">
        <w:rPr>
          <w:i/>
        </w:rPr>
        <w:t>Автомагистрала „Струма“ - Лот 3.1, Лот 3.3 и тунел Железница“</w:t>
      </w:r>
      <w:r w:rsidRPr="00932503">
        <w:t xml:space="preserve">, </w:t>
      </w:r>
      <w:r w:rsidRPr="00932503">
        <w:rPr>
          <w:i/>
        </w:rPr>
        <w:t>„Изграждане на АМ „Калотина-София", лот 1 „Западна дъга на Софийски околовръстен път /СОП/", фаза 2“</w:t>
      </w:r>
      <w:r w:rsidRPr="00932503">
        <w:t xml:space="preserve">, </w:t>
      </w:r>
      <w:r w:rsidRPr="00932503">
        <w:rPr>
          <w:i/>
        </w:rPr>
        <w:t>„Проект за разширение на метрото в София: Линия 3, Етап 1 -  участък бул. „Владимир Вазов ЦГЧ – ул. Житница“</w:t>
      </w:r>
      <w:r w:rsidRPr="00932503">
        <w:t xml:space="preserve">и </w:t>
      </w:r>
      <w:r w:rsidRPr="00932503">
        <w:rPr>
          <w:i/>
        </w:rPr>
        <w:t>„Проект за разширение на метрото в гр. София, Линия 3,  Етап IІ - участък „ул. Житница– жк Овча купел – Околовръстeн път”</w:t>
      </w:r>
      <w:r w:rsidRPr="00932503">
        <w:t xml:space="preserve">, </w:t>
      </w:r>
      <w:r w:rsidRPr="00932503">
        <w:rPr>
          <w:i/>
        </w:rPr>
        <w:t>„Рехабилитация на железопътната линия Пловдив – Бургас, Фаза 2“</w:t>
      </w:r>
      <w:r w:rsidRPr="00932503">
        <w:t xml:space="preserve">, </w:t>
      </w:r>
      <w:r w:rsidRPr="00932503">
        <w:rPr>
          <w:i/>
        </w:rPr>
        <w:t>„Модернизация на железопътната линия София - Пловдив: жп участък Елин Пелин – Костенец“</w:t>
      </w:r>
      <w:r w:rsidRPr="00932503">
        <w:t xml:space="preserve"> Фаза 1, </w:t>
      </w:r>
      <w:r w:rsidRPr="00932503">
        <w:rPr>
          <w:i/>
        </w:rPr>
        <w:t xml:space="preserve">„Автомагистрала Струма - Лот 3.2“ и Модернизация на железопътна линия София – Драгоман – сръбска граница, жп участък Волуяк – Драгоман </w:t>
      </w:r>
      <w:r w:rsidRPr="00932503">
        <w:t>.</w:t>
      </w:r>
    </w:p>
    <w:p w14:paraId="02D4834A" w14:textId="78CB819C" w:rsidR="00CC09AC" w:rsidRPr="003E4FBF" w:rsidRDefault="00CC09AC" w:rsidP="00CC09AC">
      <w:pPr>
        <w:ind w:firstLine="709"/>
        <w:jc w:val="both"/>
      </w:pPr>
      <w:r w:rsidRPr="003E4FBF">
        <w:t>Напредъкът по големите проекти за 202</w:t>
      </w:r>
      <w:r w:rsidR="003E7A2A" w:rsidRPr="003E4FBF">
        <w:t>2</w:t>
      </w:r>
      <w:r w:rsidRPr="003E4FBF">
        <w:t xml:space="preserve"> г., финансирани по програмата, може да се обобщи както следва:</w:t>
      </w:r>
    </w:p>
    <w:p w14:paraId="2DBD622F" w14:textId="339A53D0" w:rsidR="00CC09AC" w:rsidRPr="003E4FBF" w:rsidRDefault="00CC09AC" w:rsidP="00CC09AC">
      <w:pPr>
        <w:pStyle w:val="ListParagraph"/>
        <w:spacing w:after="120"/>
        <w:jc w:val="both"/>
        <w:rPr>
          <w:b/>
          <w:u w:val="single"/>
        </w:rPr>
      </w:pPr>
      <w:r w:rsidRPr="003E4FBF">
        <w:rPr>
          <w:b/>
          <w:u w:val="single"/>
        </w:rPr>
        <w:t>Железопътен транспорт</w:t>
      </w:r>
    </w:p>
    <w:p w14:paraId="428E127B" w14:textId="775A8A5E" w:rsidR="00F56F21" w:rsidRPr="003E4FBF" w:rsidRDefault="00F56F21" w:rsidP="003E4FBF">
      <w:pPr>
        <w:spacing w:after="120"/>
        <w:ind w:firstLine="709"/>
        <w:jc w:val="both"/>
        <w:rPr>
          <w:b/>
          <w:color w:val="0070C0"/>
          <w:u w:val="single"/>
        </w:rPr>
      </w:pPr>
      <w:r w:rsidRPr="00F56F21">
        <w:t>През 2022 г. формулярът за кандидатстване по допълнително включения в програмата проект за „Модернизация на жп участък Волуяк - Драгоман“ бе одобрен от ЕК. Стартира извършването на подготвителни дейности за същинското строителство, като проектът ще бъде реализиран на две фази – първата в рамките на ОПТТИ, втората в рамките на ПТС 2021-2027. Продължава изпълнението с умерени темпове на строителните дейности и по останалите два големи жп проекти – „Пловдив – Бургас, Фаза 2“ и „Модернизация на участъка Елин Пелин - Костенец“, Фаза 1.</w:t>
      </w:r>
    </w:p>
    <w:p w14:paraId="7C42F8F5" w14:textId="77777777" w:rsidR="00F56F21" w:rsidRPr="003E4FBF" w:rsidRDefault="00F56F21" w:rsidP="003E4FBF">
      <w:pPr>
        <w:pStyle w:val="ListParagraph"/>
        <w:spacing w:after="120"/>
        <w:jc w:val="both"/>
        <w:rPr>
          <w:b/>
          <w:u w:val="single"/>
        </w:rPr>
      </w:pPr>
      <w:r w:rsidRPr="003E4FBF">
        <w:rPr>
          <w:b/>
          <w:u w:val="single"/>
        </w:rPr>
        <w:t>Пътен транспорт</w:t>
      </w:r>
    </w:p>
    <w:p w14:paraId="3055C70A" w14:textId="5E11C0D5" w:rsidR="00F56F21" w:rsidRPr="003E4FBF" w:rsidRDefault="00F56F21" w:rsidP="003E4FBF">
      <w:pPr>
        <w:spacing w:after="120"/>
        <w:jc w:val="both"/>
      </w:pPr>
      <w:r>
        <w:t xml:space="preserve">            </w:t>
      </w:r>
      <w:r w:rsidRPr="0071755D">
        <w:t>Строителството по проекта за АМ „Струма“, Лот 3.1, 3.3 и тунел „Железница“ е във финален етап на изпълнение. Тунелът е най-дългият и най-модерният пътен тунел, изграждан досега в страната. Двете му тръби са с дължина около 2 км всяка. В съоръжението има четири напречни пешеходни връзки и други две за автомобили между тръбите, в случай на авария за преминаване и евакуация на хора. Изградени са 26 SOS комбинирани ниши и е внедрена интелигентна система за управление на трафика „Скада“, която е в готовност да реагира на всякакви сценарии. Построени са и площадка за хеликоптери, два моста над Суха река, както и подпорна стена при директното трасе. През периода бяха предприети действия за преодоляване BG 5 BG на техническите затруднения, свързани с появилите се свлачища в рамките на проекта. АМ „Струма“ е важна трансевропейска магистрала. След цялостното ѝ завършване времето за пътуване от София до Солун ще се намали значително. Изграждането ѝ по трасето София-Кулата ще осигури надеждно и бързо преминаване на трафика по направлението Централна Европа-Гърция и връзката с пристанищата на Средиземно море.</w:t>
      </w:r>
    </w:p>
    <w:p w14:paraId="6D9FDC4A" w14:textId="77777777" w:rsidR="003A0CE5" w:rsidRPr="003A0CE5" w:rsidRDefault="003A0CE5" w:rsidP="003E4FBF">
      <w:pPr>
        <w:pStyle w:val="ListParagraph"/>
        <w:spacing w:after="120"/>
        <w:jc w:val="both"/>
        <w:rPr>
          <w:b/>
          <w:u w:val="single"/>
        </w:rPr>
      </w:pPr>
      <w:r w:rsidRPr="003A0CE5">
        <w:rPr>
          <w:b/>
          <w:u w:val="single"/>
        </w:rPr>
        <w:t>Метро</w:t>
      </w:r>
    </w:p>
    <w:p w14:paraId="677B3E7E" w14:textId="0A7A5EF6" w:rsidR="00F56F21" w:rsidRPr="003E4FBF" w:rsidRDefault="00A823DB" w:rsidP="003E4FBF">
      <w:pPr>
        <w:spacing w:after="120"/>
        <w:ind w:firstLine="709"/>
        <w:jc w:val="both"/>
        <w:rPr>
          <w:b/>
          <w:color w:val="0070C0"/>
          <w:u w:val="single"/>
        </w:rPr>
      </w:pPr>
      <w:r>
        <w:t>„</w:t>
      </w:r>
      <w:r w:rsidR="003A0CE5" w:rsidRPr="003A0CE5">
        <w:t>Метрополитен“ ЕАД завърши успешно проекта за „Проектиране, доставка, монтаж и въвеждане в експлоатация на автоматични перонни преградни врати“, като бяха оборудвани 12 метростанции по Линии 1 и 2. Статистиката за инцидентите в метрото преди и след изпълнението на проекта по ОПТТИ показва, че: през 2019 г. на 35 станции е имало 24 инцидента; през 2021 г. след като са монтирани вече преградни врати на 7 МС инцидентите са намалели до 11 случая, а през 2022 г. с оборудването 12 МС е постигнато съществено намаление на инцидентите и са регистрарани само 4 бр. В допълнение към подобрената безопасност, следва да се посочи и положителното влияние на столичното метро в екологичен аспект: намаление на вредните емисии с 90 000 тона годишно и с 25 на сто на трафика в районите, през които преминава метрото. След пускането в експлоатация на Линия 3 на метрото и с отшумяването на последствията от пандемията от Covid 19, която доведе до сериозен спад на пътниците, през 2022 г. се наблюдава увеличаване на броя на ползвателите на метротo, като са отчетени почти 84 млн. броя пътувания за годината.</w:t>
      </w:r>
    </w:p>
    <w:p w14:paraId="722A3196" w14:textId="0B631F4F" w:rsidR="00CC09AC" w:rsidRDefault="00CC09AC" w:rsidP="003A0CE5">
      <w:pPr>
        <w:pStyle w:val="BodyTextIndent2"/>
        <w:spacing w:after="0" w:line="240" w:lineRule="auto"/>
        <w:ind w:left="0" w:firstLine="709"/>
        <w:jc w:val="both"/>
        <w:rPr>
          <w:color w:val="0070C0"/>
        </w:rPr>
      </w:pPr>
      <w:r w:rsidRPr="00F56F21">
        <w:rPr>
          <w:b/>
          <w:i/>
        </w:rPr>
        <w:t>Оперативна</w:t>
      </w:r>
      <w:r w:rsidRPr="0008006E">
        <w:rPr>
          <w:b/>
          <w:i/>
        </w:rPr>
        <w:t xml:space="preserve"> програма „Региони в растеж</w:t>
      </w:r>
      <w:r w:rsidRPr="0008006E">
        <w:t xml:space="preserve">” (43,2 млн. лв., основно от програмен период 2014-2020 г.) - Един от основните приоритети на тази оперативна програма е свързан с </w:t>
      </w:r>
      <w:r w:rsidRPr="0008006E">
        <w:rPr>
          <w:bCs/>
        </w:rPr>
        <w:t xml:space="preserve">регионалната пътна инфраструктура. </w:t>
      </w:r>
      <w:r w:rsidRPr="0008006E">
        <w:t xml:space="preserve">Дейностите са свързани с инвестиции в мрежата от първокласни, второкласни и третокласни пътища, за да се подобри свързаността и достъпността на второстепенните и третостепенните възли в трансевропейските мрежи за товари и пътници. Инвестициите ще допринесат за изпълнението на Стратегията за развитие на пътната инфраструктура в Република България 2014-2020 г. Едни от основните цели за развитие на пътната инфраструктура са: свързаност (принципът на свързаността означава най-вече приоритетен подход към рехабилитацията и подобряването на пътищата); достъпност (отнася се до ролята на пътищата за подобряване на достъпа до крайградските и периферните райони). Друг основен приоритет на програмата в това функционално направление е свързан с ограничаване на отрицателното въздействие на транспорта върху околната среда и човешкото здраве. Важна цел на оперативна програма „Региони в растеж”, за развитие на транспортната система на Република България, е постигането на високо равнище на безопасност и сигурност на транспорта. Този приоритет е в съответствие с насоките на транспортната политика на ЕС за осигуряване на безопасността на видовете транспорт и опазването на живота и здравето на ползвателите на транспорта. </w:t>
      </w:r>
    </w:p>
    <w:p w14:paraId="74B4E3E0" w14:textId="01C3B46A" w:rsidR="003A0CE5" w:rsidRPr="007B48E9" w:rsidRDefault="009E211B" w:rsidP="003A0CE5">
      <w:pPr>
        <w:pStyle w:val="BodyTextIndent2"/>
        <w:spacing w:after="0" w:line="240" w:lineRule="auto"/>
        <w:ind w:left="0" w:firstLine="709"/>
        <w:jc w:val="both"/>
        <w:rPr>
          <w:color w:val="0070C0"/>
        </w:rPr>
      </w:pPr>
      <w:r w:rsidRPr="001A35F6">
        <w:t xml:space="preserve">По приоритетна ос 7 „Регионална пътна инфраструктура“ </w:t>
      </w:r>
      <w:r w:rsidRPr="001A35F6">
        <w:rPr>
          <w:bCs/>
        </w:rPr>
        <w:t>към 31.12.202</w:t>
      </w:r>
      <w:r w:rsidRPr="001A35F6">
        <w:rPr>
          <w:bCs/>
          <w:lang w:val="ru-RU"/>
        </w:rPr>
        <w:t>2</w:t>
      </w:r>
      <w:r w:rsidRPr="001A35F6">
        <w:rPr>
          <w:bCs/>
        </w:rPr>
        <w:t xml:space="preserve"> г. актуалният брой на сключените договори БФП по процедурата е 35</w:t>
      </w:r>
      <w:r>
        <w:rPr>
          <w:bCs/>
        </w:rPr>
        <w:t>,</w:t>
      </w:r>
      <w:r w:rsidRPr="001A35F6">
        <w:rPr>
          <w:bCs/>
        </w:rPr>
        <w:t xml:space="preserve"> на обща стойност на БФП  211 625 802,27 евро.</w:t>
      </w:r>
      <w:r w:rsidRPr="007855D4">
        <w:t xml:space="preserve"> По </w:t>
      </w:r>
      <w:r w:rsidRPr="0050706A">
        <w:t>приоритетната ос са приключили 27 проекта, като през 2022 г. са приключили 3 проекта. Постигнати са следните резултати: • Обща дължина на реконструирани</w:t>
      </w:r>
      <w:r>
        <w:t xml:space="preserve"> или модернизирани пътища - 471,09 километри – 73,4 % от крайната цел; Сертифицираните разходи към 31.12.2022 г. са в размер на 185 707 468,80 евро (85,96 % от бюджета на приоритетната ос).</w:t>
      </w:r>
    </w:p>
    <w:p w14:paraId="6F31927D" w14:textId="04B10C98" w:rsidR="00681C60" w:rsidRPr="00046A06" w:rsidRDefault="00681C60" w:rsidP="003E4FBF">
      <w:pPr>
        <w:pStyle w:val="BodyTextIndent2"/>
        <w:spacing w:before="120" w:after="0" w:line="240" w:lineRule="auto"/>
        <w:ind w:left="0" w:firstLine="709"/>
        <w:jc w:val="both"/>
      </w:pPr>
      <w:r w:rsidRPr="0008006E">
        <w:rPr>
          <w:b/>
          <w:i/>
        </w:rPr>
        <w:t>Оперативна програма „Околна среда” –</w:t>
      </w:r>
      <w:r w:rsidR="00046A06">
        <w:rPr>
          <w:b/>
          <w:i/>
        </w:rPr>
        <w:t xml:space="preserve"> </w:t>
      </w:r>
      <w:r w:rsidR="00046A06" w:rsidRPr="00046A06">
        <w:t xml:space="preserve">изразходваните средства по тази програма са в размер на </w:t>
      </w:r>
      <w:r w:rsidRPr="00046A06">
        <w:t>121,8 млн. л</w:t>
      </w:r>
      <w:r w:rsidR="00046A06">
        <w:t>е</w:t>
      </w:r>
      <w:r w:rsidRPr="00046A06">
        <w:t>в</w:t>
      </w:r>
      <w:r w:rsidR="00046A06">
        <w:t>а</w:t>
      </w:r>
      <w:r w:rsidRPr="00046A06">
        <w:t>.</w:t>
      </w:r>
    </w:p>
    <w:p w14:paraId="5BCDC1F1" w14:textId="77777777" w:rsidR="00681C60" w:rsidRPr="00CF6E05" w:rsidRDefault="00681C60" w:rsidP="00681C60">
      <w:pPr>
        <w:pStyle w:val="BodyTextIndent2"/>
        <w:spacing w:before="120" w:after="0" w:line="240" w:lineRule="auto"/>
        <w:ind w:left="0" w:firstLine="709"/>
        <w:jc w:val="both"/>
        <w:rPr>
          <w:b/>
          <w:i/>
        </w:rPr>
      </w:pPr>
      <w:r w:rsidRPr="005401D9">
        <w:rPr>
          <w:b/>
          <w:i/>
        </w:rPr>
        <w:t xml:space="preserve">Разходи по Плана за възстановяване и устойчивост на РБ – </w:t>
      </w:r>
      <w:r w:rsidRPr="005401D9">
        <w:t>изразходваните средства през 2022 г. в група „Транспорт и съобщения“ са в размер на 47,9 млн. лв.</w:t>
      </w:r>
      <w:r w:rsidRPr="006E46EF">
        <w:t xml:space="preserve"> Транспортната </w:t>
      </w:r>
      <w:r>
        <w:t>свързаност</w:t>
      </w:r>
      <w:r w:rsidRPr="006E46EF">
        <w:t xml:space="preserve"> е </w:t>
      </w:r>
      <w:r>
        <w:t>една от</w:t>
      </w:r>
      <w:r w:rsidRPr="006E46EF">
        <w:t xml:space="preserve"> приоритетн</w:t>
      </w:r>
      <w:r>
        <w:t>ите</w:t>
      </w:r>
      <w:r w:rsidRPr="006E46EF">
        <w:t xml:space="preserve"> тем</w:t>
      </w:r>
      <w:r>
        <w:t>и</w:t>
      </w:r>
      <w:r w:rsidRPr="006E46EF">
        <w:t xml:space="preserve"> в Плана за възстановяване</w:t>
      </w:r>
      <w:r>
        <w:t xml:space="preserve"> и </w:t>
      </w:r>
      <w:r w:rsidRPr="006E46EF">
        <w:t>устойчивост</w:t>
      </w:r>
      <w:r w:rsidRPr="008D03C7">
        <w:t>.</w:t>
      </w:r>
      <w:r>
        <w:rPr>
          <w:b/>
          <w:i/>
        </w:rPr>
        <w:t xml:space="preserve"> </w:t>
      </w:r>
      <w:r>
        <w:t>И</w:t>
      </w:r>
      <w:r w:rsidRPr="00E764AF">
        <w:t>нтервенциите в транспортна свързаност са планирани така, че да допринасят за декарбонизацията на сектора, а реформаторските и инвестиционни намерения имат за цел</w:t>
      </w:r>
      <w:r>
        <w:t xml:space="preserve"> и</w:t>
      </w:r>
      <w:r w:rsidRPr="00E764AF">
        <w:t xml:space="preserve"> </w:t>
      </w:r>
      <w:r w:rsidRPr="00CC4938">
        <w:t xml:space="preserve">подобряването на бизнес средата. Изработена е Национална рамка за политика за развитие на пазара на алтернативни горива в транспортния сектор и за разгръщането на съответната инфраструктура – предложени са прогнозни цели, възможности и потенциални мерки по отношение на зарядната инфраструктура за превозните средства с електрическо и </w:t>
      </w:r>
      <w:r w:rsidRPr="003B3CB4">
        <w:t xml:space="preserve">водородно задвижване. Усилията са насочени към намаляване на потреблението на горива и повишаване на енергийната ефективност на транспорта чрез насърчаване на използването </w:t>
      </w:r>
      <w:r w:rsidRPr="00BD19D3">
        <w:t xml:space="preserve">на алтернативни горива, като са предвидени мерки за постигане на тази цел. В Националната програма за развитие България 2030 – в Приоритет „Транспортна свързаност“ е включена област на въздействие „Въздействие на транспорта върху околната среда и здравето на хората“, към която ще бъдат набелязани мерки за насърчаване </w:t>
      </w:r>
      <w:r w:rsidRPr="00E33A11">
        <w:t xml:space="preserve">употребата на горива и енергия от алтернативни и възобновяеми енергийни източници. Усилията ще бъдат насочени към разгръщане на електрическата мобилност, развитие и стимулиране използването на обществения електрически транспорт, както и на зарядната </w:t>
      </w:r>
      <w:r w:rsidRPr="004A591C">
        <w:t>инфраструктура в градските райони. Друг</w:t>
      </w:r>
      <w:r>
        <w:t>и</w:t>
      </w:r>
      <w:r w:rsidRPr="004A591C">
        <w:t xml:space="preserve"> приоритет</w:t>
      </w:r>
      <w:r>
        <w:t>и</w:t>
      </w:r>
      <w:r w:rsidRPr="004A591C">
        <w:t xml:space="preserve"> в това функционално направление </w:t>
      </w:r>
      <w:r>
        <w:t>са свързани с</w:t>
      </w:r>
      <w:r w:rsidRPr="004D5FFC">
        <w:rPr>
          <w:lang w:val="ru-RU"/>
        </w:rPr>
        <w:t xml:space="preserve">: </w:t>
      </w:r>
      <w:r w:rsidRPr="004A591C">
        <w:t xml:space="preserve">извършване на реформа в обслужването на пътници с железопътен транспорт </w:t>
      </w:r>
      <w:r w:rsidRPr="00CF6E05">
        <w:t>в крайградските и междурегионални направления, чрез закупуване на нов подвижен състав</w:t>
      </w:r>
      <w:r w:rsidRPr="004D5FFC">
        <w:rPr>
          <w:lang w:val="ru-RU"/>
        </w:rPr>
        <w:t xml:space="preserve">; </w:t>
      </w:r>
      <w:r w:rsidRPr="00CF6E05">
        <w:t>подобряване на безопасността на движение по пътищата в Република България чрез създаване на условия за устойчиво управление на пътната безопасност</w:t>
      </w:r>
      <w:r w:rsidRPr="004D5FFC">
        <w:rPr>
          <w:lang w:val="ru-RU"/>
        </w:rPr>
        <w:t>;</w:t>
      </w:r>
      <w:r>
        <w:rPr>
          <w:i/>
        </w:rPr>
        <w:t xml:space="preserve"> </w:t>
      </w:r>
      <w:r w:rsidRPr="00CF6E05">
        <w:t>"Зелена мобилност“ - пилотна схема за подкрепа на устойчивата градска мобилност чрез мерки за развитие на екологични, безопасни, функционални и енергийно ефективни транспортни системи</w:t>
      </w:r>
      <w:r w:rsidRPr="004D5FFC">
        <w:rPr>
          <w:lang w:val="ru-RU"/>
        </w:rPr>
        <w:t>;</w:t>
      </w:r>
      <w:r>
        <w:t xml:space="preserve"> </w:t>
      </w:r>
      <w:r w:rsidRPr="00CF6E05">
        <w:t>Реформа за устойчива градска мобилност</w:t>
      </w:r>
      <w:r>
        <w:t xml:space="preserve"> и други.</w:t>
      </w:r>
    </w:p>
    <w:p w14:paraId="7F961031" w14:textId="77777777" w:rsidR="00681C60" w:rsidRPr="0008006E" w:rsidRDefault="00681C60" w:rsidP="00AE1F1D">
      <w:pPr>
        <w:ind w:firstLine="709"/>
        <w:jc w:val="both"/>
      </w:pPr>
      <w:r w:rsidRPr="0008006E">
        <w:rPr>
          <w:b/>
          <w:i/>
        </w:rPr>
        <w:t>Разходи по др. програми и проекти, финансирани от фондове и институции на ЕС</w:t>
      </w:r>
      <w:r w:rsidRPr="0008006E">
        <w:t xml:space="preserve"> – 206,3 млн. лв.</w:t>
      </w:r>
    </w:p>
    <w:p w14:paraId="3AF8193E" w14:textId="77777777" w:rsidR="00681C60" w:rsidRPr="0008006E" w:rsidRDefault="00681C60" w:rsidP="00AE1F1D">
      <w:pPr>
        <w:ind w:firstLine="709"/>
        <w:jc w:val="both"/>
      </w:pPr>
      <w:r w:rsidRPr="0008006E">
        <w:rPr>
          <w:b/>
          <w:i/>
        </w:rPr>
        <w:t>Европейски средства, отпуснати от ДФЗ-РА</w:t>
      </w:r>
      <w:r w:rsidRPr="0008006E">
        <w:t xml:space="preserve"> – 12,4 млн. лв., които са основно за общините (в качеството им на бенефициенти).</w:t>
      </w:r>
    </w:p>
    <w:p w14:paraId="7A4BEE9E" w14:textId="68285AD5" w:rsidR="00CC09AC" w:rsidRPr="0008006E" w:rsidRDefault="00CC09AC" w:rsidP="00CC09AC">
      <w:pPr>
        <w:ind w:firstLine="709"/>
        <w:jc w:val="both"/>
      </w:pPr>
    </w:p>
    <w:p w14:paraId="4E0E2B2B" w14:textId="77777777" w:rsidR="00CC09AC" w:rsidRPr="007B48E9" w:rsidRDefault="00CC09AC" w:rsidP="00CC09AC">
      <w:pPr>
        <w:spacing w:after="120"/>
        <w:ind w:firstLine="709"/>
        <w:jc w:val="both"/>
        <w:rPr>
          <w:color w:val="0070C0"/>
        </w:rPr>
      </w:pPr>
    </w:p>
    <w:p w14:paraId="109AEF8F" w14:textId="77777777" w:rsidR="00CC09AC" w:rsidRPr="00C31444" w:rsidRDefault="00CC09AC" w:rsidP="00CC09AC">
      <w:pPr>
        <w:ind w:firstLine="709"/>
        <w:rPr>
          <w:b/>
        </w:rPr>
      </w:pPr>
      <w:r w:rsidRPr="00C31444">
        <w:rPr>
          <w:b/>
        </w:rPr>
        <w:t xml:space="preserve">Група Г: </w:t>
      </w:r>
      <w:r w:rsidRPr="00C31444">
        <w:rPr>
          <w:b/>
          <w:i/>
        </w:rPr>
        <w:t>„Промишленост и строителство”</w:t>
      </w:r>
    </w:p>
    <w:p w14:paraId="22E4F9BF" w14:textId="77777777" w:rsidR="00CC09AC" w:rsidRPr="007B48E9" w:rsidRDefault="00CC09AC" w:rsidP="00CC09AC">
      <w:pPr>
        <w:ind w:firstLine="709"/>
        <w:rPr>
          <w:color w:val="0070C0"/>
          <w:sz w:val="8"/>
          <w:szCs w:val="8"/>
        </w:rPr>
      </w:pPr>
    </w:p>
    <w:p w14:paraId="454DE216" w14:textId="5A7AE97F" w:rsidR="00CC09AC" w:rsidRPr="007B48E9" w:rsidRDefault="00CC09AC" w:rsidP="00CC09AC">
      <w:pPr>
        <w:ind w:firstLine="709"/>
        <w:jc w:val="both"/>
        <w:rPr>
          <w:color w:val="0070C0"/>
        </w:rPr>
      </w:pPr>
      <w:r w:rsidRPr="00C31444">
        <w:t>С</w:t>
      </w:r>
      <w:r w:rsidR="00046A06">
        <w:t xml:space="preserve"> разчетите към</w:t>
      </w:r>
      <w:r w:rsidRPr="00C31444">
        <w:t xml:space="preserve"> ЗДБРБ за 2022 г. по група „Промишленост и строителство” са утвърдени средства в размер на 2,4</w:t>
      </w:r>
      <w:r w:rsidRPr="00C31444">
        <w:rPr>
          <w:lang w:val="ru-RU"/>
        </w:rPr>
        <w:t xml:space="preserve"> млн. лв.</w:t>
      </w:r>
      <w:r w:rsidRPr="00C31444">
        <w:t xml:space="preserve"> Одобрените средства са за реализиране на политиката на правителството, насочена към постигане на устойчиво икономическо развитие и конкурентоспособност на българската икономика. Министерство</w:t>
      </w:r>
      <w:r w:rsidR="00FD2DF0">
        <w:t>то</w:t>
      </w:r>
      <w:r w:rsidRPr="00C31444">
        <w:t xml:space="preserve"> на иновациите и растежа работи за изграждане на конкурентноспособна икономика, която ще осигури растеж и развитие на регионите в България, насърчаване и ускоряване на иновациите и инвестициите в цялата страна и във всички сектори на икономиката. Важни аспекти на политиките на министерството са стимулиран</w:t>
      </w:r>
      <w:r w:rsidR="00046A06">
        <w:t>е на</w:t>
      </w:r>
      <w:r w:rsidRPr="00C31444">
        <w:t xml:space="preserve"> инвестиционната активност и ускорен ръст на износа, насърчаване на инвестициите в технолог</w:t>
      </w:r>
      <w:r w:rsidR="00046A06">
        <w:t xml:space="preserve">ични и иновативни производства, </w:t>
      </w:r>
      <w:r w:rsidRPr="00C31444">
        <w:t>позициониране на българските компании на международните пазари, подкрепа за иновативни стартиращи компании и трансфер на технологии.</w:t>
      </w:r>
    </w:p>
    <w:p w14:paraId="57E74DB1" w14:textId="5B251BC8" w:rsidR="00CC09AC" w:rsidRPr="00C31444" w:rsidRDefault="00CC09AC" w:rsidP="00CC09AC">
      <w:pPr>
        <w:ind w:firstLine="709"/>
        <w:jc w:val="both"/>
      </w:pPr>
      <w:r w:rsidRPr="00C31444">
        <w:t xml:space="preserve">По бюджетите на </w:t>
      </w:r>
      <w:r w:rsidRPr="00C31444">
        <w:rPr>
          <w:b/>
        </w:rPr>
        <w:t>министерствата и ведомствата</w:t>
      </w:r>
      <w:r w:rsidRPr="00C31444">
        <w:t xml:space="preserve"> в групата са отчетени разходи в размер на 2,</w:t>
      </w:r>
      <w:r>
        <w:t>3</w:t>
      </w:r>
      <w:r w:rsidRPr="00C31444">
        <w:t xml:space="preserve"> млн. л</w:t>
      </w:r>
      <w:r w:rsidR="00046A06">
        <w:t>е</w:t>
      </w:r>
      <w:r w:rsidRPr="00C31444">
        <w:t>в</w:t>
      </w:r>
      <w:r w:rsidR="00046A06">
        <w:t>а</w:t>
      </w:r>
      <w:r w:rsidRPr="00C31444">
        <w:t xml:space="preserve">. </w:t>
      </w:r>
    </w:p>
    <w:p w14:paraId="5F9C6820" w14:textId="77777777" w:rsidR="00CC09AC" w:rsidRPr="00C31444" w:rsidRDefault="00CC09AC" w:rsidP="00CC09AC">
      <w:pPr>
        <w:spacing w:after="240"/>
        <w:ind w:firstLine="709"/>
        <w:jc w:val="both"/>
        <w:rPr>
          <w:b/>
          <w:sz w:val="10"/>
          <w:szCs w:val="10"/>
        </w:rPr>
      </w:pPr>
      <w:r w:rsidRPr="00C31444">
        <w:t>Ангажирано с изпълнението на държавната политика в областта на промишлеността и строителството през 2022 г. и отговорно за постигнатите резултати е Министерството на иновациите и растежа.</w:t>
      </w:r>
    </w:p>
    <w:p w14:paraId="0E5371E3" w14:textId="77777777" w:rsidR="00CC09AC" w:rsidRPr="00FE763C" w:rsidRDefault="00CC09AC" w:rsidP="00CC09AC">
      <w:pPr>
        <w:spacing w:after="120"/>
        <w:ind w:firstLine="709"/>
        <w:rPr>
          <w:b/>
        </w:rPr>
      </w:pPr>
      <w:r w:rsidRPr="00FE763C">
        <w:rPr>
          <w:b/>
        </w:rPr>
        <w:t xml:space="preserve">Група Д: </w:t>
      </w:r>
      <w:r w:rsidRPr="00FE763C">
        <w:rPr>
          <w:b/>
          <w:i/>
        </w:rPr>
        <w:t>„Туризъм”</w:t>
      </w:r>
    </w:p>
    <w:p w14:paraId="3244D846" w14:textId="148530B5" w:rsidR="00CC09AC" w:rsidRPr="00F53144" w:rsidRDefault="00CC09AC" w:rsidP="00AE1F1D">
      <w:pPr>
        <w:ind w:firstLine="709"/>
        <w:jc w:val="both"/>
      </w:pPr>
      <w:r w:rsidRPr="00F53144">
        <w:t>По група „Туризъм“ с</w:t>
      </w:r>
      <w:r w:rsidR="00046A06">
        <w:t xml:space="preserve"> разчетите към</w:t>
      </w:r>
      <w:r w:rsidRPr="00F53144">
        <w:t xml:space="preserve"> ЗДБРБ за 2022 г. на консолидирано ниво са предвидени 57,8 млн. лв. Тези средства са за реализиране на част от политиката на правителството, насочена към постигане на устойчивост в развитието на туризма и ефективност на външноикономическото сътрудничество.</w:t>
      </w:r>
    </w:p>
    <w:p w14:paraId="5AFED2E3" w14:textId="0AAC34D8" w:rsidR="00CC09AC" w:rsidRPr="00F53144" w:rsidRDefault="00CC09AC" w:rsidP="00AE1F1D">
      <w:pPr>
        <w:ind w:firstLine="709"/>
        <w:jc w:val="both"/>
      </w:pPr>
      <w:r w:rsidRPr="00F53144">
        <w:t xml:space="preserve">Със ЗДБРБ за 2022 г. по група „Туризъм” за </w:t>
      </w:r>
      <w:r w:rsidRPr="00F53144">
        <w:rPr>
          <w:b/>
        </w:rPr>
        <w:t>министерствата и ведомствата</w:t>
      </w:r>
      <w:r w:rsidRPr="00F53144">
        <w:t xml:space="preserve"> са предвидени средства в размер на 23,5 млн. лв.</w:t>
      </w:r>
      <w:r w:rsidR="00046A06">
        <w:t xml:space="preserve"> и са извършени разходи </w:t>
      </w:r>
      <w:r w:rsidRPr="00F53144">
        <w:t xml:space="preserve">в размер на </w:t>
      </w:r>
      <w:r>
        <w:t>118,7</w:t>
      </w:r>
      <w:r w:rsidRPr="00F53144">
        <w:t xml:space="preserve"> млн. лв.</w:t>
      </w:r>
      <w:r w:rsidR="00046A06">
        <w:t>,</w:t>
      </w:r>
      <w:r w:rsidRPr="00F53144">
        <w:t xml:space="preserve"> насочени към постигане на следните резултати:</w:t>
      </w:r>
    </w:p>
    <w:p w14:paraId="7CED309E"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преодоляване на негативните последици от пандемията от COVID-19 и войната в Украйна върху туристическия сектор;</w:t>
      </w:r>
    </w:p>
    <w:p w14:paraId="326F1BA7"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финансиране изпълнението на маркетинговата стратегия за реклама на българския туризъм на международния туристически пазар ;</w:t>
      </w:r>
    </w:p>
    <w:p w14:paraId="6B84B20D"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популяризирането и въвеждането на нови туристически продукти;</w:t>
      </w:r>
    </w:p>
    <w:p w14:paraId="5CAF9B80"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подготовката и разпространението на рекламни материали и мултимедийни продукти и както и провеждане на PR мероприятия;</w:t>
      </w:r>
    </w:p>
    <w:p w14:paraId="57ED643A"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реклама в чуждестранни и български медии, в т.ч. чрез организиране на журналистически турове в страната и др.;</w:t>
      </w:r>
    </w:p>
    <w:p w14:paraId="492AE008"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провеждането на ефективна реклама в страната и чужбина на туристическите райони, съобразно тяхната специфика;</w:t>
      </w:r>
    </w:p>
    <w:p w14:paraId="0CE18061"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организиране на международни туристически борси, панаири и изложения;</w:t>
      </w:r>
    </w:p>
    <w:p w14:paraId="4206CB2D" w14:textId="77777777" w:rsidR="00CC09AC" w:rsidRPr="008D4A88" w:rsidRDefault="00CC09AC" w:rsidP="00BD39E0">
      <w:pPr>
        <w:widowControl w:val="0"/>
        <w:numPr>
          <w:ilvl w:val="0"/>
          <w:numId w:val="75"/>
        </w:numPr>
        <w:tabs>
          <w:tab w:val="left" w:pos="962"/>
          <w:tab w:val="left" w:pos="1134"/>
        </w:tabs>
        <w:suppressAutoHyphens/>
        <w:autoSpaceDN w:val="0"/>
        <w:ind w:left="993" w:right="-108" w:hanging="284"/>
        <w:jc w:val="both"/>
        <w:rPr>
          <w:lang w:eastAsia="en-US"/>
        </w:rPr>
      </w:pPr>
      <w:r w:rsidRPr="008D4A88">
        <w:rPr>
          <w:lang w:eastAsia="en-US"/>
        </w:rPr>
        <w:t>концесионна дейност - отдаване на морските плажове на концесия и под наем и последващ контрол по изпълнението по договорите.</w:t>
      </w:r>
    </w:p>
    <w:p w14:paraId="19AD5132" w14:textId="77777777" w:rsidR="00CC09AC" w:rsidRPr="00F53144" w:rsidRDefault="00CC09AC" w:rsidP="00AE1F1D">
      <w:pPr>
        <w:widowControl w:val="0"/>
        <w:tabs>
          <w:tab w:val="left" w:pos="426"/>
          <w:tab w:val="left" w:pos="962"/>
        </w:tabs>
        <w:suppressAutoHyphens/>
        <w:autoSpaceDN w:val="0"/>
        <w:ind w:right="-108" w:firstLine="567"/>
        <w:jc w:val="both"/>
        <w:rPr>
          <w:rFonts w:eastAsia="SimSun" w:cs="Arial"/>
          <w:kern w:val="3"/>
          <w:lang w:eastAsia="zh-CN" w:bidi="hi-IN"/>
        </w:rPr>
      </w:pPr>
      <w:r w:rsidRPr="00F53144">
        <w:rPr>
          <w:rFonts w:eastAsia="SimSun" w:cs="Arial"/>
          <w:kern w:val="3"/>
          <w:lang w:eastAsia="zh-CN" w:bidi="hi-IN"/>
        </w:rPr>
        <w:t>Основната цел на публичните разходи и през 2022 г. за група „Туризъм“ е преодоляване на негативните последици от пандемията от COVID-19 и войната в Украйна върху туристическия сектор и повишаване на конкурентоспособността на българския туризъм.</w:t>
      </w:r>
    </w:p>
    <w:p w14:paraId="2910A875" w14:textId="77777777" w:rsidR="00CC09AC" w:rsidRPr="00F53144" w:rsidRDefault="00CC09AC" w:rsidP="00AE1F1D">
      <w:pPr>
        <w:widowControl w:val="0"/>
        <w:suppressAutoHyphens/>
        <w:autoSpaceDN w:val="0"/>
        <w:ind w:firstLine="567"/>
        <w:jc w:val="both"/>
        <w:rPr>
          <w:rFonts w:eastAsia="SimSun" w:cs="Arial"/>
          <w:kern w:val="3"/>
          <w:lang w:eastAsia="zh-CN" w:bidi="hi-IN"/>
        </w:rPr>
      </w:pPr>
      <w:r w:rsidRPr="00F53144">
        <w:rPr>
          <w:rFonts w:eastAsia="SimSun" w:cs="Arial"/>
          <w:kern w:val="3"/>
          <w:lang w:eastAsia="zh-CN" w:bidi="hi-IN"/>
        </w:rPr>
        <w:t>Отговорното министерство, което е ангажирано с изпълнението на държавната политика в областта на туризма през 2022 г. е Министерството на туризма.</w:t>
      </w:r>
    </w:p>
    <w:p w14:paraId="7F1B5A4E" w14:textId="2031149F" w:rsidR="00CC09AC" w:rsidRPr="007B48E9" w:rsidRDefault="00CC09AC" w:rsidP="00CC09AC">
      <w:pPr>
        <w:spacing w:before="120"/>
        <w:ind w:firstLine="539"/>
        <w:jc w:val="both"/>
        <w:rPr>
          <w:color w:val="0070C0"/>
        </w:rPr>
      </w:pPr>
      <w:r w:rsidRPr="002B3B88">
        <w:t xml:space="preserve">За група „Туризъм” по </w:t>
      </w:r>
      <w:r w:rsidRPr="002B3B88">
        <w:rPr>
          <w:b/>
        </w:rPr>
        <w:t>общинските бюджети</w:t>
      </w:r>
      <w:r w:rsidRPr="002B3B88">
        <w:t xml:space="preserve"> са отчетени разходи в размер на 9,5 млн. лв., представляващи основно текущи разходи. Изпълнението на общо разходите по отчет спрямо закона възлиза на 102,5 %. Съпоставени спрямо отчета за 2021 г. отчетените общо разходи бележат увеличение от 14,7 %, като най-висок ръст отбелязват капиталовите разходи – 57,1 </w:t>
      </w:r>
      <w:r>
        <w:t>%.</w:t>
      </w:r>
      <w:r w:rsidRPr="002B3B88">
        <w:t xml:space="preserve"> </w:t>
      </w:r>
      <w:r>
        <w:t xml:space="preserve">Ръст спрямо предходната година има и при </w:t>
      </w:r>
      <w:r w:rsidRPr="002B3B88">
        <w:t xml:space="preserve">разходите за членски внос и участие в нетърговски организации и дейности – 29,6 %, разходите за персонал (заплати, други възнаграждения за персонала и осигурителни вноски), при които се отчита увеличение </w:t>
      </w:r>
      <w:r w:rsidR="00046A06">
        <w:t>от</w:t>
      </w:r>
      <w:r w:rsidRPr="002B3B88">
        <w:t xml:space="preserve"> 15,0 %, разходите за издръжка – 14,7 %. Капиталовите разходи по отчет са с изпълнение от 154,7 % лв. спрямо закона</w:t>
      </w:r>
      <w:r w:rsidRPr="00894B31">
        <w:t>, като увеличението се дължи основно на разходите за придобиване на дългот</w:t>
      </w:r>
      <w:r w:rsidR="00046A06">
        <w:t>райни материални активи</w:t>
      </w:r>
      <w:r w:rsidRPr="00894B31">
        <w:t>. По-високият ръст на капиталовите разходи</w:t>
      </w:r>
      <w:r>
        <w:t xml:space="preserve"> спрямо предходната </w:t>
      </w:r>
      <w:r w:rsidRPr="00334E77">
        <w:t xml:space="preserve">година  </w:t>
      </w:r>
      <w:r w:rsidRPr="004D5FFC">
        <w:rPr>
          <w:lang w:val="ru-RU"/>
        </w:rPr>
        <w:t>(</w:t>
      </w:r>
      <w:r w:rsidRPr="00334E77">
        <w:t>57,1 %</w:t>
      </w:r>
      <w:r w:rsidRPr="004D5FFC">
        <w:rPr>
          <w:lang w:val="ru-RU"/>
        </w:rPr>
        <w:t>)</w:t>
      </w:r>
      <w:r w:rsidRPr="00334E77">
        <w:t>, както и на разходите за други възнаграждения и плащания – 50,4 %</w:t>
      </w:r>
      <w:r w:rsidRPr="004D5FFC">
        <w:rPr>
          <w:lang w:val="ru-RU"/>
        </w:rPr>
        <w:t xml:space="preserve"> </w:t>
      </w:r>
      <w:r w:rsidRPr="00334E77">
        <w:t>в сравнение</w:t>
      </w:r>
      <w:r w:rsidRPr="00894B31">
        <w:t xml:space="preserve"> с ръста на останалите разходи е показателен за оживлението, което настъпва и се наблюдава в сферата на туризма</w:t>
      </w:r>
      <w:r w:rsidR="00046A06">
        <w:t xml:space="preserve">. </w:t>
      </w:r>
      <w:r w:rsidRPr="00894B31">
        <w:t>В тази група се отчитат разходите за издръжка на туристическите бази, специализирани спортно-туристически школи, за развитието и популяризирането на туризма, изграждане на инфраструктура към туристически обекти, туристически бази и др</w:t>
      </w:r>
      <w:r w:rsidRPr="007B48E9">
        <w:rPr>
          <w:color w:val="0070C0"/>
        </w:rPr>
        <w:t>.</w:t>
      </w:r>
    </w:p>
    <w:p w14:paraId="57645F51" w14:textId="77777777" w:rsidR="00CC09AC" w:rsidRPr="006D0F62" w:rsidRDefault="00CC09AC" w:rsidP="00CC09AC">
      <w:pPr>
        <w:spacing w:before="120" w:after="120"/>
        <w:ind w:firstLine="709"/>
        <w:jc w:val="both"/>
      </w:pPr>
      <w:r w:rsidRPr="00D943B6">
        <w:t xml:space="preserve"> </w:t>
      </w:r>
      <w:r w:rsidRPr="00D943B6">
        <w:rPr>
          <w:b/>
        </w:rPr>
        <w:t>Европейски средства</w:t>
      </w:r>
      <w:r w:rsidRPr="00D943B6">
        <w:t xml:space="preserve"> – в група „Туризъм” изразходваните средства са в размер на 151,9 млн. лв.</w:t>
      </w:r>
      <w:r>
        <w:t xml:space="preserve"> </w:t>
      </w:r>
      <w:r w:rsidRPr="004D5FFC">
        <w:rPr>
          <w:lang w:val="ru-RU"/>
        </w:rPr>
        <w:t>(</w:t>
      </w:r>
      <w:r>
        <w:t>програмен период 2014-2020 г.</w:t>
      </w:r>
      <w:r w:rsidRPr="004D5FFC">
        <w:rPr>
          <w:lang w:val="ru-RU"/>
        </w:rPr>
        <w:t>)</w:t>
      </w:r>
      <w:r w:rsidRPr="00D943B6">
        <w:t xml:space="preserve">, </w:t>
      </w:r>
      <w:r w:rsidRPr="006D0F62">
        <w:t xml:space="preserve">от които по </w:t>
      </w:r>
      <w:r w:rsidRPr="006D0F62">
        <w:rPr>
          <w:b/>
          <w:i/>
        </w:rPr>
        <w:t>ОП „Иновации и конкурентоспособност“</w:t>
      </w:r>
      <w:r w:rsidRPr="006D0F62">
        <w:t xml:space="preserve">  - 71,3 млн. лв.,  </w:t>
      </w:r>
      <w:r w:rsidRPr="006D0F62">
        <w:rPr>
          <w:b/>
          <w:i/>
        </w:rPr>
        <w:t>ОП „Добро управление“</w:t>
      </w:r>
      <w:r w:rsidRPr="006D0F62">
        <w:t xml:space="preserve">  - 43,9 млн. лв. и </w:t>
      </w:r>
      <w:r w:rsidRPr="006D0F62">
        <w:rPr>
          <w:b/>
          <w:i/>
        </w:rPr>
        <w:t>ОП „Околна среда“</w:t>
      </w:r>
      <w:r w:rsidRPr="006D0F62">
        <w:t xml:space="preserve">  - 33,2 млн. лв. </w:t>
      </w:r>
    </w:p>
    <w:p w14:paraId="40A97F5E" w14:textId="77777777" w:rsidR="00CC09AC" w:rsidRPr="00E938DA" w:rsidRDefault="00CC09AC" w:rsidP="00CC09AC">
      <w:pPr>
        <w:spacing w:before="240"/>
        <w:ind w:firstLine="709"/>
        <w:rPr>
          <w:b/>
        </w:rPr>
      </w:pPr>
      <w:r w:rsidRPr="00E938DA">
        <w:rPr>
          <w:b/>
        </w:rPr>
        <w:t xml:space="preserve">Група Е: </w:t>
      </w:r>
      <w:r w:rsidRPr="00E938DA">
        <w:rPr>
          <w:b/>
          <w:i/>
        </w:rPr>
        <w:t>„Други дейности по икономиката”</w:t>
      </w:r>
    </w:p>
    <w:p w14:paraId="418803ED" w14:textId="77777777" w:rsidR="00CC09AC" w:rsidRPr="007B48E9" w:rsidRDefault="00CC09AC" w:rsidP="00CC09AC">
      <w:pPr>
        <w:ind w:firstLine="709"/>
        <w:jc w:val="both"/>
        <w:rPr>
          <w:b/>
          <w:color w:val="0070C0"/>
          <w:sz w:val="8"/>
          <w:szCs w:val="8"/>
        </w:rPr>
      </w:pPr>
    </w:p>
    <w:p w14:paraId="1A0B7F94" w14:textId="3238346F" w:rsidR="00CC09AC" w:rsidRPr="00E938DA" w:rsidRDefault="00CC09AC" w:rsidP="00CC09AC">
      <w:pPr>
        <w:ind w:firstLine="709"/>
        <w:jc w:val="both"/>
      </w:pPr>
      <w:r w:rsidRPr="00E938DA">
        <w:t xml:space="preserve">Целта на публичните разходи в областта на другите дейности по икономиката е финансовото осигуряване на извършваната от министерствата и ведомствата издателска дейност, издръжката на обекти, предназначени за представителни и социални нужди - почивни бази, оздравителни комплекси и др., осъществяването на дейностите в областта на метрологията и техническия надзор, на приватизацията и следприватизационния </w:t>
      </w:r>
      <w:r w:rsidR="00C327A4" w:rsidRPr="00C327A4">
        <w:t>контрол</w:t>
      </w:r>
      <w:r w:rsidRPr="00E938DA">
        <w:t>, на патентната дейност, на дейностите по акредитиране на лаборатории и органи, на дейности, свързани с политиката в областта на обществените поръчки и др.</w:t>
      </w:r>
    </w:p>
    <w:p w14:paraId="462A1A7F" w14:textId="77777777" w:rsidR="00CC09AC" w:rsidRPr="007B48E9" w:rsidRDefault="00CC09AC" w:rsidP="00CC09AC">
      <w:pPr>
        <w:ind w:firstLine="709"/>
        <w:jc w:val="both"/>
        <w:rPr>
          <w:color w:val="0070C0"/>
        </w:rPr>
      </w:pPr>
      <w:r w:rsidRPr="001C2D6D">
        <w:t>Разчетените със ЗДБРБ за 202</w:t>
      </w:r>
      <w:r w:rsidRPr="004D5FFC">
        <w:rPr>
          <w:lang w:val="ru-RU"/>
        </w:rPr>
        <w:t>2</w:t>
      </w:r>
      <w:r w:rsidRPr="001C2D6D">
        <w:t xml:space="preserve"> г. разходи в група „Други дейности по икономиката” по </w:t>
      </w:r>
      <w:r w:rsidRPr="001C2D6D">
        <w:rPr>
          <w:b/>
        </w:rPr>
        <w:t>държавния бюджет</w:t>
      </w:r>
      <w:r w:rsidRPr="001C2D6D">
        <w:t xml:space="preserve"> са в размер на </w:t>
      </w:r>
      <w:r w:rsidRPr="004D5FFC">
        <w:rPr>
          <w:lang w:val="ru-RU"/>
        </w:rPr>
        <w:t>303</w:t>
      </w:r>
      <w:r w:rsidRPr="001C2D6D">
        <w:t xml:space="preserve">,4 млн. лв., от които за министерства и ведомства (вкл. НС) са утвърдени </w:t>
      </w:r>
      <w:r w:rsidRPr="004D5FFC">
        <w:rPr>
          <w:lang w:val="ru-RU"/>
        </w:rPr>
        <w:t>83</w:t>
      </w:r>
      <w:r w:rsidRPr="001C2D6D">
        <w:t xml:space="preserve">,8 млн. лв. Тези средства са за реализиране на една от политиките на правителството, свързана с устойчивото развитие и конкурентоспособност на българската икономика. </w:t>
      </w:r>
    </w:p>
    <w:p w14:paraId="584749C9" w14:textId="77777777" w:rsidR="00CC09AC" w:rsidRPr="001C2D6D" w:rsidRDefault="00CC09AC" w:rsidP="00CC09AC">
      <w:pPr>
        <w:ind w:firstLine="709"/>
        <w:jc w:val="both"/>
      </w:pPr>
      <w:r w:rsidRPr="001C2D6D">
        <w:t>За отчетния период разходите за групата по държавния бюджет са в размер на 72,3 млн. лв., от които по централния бюджет 19,0 млн. лв.</w:t>
      </w:r>
      <w:r w:rsidRPr="001C2D6D">
        <w:rPr>
          <w:lang w:val="ru-RU"/>
        </w:rPr>
        <w:t xml:space="preserve"> </w:t>
      </w:r>
      <w:r w:rsidRPr="001C2D6D">
        <w:t xml:space="preserve">и по бюджетите на министерствата и ведомствата (вкл. НС) – 53,3 млн. лева. </w:t>
      </w:r>
    </w:p>
    <w:p w14:paraId="41E68115" w14:textId="77777777" w:rsidR="00CC09AC" w:rsidRPr="00FD2CF8" w:rsidRDefault="00CC09AC" w:rsidP="00CC09AC">
      <w:pPr>
        <w:ind w:firstLine="709"/>
        <w:jc w:val="both"/>
      </w:pPr>
      <w:r w:rsidRPr="00FD2CF8">
        <w:t xml:space="preserve">В разходите по централния бюджет са включени и разходите за изплащане на вноската на Република България в Европейския фонд за развитие </w:t>
      </w:r>
      <w:r w:rsidRPr="00FD2CF8">
        <w:rPr>
          <w:lang w:val="ru-RU"/>
        </w:rPr>
        <w:t>(</w:t>
      </w:r>
      <w:r w:rsidRPr="00FD2CF8">
        <w:rPr>
          <w:lang w:val="en-US"/>
        </w:rPr>
        <w:t>E</w:t>
      </w:r>
      <w:r w:rsidRPr="00FD2CF8">
        <w:t>ФР</w:t>
      </w:r>
      <w:r w:rsidRPr="00FD2CF8">
        <w:rPr>
          <w:lang w:val="ru-RU"/>
        </w:rPr>
        <w:t>)</w:t>
      </w:r>
      <w:r w:rsidRPr="00FD2CF8">
        <w:t xml:space="preserve"> в размер на 12 млн. лв.</w:t>
      </w:r>
    </w:p>
    <w:p w14:paraId="77B093E7" w14:textId="77777777" w:rsidR="00CC09AC" w:rsidRPr="006F7C73" w:rsidRDefault="00CC09AC" w:rsidP="00CC09AC">
      <w:pPr>
        <w:ind w:firstLine="709"/>
        <w:jc w:val="both"/>
      </w:pPr>
      <w:r w:rsidRPr="006F7C73">
        <w:t>През 2022 г. с изразходваните средства по бюджетите на министерства и ведомства в групата са финансирани следните дейности:</w:t>
      </w:r>
    </w:p>
    <w:p w14:paraId="4C27099E" w14:textId="77777777" w:rsidR="00CC09AC" w:rsidRPr="00D24D54" w:rsidRDefault="00CC09AC" w:rsidP="00BD39E0">
      <w:pPr>
        <w:pStyle w:val="ListParagraph"/>
        <w:numPr>
          <w:ilvl w:val="0"/>
          <w:numId w:val="43"/>
        </w:numPr>
        <w:jc w:val="both"/>
      </w:pPr>
      <w:r w:rsidRPr="00D24D54">
        <w:t>издръжка на обекти, предназначени за представителни и социални нужди - почивни бази, оздравителни комплекси и др.;</w:t>
      </w:r>
    </w:p>
    <w:p w14:paraId="10A8C041" w14:textId="77777777" w:rsidR="00CC09AC" w:rsidRPr="00D24D54" w:rsidRDefault="00CC09AC" w:rsidP="00BD39E0">
      <w:pPr>
        <w:pStyle w:val="ListParagraph"/>
        <w:numPr>
          <w:ilvl w:val="0"/>
          <w:numId w:val="43"/>
        </w:numPr>
        <w:spacing w:after="120"/>
        <w:jc w:val="both"/>
        <w:rPr>
          <w:spacing w:val="-3"/>
        </w:rPr>
      </w:pPr>
      <w:r w:rsidRPr="00D24D54">
        <w:rPr>
          <w:spacing w:val="-3"/>
        </w:rPr>
        <w:t xml:space="preserve"> по Споразумение между правителството на Република България и Международна банка за възстановяване и развитие от 12.04.2019 г. за предоставяне на подкрепа за офис на Световната банка в Република България</w:t>
      </w:r>
      <w:r w:rsidRPr="00D24D54">
        <w:t>;</w:t>
      </w:r>
      <w:r w:rsidRPr="00D24D54">
        <w:rPr>
          <w:spacing w:val="-3"/>
        </w:rPr>
        <w:t xml:space="preserve"> </w:t>
      </w:r>
    </w:p>
    <w:p w14:paraId="34E42686" w14:textId="281DA213" w:rsidR="00CC09AC" w:rsidRPr="00D24D54" w:rsidRDefault="00CC09AC" w:rsidP="00BD39E0">
      <w:pPr>
        <w:pStyle w:val="ListParagraph"/>
        <w:numPr>
          <w:ilvl w:val="0"/>
          <w:numId w:val="43"/>
        </w:numPr>
        <w:jc w:val="both"/>
      </w:pPr>
      <w:r w:rsidRPr="00D24D54">
        <w:t>издръжка на вестник „Българска армия” към МО; педагогически издания към МОН и др.;</w:t>
      </w:r>
    </w:p>
    <w:p w14:paraId="2FA6C343" w14:textId="77777777" w:rsidR="00CC09AC" w:rsidRPr="00D24D54" w:rsidRDefault="00CC09AC" w:rsidP="00BD39E0">
      <w:pPr>
        <w:numPr>
          <w:ilvl w:val="0"/>
          <w:numId w:val="43"/>
        </w:numPr>
        <w:autoSpaceDE w:val="0"/>
        <w:jc w:val="both"/>
        <w:rPr>
          <w:bCs/>
        </w:rPr>
      </w:pPr>
      <w:r w:rsidRPr="00D24D54">
        <w:t>подобряване на бизнес климата чрез ефективен контрол на регулативните режими (осъществяване на дейности в областта на метрологията и техническия надзор, в областта на акредитирането на лаборатории и органи, в областта на обществените поръчки и др.);</w:t>
      </w:r>
      <w:r w:rsidRPr="00D24D54">
        <w:rPr>
          <w:bCs/>
        </w:rPr>
        <w:t xml:space="preserve"> стимулиране на износа, повишаване на икономическата активност и съответно заетостта в страната; финансирани са дейности, свързани с подобряване на бизнес средата, условията за инвестиции, иновации, високите технологии и предприемаческата активност</w:t>
      </w:r>
      <w:r w:rsidRPr="00D24D54">
        <w:t>;</w:t>
      </w:r>
      <w:r w:rsidRPr="00D24D54">
        <w:rPr>
          <w:bCs/>
        </w:rPr>
        <w:t xml:space="preserve"> </w:t>
      </w:r>
    </w:p>
    <w:p w14:paraId="2B9DC05A" w14:textId="77777777" w:rsidR="00CC09AC" w:rsidRPr="00D24D54" w:rsidRDefault="00CC09AC" w:rsidP="00BD39E0">
      <w:pPr>
        <w:numPr>
          <w:ilvl w:val="0"/>
          <w:numId w:val="43"/>
        </w:numPr>
        <w:jc w:val="both"/>
      </w:pPr>
      <w:r w:rsidRPr="00D24D54">
        <w:t>осигуряване закрила на индустриалната собственост;</w:t>
      </w:r>
    </w:p>
    <w:p w14:paraId="5DE8FC75" w14:textId="77777777" w:rsidR="00CC09AC" w:rsidRPr="00D24D54" w:rsidRDefault="00CC09AC" w:rsidP="00BD39E0">
      <w:pPr>
        <w:numPr>
          <w:ilvl w:val="0"/>
          <w:numId w:val="43"/>
        </w:numPr>
        <w:spacing w:after="120"/>
        <w:jc w:val="both"/>
      </w:pPr>
      <w:r w:rsidRPr="00D24D54">
        <w:t>организиране и осъществяване процеса на приватизация в случаите, предвидени в Закона за приватизация и следприватизационен контрол и на следприватизационния контрол по договорите за приватизация, както и уреждане на начина за определяне и публично оповестяване на държавната политика в областта на публичните предприятия, въвеждането на стандарти за добро корпоративно управление на публичните предприятия и задълженията за оповестяване и прозрачност на дейността на публичните предприятия и органите им за управление, предвидени в Закона за публичните предприятия.</w:t>
      </w:r>
    </w:p>
    <w:p w14:paraId="4E2A0472" w14:textId="77777777" w:rsidR="00CC09AC" w:rsidRPr="007B48E9" w:rsidRDefault="00CC09AC" w:rsidP="00AE1F1D">
      <w:pPr>
        <w:ind w:firstLine="709"/>
        <w:jc w:val="both"/>
        <w:rPr>
          <w:color w:val="0070C0"/>
        </w:rPr>
      </w:pPr>
      <w:r w:rsidRPr="002064B8">
        <w:t>Отговорните институции (в т.ч. министерства и ведомства), които са ангажирани с изпълнението на държавната политика в областта на други дейности по икономиката през 202</w:t>
      </w:r>
      <w:r w:rsidRPr="004D5FFC">
        <w:rPr>
          <w:lang w:val="ru-RU"/>
        </w:rPr>
        <w:t>2</w:t>
      </w:r>
      <w:r w:rsidRPr="002064B8">
        <w:t xml:space="preserve"> г. са Народно събрание, МС, МФ, МО, МОН, МИИ, бюджетни организации, чиито ръководители са второстепенни разпоредители с бюджет към министъра на икономиката и индустрията (Държавна агенция за метрологичен и технически надзор, Български институт по метрология, Агенцията за публичните предприятия и контрол, Патентно ведомство, Изпълнителна агенция „Българска служба за акредитация”), Българска академия на науките, Държавно предприятие „Управление и стопанисване на язовири“ и други.</w:t>
      </w:r>
    </w:p>
    <w:p w14:paraId="3CF9717D" w14:textId="0D264366" w:rsidR="00CC09AC" w:rsidRPr="007B48E9" w:rsidRDefault="00CC09AC" w:rsidP="00AE1F1D">
      <w:pPr>
        <w:ind w:firstLine="709"/>
        <w:jc w:val="both"/>
        <w:rPr>
          <w:color w:val="0070C0"/>
        </w:rPr>
      </w:pPr>
      <w:r w:rsidRPr="005C17EF">
        <w:t xml:space="preserve">Разходите за група „Други дейности по икономиката”, отчетени </w:t>
      </w:r>
      <w:r w:rsidRPr="005C17EF">
        <w:rPr>
          <w:b/>
        </w:rPr>
        <w:t xml:space="preserve">по общинските </w:t>
      </w:r>
      <w:r w:rsidRPr="00E95947">
        <w:rPr>
          <w:b/>
        </w:rPr>
        <w:t>бюджети,</w:t>
      </w:r>
      <w:r w:rsidRPr="00E95947">
        <w:t xml:space="preserve"> са в размер на 158,9 млн. лв. (основно в местните дейности). Отчетените разходи са 121,0 % спрямо закона за 2022 г. и 115,7 % спрямо отчетените за 2021 г. </w:t>
      </w:r>
      <w:r w:rsidRPr="00894B31">
        <w:t xml:space="preserve">В </w:t>
      </w:r>
      <w:r w:rsidRPr="00290DAE">
        <w:rPr>
          <w:i/>
        </w:rPr>
        <w:t>делегираните от държавата дейности</w:t>
      </w:r>
      <w:r w:rsidRPr="00894B31">
        <w:t xml:space="preserve"> в тази група</w:t>
      </w:r>
      <w:r>
        <w:t>,</w:t>
      </w:r>
      <w:r w:rsidRPr="00894B31">
        <w:t xml:space="preserve"> в текущи разходи</w:t>
      </w:r>
      <w:r>
        <w:t>,</w:t>
      </w:r>
      <w:r w:rsidRPr="00894B31">
        <w:t xml:space="preserve"> са </w:t>
      </w:r>
      <w:r w:rsidRPr="005555E4">
        <w:t xml:space="preserve">отчетени средства  в размер на </w:t>
      </w:r>
      <w:r w:rsidR="006F22BE" w:rsidRPr="006F22BE">
        <w:t xml:space="preserve">1,2 </w:t>
      </w:r>
      <w:r w:rsidRPr="005555E4">
        <w:t xml:space="preserve">млн. лв., във връзка с предоставените по бюджетите на общините допълнителни трансфери за 2022 г. за покриване на част от транспортните разходи за </w:t>
      </w:r>
      <w:r w:rsidRPr="00894B31">
        <w:t>доставка на хляб и основни хранителни продукти в планински и малки селища с население до 500 жители (без курортите) по реда на чл. 15 от ПМС № 31 от 2022 г.</w:t>
      </w:r>
      <w:r w:rsidR="006F22BE">
        <w:t xml:space="preserve">, </w:t>
      </w:r>
      <w:r w:rsidR="006F22BE" w:rsidRPr="006F22BE">
        <w:t>и за субсидиране издръжката на Ферибот „Белослав“</w:t>
      </w:r>
      <w:r w:rsidR="006F22BE">
        <w:t>.</w:t>
      </w:r>
      <w:r>
        <w:t xml:space="preserve"> </w:t>
      </w:r>
      <w:r w:rsidRPr="00894B31">
        <w:t xml:space="preserve">Текущите разходи по отчет за </w:t>
      </w:r>
      <w:r w:rsidRPr="00290DAE">
        <w:rPr>
          <w:i/>
        </w:rPr>
        <w:t>местните дейности</w:t>
      </w:r>
      <w:r w:rsidRPr="00894B31">
        <w:t xml:space="preserve"> са в размер на 145,4 млн. лв., което е с 21,6 млн. лв. повече от разчетените със закона, а спрямо отчета за 2021 г. увеличението им е със 17,3 млн. лв. и се дължи предимно на увеличението на разходите за персона</w:t>
      </w:r>
      <w:r w:rsidRPr="006C42B5">
        <w:t xml:space="preserve">л и издръжка </w:t>
      </w:r>
      <w:r>
        <w:t>–</w:t>
      </w:r>
      <w:r w:rsidRPr="006C42B5">
        <w:t xml:space="preserve"> общо </w:t>
      </w:r>
      <w:r w:rsidRPr="00894B31">
        <w:t>с около 14,0</w:t>
      </w:r>
      <w:r>
        <w:t> </w:t>
      </w:r>
      <w:r w:rsidRPr="00894B31">
        <w:t>млн. лева</w:t>
      </w:r>
    </w:p>
    <w:p w14:paraId="4883ADB7" w14:textId="77777777" w:rsidR="00CC09AC" w:rsidRPr="007B48E9" w:rsidRDefault="00CC09AC" w:rsidP="00CC09AC">
      <w:pPr>
        <w:ind w:firstLine="709"/>
        <w:jc w:val="both"/>
        <w:rPr>
          <w:color w:val="0070C0"/>
        </w:rPr>
      </w:pPr>
      <w:r w:rsidRPr="00E95947">
        <w:t xml:space="preserve">Размерът на отчетените капиталови разходи е 12,3 млн. лв., </w:t>
      </w:r>
      <w:r w:rsidRPr="00894B31">
        <w:t>което е с 4,8 млн. лв. повече от планираните по закон и с 4,0 млн. лв. повече от отчетените през 2021 година</w:t>
      </w:r>
      <w:r w:rsidRPr="007B48E9">
        <w:rPr>
          <w:color w:val="0070C0"/>
        </w:rPr>
        <w:t>.</w:t>
      </w:r>
    </w:p>
    <w:p w14:paraId="7EAC0F22" w14:textId="7E40B0C0" w:rsidR="00CC09AC" w:rsidRDefault="00CC09AC" w:rsidP="00046A06">
      <w:pPr>
        <w:spacing w:after="120"/>
        <w:ind w:firstLine="709"/>
        <w:jc w:val="both"/>
      </w:pPr>
      <w:r w:rsidRPr="00290DAE">
        <w:t>В тази група се отчитат разходите за изграждане и поддържане на общински пазари и тържища, помощни стопанства, приюти за безстопанствени животни и други разходи по решение на общинския съвет.</w:t>
      </w:r>
    </w:p>
    <w:p w14:paraId="12C9BDAC" w14:textId="78858777" w:rsidR="00046A06" w:rsidRPr="00290DAE" w:rsidRDefault="00046A06" w:rsidP="00046A06">
      <w:pPr>
        <w:spacing w:after="120"/>
        <w:ind w:firstLine="709"/>
        <w:jc w:val="both"/>
      </w:pPr>
      <w:r w:rsidRPr="00046A06">
        <w:t>В тази функция за ДП „УСЯ“ предвидените разходи за 2022 г. са в размер на 79,5 млн. лв. Извършените разходи през годината от предприятието са в размер на 7,4 млн. лв в изпълнение на  основната дейност по комплексното управление  и стопанисване на приетите язовири.</w:t>
      </w:r>
    </w:p>
    <w:p w14:paraId="29CD7A66" w14:textId="77777777" w:rsidR="00CC09AC" w:rsidRPr="00F820E6" w:rsidRDefault="00CC09AC" w:rsidP="00CC09AC">
      <w:pPr>
        <w:pStyle w:val="BodyTextIndent2"/>
        <w:spacing w:before="120" w:line="240" w:lineRule="auto"/>
        <w:ind w:left="0" w:firstLine="709"/>
        <w:jc w:val="both"/>
      </w:pPr>
      <w:r w:rsidRPr="00F820E6">
        <w:rPr>
          <w:b/>
        </w:rPr>
        <w:t>Европейски средства</w:t>
      </w:r>
      <w:r w:rsidRPr="00F820E6">
        <w:t xml:space="preserve"> – изразходваните средства в групата са в размер на 209,9 млн. лв., основно по следните оперативни програми:</w:t>
      </w:r>
    </w:p>
    <w:p w14:paraId="4ADD5606" w14:textId="77777777" w:rsidR="00CC09AC" w:rsidRPr="00064020" w:rsidRDefault="00CC09AC" w:rsidP="00CC09AC">
      <w:pPr>
        <w:ind w:firstLine="709"/>
        <w:jc w:val="both"/>
      </w:pPr>
      <w:r w:rsidRPr="00064020">
        <w:rPr>
          <w:b/>
          <w:i/>
        </w:rPr>
        <w:t>Оперативна програма „Иновации и конкурентоспособност</w:t>
      </w:r>
      <w:r w:rsidRPr="00064020">
        <w:t xml:space="preserve">” – 192,4 млн. лв. </w:t>
      </w:r>
      <w:r w:rsidRPr="004D5FFC">
        <w:rPr>
          <w:lang w:val="ru-RU"/>
        </w:rPr>
        <w:t>(</w:t>
      </w:r>
      <w:r w:rsidRPr="00064020">
        <w:t>основно от програмен период 2014-2020 г.</w:t>
      </w:r>
      <w:r w:rsidRPr="004D5FFC">
        <w:rPr>
          <w:lang w:val="ru-RU"/>
        </w:rPr>
        <w:t>)</w:t>
      </w:r>
      <w:r w:rsidRPr="00064020">
        <w:t xml:space="preserve">. Главна цел на програмата е </w:t>
      </w:r>
      <w:r w:rsidRPr="00064020">
        <w:rPr>
          <w:bCs/>
        </w:rPr>
        <w:t xml:space="preserve">развитие на динамична икономика, конкурентоспособна на европейския и световен пазар. За реализирането на основната цел програмите финансират дейности, свързани с насърчаване на иновациите и повишаване на ефективността на предприятията, подобряване на бизнес средата </w:t>
      </w:r>
      <w:r w:rsidRPr="00064020">
        <w:t xml:space="preserve">и други. </w:t>
      </w:r>
    </w:p>
    <w:p w14:paraId="2839FC26" w14:textId="55D9C3CF" w:rsidR="00CC09AC" w:rsidRDefault="00CC09AC" w:rsidP="00CC09AC">
      <w:pPr>
        <w:ind w:firstLine="709"/>
        <w:jc w:val="both"/>
      </w:pPr>
      <w:r w:rsidRPr="00064020">
        <w:t xml:space="preserve">Чрез възможностите, които предоставя Оперативна програма „Иновации и конкурентоспособност”  2014-2020 г. за финансиране с финансови инструменти в областта на предприемачеството, се стимулира създаването на нови предприятия, успешното реализиране на нови бизнес идеи, успешното и ускоряващо развитие на съществуващи предприемачески фирми, водещи до икономическа стабилизация и растеж, респективно до създаването на нови работни места, като се компенсира частично идентифицирания в предварителната оценка на прилагането на финансовите инструменти недостиг от финансиране за малки и средни предприятия. Оперативната програма концентрира ресурси за подкрепа за намаляване на енергийната интензивност на предприятията (извън търговия и услуги) - повишаване на енергийната ефективност, както в производството, така и в сградния фонд, като специално внимание е насочено към преработващата промишленост, където ефектът от инвестициите се очаква да бъде най-осезаем. Очакваният принос на тези подкрепени действия се изразява в повишаването на иновационната дейност на предприятията вследствие на създадените възможности за взаимосътрудничество, обмен и споделяне на идеи и ресурси. Целева група са български предприятия в сътрудничество с други български или европейски предприятия, висши училища и/или изследователски организации, български новосъздадени предприятия на базата на интелектуална собственост, трансферирана от български или европейски висши училища/изследователски организации, обединения от предприятия, чиято цел е създаване на нови продукти и услуги. Подкрепата за иновации в предприятията, вкл. разработване и внедряване на нови продукти, процеси и бизнес модели, е свързана с инвестиционна подкрепа, консултантски и помощни услуги за разработване и внедряване на иновации в тези предприятия. Очакваният принос се изразява основно в нарастване на дела на предприятията, които самостоятелно разработват, внедряват и разпространяват иновации, в резултат на което ще се повиши иновационният им капацитет и конкурентоспособност.  </w:t>
      </w:r>
    </w:p>
    <w:p w14:paraId="4165F6E5" w14:textId="44055818" w:rsidR="009E211B" w:rsidRPr="001A35F6" w:rsidRDefault="009E211B" w:rsidP="009E211B">
      <w:pPr>
        <w:ind w:firstLine="709"/>
        <w:jc w:val="both"/>
        <w:rPr>
          <w:color w:val="0070C0"/>
        </w:rPr>
      </w:pPr>
      <w:r>
        <w:t>Към 31.12.2022 г. по ОПИК са обявени 152 процедури (20-чрез конкурентен подбор, 99-по подхода ВОМР, 22-чрез директно предоставяне, 10-по бюджетни линии и 1-за покриване на основните нужди на бежанците от Украйна).</w:t>
      </w:r>
    </w:p>
    <w:p w14:paraId="7FBD9670" w14:textId="662581B2" w:rsidR="009E211B" w:rsidRPr="001A35F6" w:rsidRDefault="009E211B" w:rsidP="009E211B">
      <w:pPr>
        <w:ind w:firstLine="709"/>
        <w:jc w:val="both"/>
        <w:rPr>
          <w:color w:val="0070C0"/>
        </w:rPr>
      </w:pPr>
      <w:r>
        <w:t>Договорените средства са 3 339 млн.лв. по 35 321 договора и две финансови споразумения с ФМФИБ (ПО 1, 2, 3, 4, 5, 6 и 7). 2 453 договора са в процес на изпълнение, 32 617 са изпълнени с окончателни плащания. От общия брой сключени договори тези за преодоляване на последствията от COVID-19 кризата са по процедури: №BG16RFOP002-2.073 – 23 621; BG16RFOP002-2.077 – 1 554; BG16RFOP002-2.091 - 580 и BG16RFOP002-2.092 – 720; BG16RFOP002-2.089 – 4356 – общо 30 831 броя. Изплатените средства към 31.12.2022 г. са 2 812,84 млн.</w:t>
      </w:r>
      <w:r w:rsidR="00046A06">
        <w:t xml:space="preserve"> </w:t>
      </w:r>
      <w:r>
        <w:t>лв. (86,54% от общия бюджет на ОП), от тях 370 млн. лв. за ФИ, сертифицираните средства са 2 602,72 млн.</w:t>
      </w:r>
      <w:r w:rsidR="00046A06">
        <w:t xml:space="preserve"> </w:t>
      </w:r>
      <w:r>
        <w:t xml:space="preserve">лв. (80,08 % от общия бюджет на ОП), от тях 370 млн. лв. за ФИ. В отговор на новите предизвикателства и през 2022 г. УО на ОПИК продължи да прилага мерки за подкрепа на българския бизнес за преодоляване на последствията от COVID-19, като едновременно с това пренасочи реализираните спестявания по ОПИК за изпълнението на мярка за подпомагане на настаняването на бежанци от Украйна. В тази връзка към ОПИК е добавена нова ПО 7 „Действия по линия на сближаването за бежанците в Европа (CARE)“ (със средства от REACT-EU), с което общият бюджет на програмата е 3 250,3 млн. лв. Общият размер на средствата по ОПИК, насочени към мерки за справяне с кризите, е над 1 020 млн. лева. </w:t>
      </w:r>
    </w:p>
    <w:p w14:paraId="2741526E" w14:textId="594426A2" w:rsidR="009E211B" w:rsidRPr="007B48E9" w:rsidRDefault="009E211B" w:rsidP="009E211B">
      <w:pPr>
        <w:ind w:firstLine="709"/>
        <w:jc w:val="both"/>
        <w:rPr>
          <w:color w:val="0070C0"/>
        </w:rPr>
      </w:pPr>
      <w:r w:rsidRPr="001A35F6">
        <w:t xml:space="preserve">Към 31.12.2022 г. проектът </w:t>
      </w:r>
      <w:r w:rsidRPr="001A35F6">
        <w:rPr>
          <w:i/>
        </w:rPr>
        <w:t>„Техническа помощ за завършване на подготвителните дейности, необходими за стартиране на строителството на междусистемна газова връзка България – Сърбия“</w:t>
      </w:r>
      <w:r w:rsidRPr="001A35F6">
        <w:t xml:space="preserve"> е прекратен по искане на бенефициента</w:t>
      </w:r>
      <w:r>
        <w:t>.</w:t>
      </w:r>
      <w:r w:rsidRPr="001A35F6">
        <w:t xml:space="preserve"> </w:t>
      </w:r>
      <w:r w:rsidRPr="00212CF6">
        <w:t>Проектът „Изграждане на междусистемна газова връзка Гърция – България</w:t>
      </w:r>
      <w:r>
        <w:t>“ е в процес на верификация - към края на отчетния период на доклада е постъпил окончателен ПОД. Проектът „Завършване на подготвителни дейности, необходими за начало на строителството на Междусистемната газова връзка България – Сърбия“ е в процес на изпълнение.</w:t>
      </w:r>
    </w:p>
    <w:p w14:paraId="624BAB8E" w14:textId="77777777" w:rsidR="00CC09AC" w:rsidRDefault="00CC09AC" w:rsidP="00CC09AC">
      <w:pPr>
        <w:spacing w:before="120"/>
        <w:ind w:firstLine="709"/>
        <w:jc w:val="both"/>
      </w:pPr>
      <w:r w:rsidRPr="00B113FA">
        <w:rPr>
          <w:b/>
          <w:i/>
        </w:rPr>
        <w:t>Оперативна програма „Добро управление</w:t>
      </w:r>
      <w:r w:rsidRPr="00B113FA">
        <w:t xml:space="preserve">” – изразходваните средства през 2022 г. за група „Други дейности по икономиката” са в размер на 5,2 млн. лв. В това функционално направление програмата е насочена към дейности за опростяване на регулациите и намаляване на административната тежест. </w:t>
      </w:r>
    </w:p>
    <w:p w14:paraId="0C0142FA" w14:textId="794C80FB" w:rsidR="00CC09AC" w:rsidRDefault="00CC09AC" w:rsidP="00CC09AC">
      <w:pPr>
        <w:spacing w:before="120"/>
        <w:ind w:firstLine="709"/>
        <w:jc w:val="both"/>
      </w:pPr>
      <w:r w:rsidRPr="00B113FA">
        <w:rPr>
          <w:b/>
          <w:i/>
        </w:rPr>
        <w:t>Оперативна програма „</w:t>
      </w:r>
      <w:r>
        <w:rPr>
          <w:b/>
          <w:i/>
        </w:rPr>
        <w:t>Региони в растеж</w:t>
      </w:r>
      <w:r w:rsidRPr="00B113FA">
        <w:t xml:space="preserve">” – изразходваните средства през 2022 г. за група „Други дейности по икономиката” са в размер на </w:t>
      </w:r>
      <w:r>
        <w:t>2,0</w:t>
      </w:r>
      <w:r w:rsidRPr="00B113FA">
        <w:t xml:space="preserve"> млн. лв.</w:t>
      </w:r>
    </w:p>
    <w:p w14:paraId="06FD11B3" w14:textId="18C81680" w:rsidR="00190BA6" w:rsidRDefault="00190BA6" w:rsidP="00CC09AC">
      <w:pPr>
        <w:spacing w:before="120"/>
        <w:ind w:firstLine="709"/>
        <w:jc w:val="both"/>
      </w:pPr>
    </w:p>
    <w:p w14:paraId="4F13DD6D" w14:textId="0C41D791" w:rsidR="00190BA6" w:rsidRDefault="00190BA6" w:rsidP="00CC09AC">
      <w:pPr>
        <w:spacing w:before="120"/>
        <w:ind w:firstLine="709"/>
        <w:jc w:val="both"/>
      </w:pPr>
    </w:p>
    <w:p w14:paraId="54F799A3" w14:textId="77777777" w:rsidR="00046A06" w:rsidRDefault="00046A06" w:rsidP="00CC09AC">
      <w:pPr>
        <w:spacing w:before="120"/>
        <w:ind w:firstLine="709"/>
        <w:jc w:val="both"/>
      </w:pPr>
    </w:p>
    <w:p w14:paraId="0FABF61F" w14:textId="77777777" w:rsidR="00190BA6" w:rsidRPr="00B113FA" w:rsidRDefault="00190BA6" w:rsidP="00CC09AC">
      <w:pPr>
        <w:spacing w:before="120"/>
        <w:ind w:firstLine="709"/>
        <w:jc w:val="both"/>
      </w:pPr>
    </w:p>
    <w:p w14:paraId="277322E0" w14:textId="77777777" w:rsidR="00CC09AC" w:rsidRPr="007B48E9" w:rsidRDefault="00CC09AC" w:rsidP="00CC09AC">
      <w:pPr>
        <w:ind w:firstLine="709"/>
        <w:jc w:val="both"/>
        <w:rPr>
          <w:color w:val="0070C0"/>
          <w:sz w:val="22"/>
        </w:rPr>
      </w:pPr>
    </w:p>
    <w:p w14:paraId="070DABBE" w14:textId="77777777" w:rsidR="00CC09AC" w:rsidRPr="007B48E9" w:rsidRDefault="00CC09AC" w:rsidP="00CC09AC">
      <w:pPr>
        <w:ind w:firstLine="709"/>
        <w:jc w:val="both"/>
        <w:rPr>
          <w:color w:val="0070C0"/>
          <w:sz w:val="22"/>
        </w:rPr>
      </w:pPr>
    </w:p>
    <w:p w14:paraId="32824CA0" w14:textId="77777777" w:rsidR="00CC09AC" w:rsidRPr="007B48E9" w:rsidRDefault="00CC09AC" w:rsidP="00CC09AC">
      <w:pPr>
        <w:ind w:firstLine="539"/>
        <w:jc w:val="both"/>
        <w:rPr>
          <w:color w:val="0070C0"/>
          <w:sz w:val="2"/>
        </w:rPr>
      </w:pPr>
    </w:p>
    <w:p w14:paraId="4BC25D3B" w14:textId="77777777" w:rsidR="00CC09AC" w:rsidRPr="004023A1" w:rsidRDefault="00CC09AC" w:rsidP="00CC09AC">
      <w:pPr>
        <w:pStyle w:val="Heading3"/>
        <w:numPr>
          <w:ilvl w:val="2"/>
          <w:numId w:val="8"/>
        </w:numPr>
        <w:spacing w:before="0" w:after="0"/>
        <w:rPr>
          <w:rFonts w:ascii="Times New Roman" w:hAnsi="Times New Roman"/>
          <w:sz w:val="24"/>
          <w:lang w:val="bg-BG"/>
        </w:rPr>
      </w:pPr>
      <w:bookmarkStart w:id="367" w:name="_Toc326315922"/>
      <w:bookmarkStart w:id="368" w:name="_Toc324863430"/>
      <w:bookmarkStart w:id="369" w:name="_Toc261276594"/>
      <w:bookmarkStart w:id="370" w:name="_Toc483234294"/>
      <w:bookmarkStart w:id="371" w:name="_Toc494102648"/>
      <w:bookmarkStart w:id="372" w:name="_Toc525125606"/>
      <w:bookmarkStart w:id="373" w:name="_Toc18316962"/>
      <w:bookmarkStart w:id="374" w:name="_Toc136361877"/>
      <w:bookmarkStart w:id="375" w:name="_Toc146037917"/>
      <w:r w:rsidRPr="004023A1">
        <w:rPr>
          <w:rFonts w:ascii="Times New Roman" w:hAnsi="Times New Roman"/>
          <w:sz w:val="24"/>
          <w:lang w:val="bg-BG"/>
        </w:rPr>
        <w:t>Разходи, некласифицирани в другите функции</w:t>
      </w:r>
      <w:bookmarkEnd w:id="367"/>
      <w:bookmarkEnd w:id="368"/>
      <w:bookmarkEnd w:id="369"/>
      <w:bookmarkEnd w:id="370"/>
      <w:bookmarkEnd w:id="371"/>
      <w:bookmarkEnd w:id="372"/>
      <w:bookmarkEnd w:id="373"/>
      <w:bookmarkEnd w:id="374"/>
      <w:bookmarkEnd w:id="375"/>
    </w:p>
    <w:p w14:paraId="7A7F88BB" w14:textId="77777777" w:rsidR="00CC09AC" w:rsidRPr="007B48E9" w:rsidRDefault="00CC09AC" w:rsidP="00CC09AC">
      <w:pPr>
        <w:rPr>
          <w:color w:val="0070C0"/>
          <w:sz w:val="2"/>
        </w:rPr>
      </w:pPr>
    </w:p>
    <w:p w14:paraId="09AD6825" w14:textId="77777777" w:rsidR="00CC09AC" w:rsidRPr="004023A1" w:rsidRDefault="00CC09AC" w:rsidP="0085540F">
      <w:pPr>
        <w:ind w:left="6381" w:firstLine="709"/>
        <w:jc w:val="both"/>
        <w:rPr>
          <w:b/>
          <w:sz w:val="18"/>
          <w:szCs w:val="18"/>
        </w:rPr>
      </w:pPr>
      <w:r w:rsidRPr="004023A1">
        <w:rPr>
          <w:b/>
          <w:sz w:val="18"/>
          <w:szCs w:val="18"/>
        </w:rPr>
        <w:t>(млн. лв.)</w:t>
      </w:r>
    </w:p>
    <w:tbl>
      <w:tblPr>
        <w:tblW w:w="8436" w:type="dxa"/>
        <w:tblInd w:w="47" w:type="dxa"/>
        <w:tblLayout w:type="fixed"/>
        <w:tblCellMar>
          <w:left w:w="70" w:type="dxa"/>
          <w:right w:w="70" w:type="dxa"/>
        </w:tblCellMar>
        <w:tblLook w:val="04A0" w:firstRow="1" w:lastRow="0" w:firstColumn="1" w:lastColumn="0" w:noHBand="0" w:noVBand="1"/>
      </w:tblPr>
      <w:tblGrid>
        <w:gridCol w:w="2198"/>
        <w:gridCol w:w="660"/>
        <w:gridCol w:w="709"/>
        <w:gridCol w:w="851"/>
        <w:gridCol w:w="567"/>
        <w:gridCol w:w="567"/>
        <w:gridCol w:w="567"/>
        <w:gridCol w:w="708"/>
        <w:gridCol w:w="851"/>
        <w:gridCol w:w="758"/>
      </w:tblGrid>
      <w:tr w:rsidR="0085540F" w:rsidRPr="004023A1" w14:paraId="3B7B5991" w14:textId="77777777" w:rsidTr="0085540F">
        <w:trPr>
          <w:trHeight w:val="1578"/>
        </w:trPr>
        <w:tc>
          <w:tcPr>
            <w:tcW w:w="2198"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14:paraId="5C8110CE"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ОТЧЕТ 20</w:t>
            </w:r>
            <w:r w:rsidRPr="004023A1">
              <w:rPr>
                <w:b/>
                <w:bCs/>
                <w:color w:val="FFFFFF" w:themeColor="background1"/>
                <w:sz w:val="18"/>
                <w:szCs w:val="18"/>
                <w:lang w:val="en-US"/>
              </w:rPr>
              <w:t>2</w:t>
            </w:r>
            <w:r>
              <w:rPr>
                <w:b/>
                <w:bCs/>
                <w:color w:val="FFFFFF" w:themeColor="background1"/>
                <w:sz w:val="18"/>
                <w:szCs w:val="18"/>
              </w:rPr>
              <w:t>2</w:t>
            </w:r>
            <w:r w:rsidRPr="004023A1">
              <w:rPr>
                <w:b/>
                <w:bCs/>
                <w:color w:val="FFFFFF" w:themeColor="background1"/>
                <w:sz w:val="18"/>
                <w:szCs w:val="18"/>
              </w:rPr>
              <w:t xml:space="preserve"> г.</w:t>
            </w:r>
          </w:p>
        </w:tc>
        <w:tc>
          <w:tcPr>
            <w:tcW w:w="660" w:type="dxa"/>
            <w:tcBorders>
              <w:top w:val="double" w:sz="6" w:space="0" w:color="800000"/>
              <w:left w:val="nil"/>
              <w:bottom w:val="double" w:sz="6" w:space="0" w:color="800000"/>
              <w:right w:val="single" w:sz="4" w:space="0" w:color="FFFFFF"/>
            </w:tcBorders>
            <w:shd w:val="clear" w:color="auto" w:fill="800000"/>
            <w:noWrap/>
            <w:vAlign w:val="center"/>
            <w:hideMark/>
          </w:tcPr>
          <w:p w14:paraId="5E6EA5F8"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КФП</w:t>
            </w:r>
          </w:p>
        </w:tc>
        <w:tc>
          <w:tcPr>
            <w:tcW w:w="709" w:type="dxa"/>
            <w:tcBorders>
              <w:top w:val="double" w:sz="6" w:space="0" w:color="800000"/>
              <w:left w:val="nil"/>
              <w:bottom w:val="double" w:sz="6" w:space="0" w:color="800000"/>
              <w:right w:val="single" w:sz="4" w:space="0" w:color="FFFFFF"/>
            </w:tcBorders>
            <w:shd w:val="clear" w:color="auto" w:fill="800000"/>
            <w:noWrap/>
            <w:vAlign w:val="center"/>
            <w:hideMark/>
          </w:tcPr>
          <w:p w14:paraId="55E213F4"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ДБ</w:t>
            </w:r>
          </w:p>
        </w:tc>
        <w:tc>
          <w:tcPr>
            <w:tcW w:w="851" w:type="dxa"/>
            <w:tcBorders>
              <w:top w:val="double" w:sz="6" w:space="0" w:color="800000"/>
              <w:left w:val="nil"/>
              <w:bottom w:val="double" w:sz="6" w:space="0" w:color="800000"/>
              <w:right w:val="single" w:sz="4" w:space="0" w:color="FFFFFF"/>
            </w:tcBorders>
            <w:shd w:val="clear" w:color="auto" w:fill="800000"/>
            <w:vAlign w:val="center"/>
            <w:hideMark/>
          </w:tcPr>
          <w:p w14:paraId="5D2450F4"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Соц. осигуряване</w:t>
            </w:r>
          </w:p>
        </w:tc>
        <w:tc>
          <w:tcPr>
            <w:tcW w:w="567" w:type="dxa"/>
            <w:tcBorders>
              <w:top w:val="double" w:sz="6" w:space="0" w:color="800000"/>
              <w:left w:val="nil"/>
              <w:bottom w:val="double" w:sz="6" w:space="0" w:color="800000"/>
              <w:right w:val="single" w:sz="4" w:space="0" w:color="FFFFFF"/>
            </w:tcBorders>
            <w:shd w:val="clear" w:color="auto" w:fill="800000"/>
            <w:noWrap/>
            <w:vAlign w:val="center"/>
            <w:hideMark/>
          </w:tcPr>
          <w:p w14:paraId="55428E42"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ДВУ</w:t>
            </w:r>
          </w:p>
        </w:tc>
        <w:tc>
          <w:tcPr>
            <w:tcW w:w="567" w:type="dxa"/>
            <w:tcBorders>
              <w:top w:val="double" w:sz="6" w:space="0" w:color="800000"/>
              <w:left w:val="nil"/>
              <w:bottom w:val="double" w:sz="6" w:space="0" w:color="800000"/>
              <w:right w:val="single" w:sz="4" w:space="0" w:color="FFFFFF"/>
            </w:tcBorders>
            <w:shd w:val="clear" w:color="auto" w:fill="800000"/>
            <w:noWrap/>
            <w:vAlign w:val="center"/>
            <w:hideMark/>
          </w:tcPr>
          <w:p w14:paraId="75587036"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БАН</w:t>
            </w:r>
          </w:p>
        </w:tc>
        <w:tc>
          <w:tcPr>
            <w:tcW w:w="567" w:type="dxa"/>
            <w:tcBorders>
              <w:top w:val="double" w:sz="6" w:space="0" w:color="800000"/>
              <w:left w:val="nil"/>
              <w:bottom w:val="double" w:sz="6" w:space="0" w:color="800000"/>
              <w:right w:val="double" w:sz="6" w:space="0" w:color="800000"/>
            </w:tcBorders>
            <w:shd w:val="clear" w:color="auto" w:fill="800000"/>
            <w:vAlign w:val="center"/>
          </w:tcPr>
          <w:p w14:paraId="5CD5B995"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ССА</w:t>
            </w:r>
          </w:p>
        </w:tc>
        <w:tc>
          <w:tcPr>
            <w:tcW w:w="708" w:type="dxa"/>
            <w:tcBorders>
              <w:top w:val="double" w:sz="6" w:space="0" w:color="800000"/>
              <w:left w:val="nil"/>
              <w:bottom w:val="double" w:sz="6" w:space="0" w:color="800000"/>
              <w:right w:val="double" w:sz="6" w:space="0" w:color="800000"/>
            </w:tcBorders>
            <w:shd w:val="clear" w:color="auto" w:fill="800000"/>
            <w:vAlign w:val="center"/>
            <w:hideMark/>
          </w:tcPr>
          <w:p w14:paraId="65A2C366"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БНР</w:t>
            </w:r>
          </w:p>
        </w:tc>
        <w:tc>
          <w:tcPr>
            <w:tcW w:w="851" w:type="dxa"/>
            <w:tcBorders>
              <w:top w:val="double" w:sz="6" w:space="0" w:color="800000"/>
              <w:left w:val="nil"/>
              <w:bottom w:val="double" w:sz="6" w:space="0" w:color="800000"/>
              <w:right w:val="double" w:sz="6" w:space="0" w:color="800000"/>
            </w:tcBorders>
            <w:shd w:val="clear" w:color="auto" w:fill="800000"/>
            <w:vAlign w:val="center"/>
          </w:tcPr>
          <w:p w14:paraId="302F1611"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Общини</w:t>
            </w:r>
          </w:p>
        </w:tc>
        <w:tc>
          <w:tcPr>
            <w:tcW w:w="758" w:type="dxa"/>
            <w:tcBorders>
              <w:top w:val="double" w:sz="6" w:space="0" w:color="800000"/>
              <w:left w:val="double" w:sz="6" w:space="0" w:color="800000"/>
              <w:bottom w:val="double" w:sz="6" w:space="0" w:color="800000"/>
              <w:right w:val="double" w:sz="6" w:space="0" w:color="800000"/>
            </w:tcBorders>
            <w:shd w:val="clear" w:color="auto" w:fill="800000"/>
            <w:vAlign w:val="center"/>
          </w:tcPr>
          <w:p w14:paraId="196E673D" w14:textId="77777777" w:rsidR="0085540F" w:rsidRPr="004023A1" w:rsidRDefault="0085540F" w:rsidP="003B085A">
            <w:pPr>
              <w:jc w:val="center"/>
              <w:rPr>
                <w:b/>
                <w:bCs/>
                <w:color w:val="FFFFFF" w:themeColor="background1"/>
                <w:sz w:val="18"/>
                <w:szCs w:val="18"/>
              </w:rPr>
            </w:pPr>
            <w:r w:rsidRPr="004023A1">
              <w:rPr>
                <w:b/>
                <w:bCs/>
                <w:color w:val="FFFFFF" w:themeColor="background1"/>
                <w:sz w:val="18"/>
                <w:szCs w:val="18"/>
              </w:rPr>
              <w:t>Европ. ср/ва</w:t>
            </w:r>
          </w:p>
        </w:tc>
      </w:tr>
      <w:tr w:rsidR="0085540F" w:rsidRPr="007B48E9" w14:paraId="2535C5F4" w14:textId="77777777" w:rsidTr="0085540F">
        <w:trPr>
          <w:trHeight w:val="290"/>
        </w:trPr>
        <w:tc>
          <w:tcPr>
            <w:tcW w:w="2198" w:type="dxa"/>
            <w:tcBorders>
              <w:top w:val="nil"/>
              <w:left w:val="double" w:sz="6" w:space="0" w:color="800000"/>
              <w:bottom w:val="nil"/>
              <w:right w:val="single" w:sz="4" w:space="0" w:color="800000"/>
            </w:tcBorders>
            <w:shd w:val="clear" w:color="auto" w:fill="FFFFCC"/>
            <w:noWrap/>
            <w:vAlign w:val="bottom"/>
            <w:hideMark/>
          </w:tcPr>
          <w:p w14:paraId="0627D151" w14:textId="77777777" w:rsidR="0085540F" w:rsidRPr="00337541" w:rsidRDefault="0085540F" w:rsidP="003B085A">
            <w:pPr>
              <w:ind w:right="-70"/>
              <w:rPr>
                <w:b/>
                <w:bCs/>
                <w:sz w:val="18"/>
                <w:szCs w:val="18"/>
              </w:rPr>
            </w:pPr>
            <w:r w:rsidRPr="00337541">
              <w:rPr>
                <w:b/>
                <w:bCs/>
                <w:sz w:val="18"/>
                <w:szCs w:val="18"/>
              </w:rPr>
              <w:t>IХ. РАЗХОДИ, НЕКЛАСИФИЦИРАНИ В ДРУГИТЕ ФУНКЦИИ</w:t>
            </w:r>
          </w:p>
        </w:tc>
        <w:tc>
          <w:tcPr>
            <w:tcW w:w="660" w:type="dxa"/>
            <w:tcBorders>
              <w:top w:val="double" w:sz="6" w:space="0" w:color="800000"/>
              <w:left w:val="nil"/>
              <w:bottom w:val="nil"/>
              <w:right w:val="single" w:sz="4" w:space="0" w:color="800000"/>
            </w:tcBorders>
            <w:shd w:val="clear" w:color="auto" w:fill="FFFFCC"/>
            <w:noWrap/>
            <w:vAlign w:val="bottom"/>
            <w:hideMark/>
          </w:tcPr>
          <w:p w14:paraId="4095C866" w14:textId="77777777" w:rsidR="0085540F" w:rsidRPr="007B48E9" w:rsidRDefault="0085540F" w:rsidP="003B085A">
            <w:pPr>
              <w:jc w:val="right"/>
              <w:rPr>
                <w:b/>
                <w:bCs/>
                <w:color w:val="0070C0"/>
                <w:sz w:val="18"/>
                <w:szCs w:val="18"/>
              </w:rPr>
            </w:pPr>
            <w:r>
              <w:rPr>
                <w:b/>
                <w:bCs/>
                <w:color w:val="000000"/>
                <w:sz w:val="18"/>
                <w:szCs w:val="18"/>
              </w:rPr>
              <w:t>651,8</w:t>
            </w:r>
          </w:p>
        </w:tc>
        <w:tc>
          <w:tcPr>
            <w:tcW w:w="709" w:type="dxa"/>
            <w:tcBorders>
              <w:top w:val="nil"/>
              <w:left w:val="nil"/>
              <w:bottom w:val="nil"/>
              <w:right w:val="single" w:sz="4" w:space="0" w:color="800000"/>
            </w:tcBorders>
            <w:shd w:val="clear" w:color="auto" w:fill="FFFFCC"/>
            <w:noWrap/>
            <w:vAlign w:val="bottom"/>
            <w:hideMark/>
          </w:tcPr>
          <w:p w14:paraId="4D35BED4" w14:textId="77777777" w:rsidR="0085540F" w:rsidRPr="007B48E9" w:rsidRDefault="0085540F" w:rsidP="003B085A">
            <w:pPr>
              <w:jc w:val="right"/>
              <w:rPr>
                <w:b/>
                <w:bCs/>
                <w:color w:val="0070C0"/>
                <w:sz w:val="18"/>
                <w:szCs w:val="18"/>
              </w:rPr>
            </w:pPr>
            <w:r>
              <w:rPr>
                <w:b/>
                <w:bCs/>
                <w:color w:val="000000"/>
                <w:sz w:val="18"/>
                <w:szCs w:val="18"/>
              </w:rPr>
              <w:t>611,6</w:t>
            </w:r>
          </w:p>
        </w:tc>
        <w:tc>
          <w:tcPr>
            <w:tcW w:w="851" w:type="dxa"/>
            <w:tcBorders>
              <w:top w:val="nil"/>
              <w:left w:val="nil"/>
              <w:bottom w:val="nil"/>
              <w:right w:val="single" w:sz="4" w:space="0" w:color="800000"/>
            </w:tcBorders>
            <w:shd w:val="clear" w:color="auto" w:fill="FFFFCC"/>
            <w:noWrap/>
            <w:vAlign w:val="bottom"/>
            <w:hideMark/>
          </w:tcPr>
          <w:p w14:paraId="21E6B9B0" w14:textId="77777777" w:rsidR="0085540F" w:rsidRPr="007B48E9" w:rsidRDefault="0085540F" w:rsidP="003B085A">
            <w:pPr>
              <w:jc w:val="right"/>
              <w:rPr>
                <w:b/>
                <w:bCs/>
                <w:color w:val="0070C0"/>
                <w:sz w:val="18"/>
                <w:szCs w:val="18"/>
              </w:rPr>
            </w:pPr>
            <w:r>
              <w:rPr>
                <w:b/>
                <w:bCs/>
                <w:color w:val="000000"/>
                <w:sz w:val="18"/>
                <w:szCs w:val="18"/>
              </w:rPr>
              <w:t>4,7</w:t>
            </w:r>
          </w:p>
        </w:tc>
        <w:tc>
          <w:tcPr>
            <w:tcW w:w="567" w:type="dxa"/>
            <w:tcBorders>
              <w:top w:val="nil"/>
              <w:left w:val="nil"/>
              <w:bottom w:val="nil"/>
              <w:right w:val="single" w:sz="4" w:space="0" w:color="800000"/>
            </w:tcBorders>
            <w:shd w:val="clear" w:color="auto" w:fill="FFFFCC"/>
            <w:noWrap/>
            <w:vAlign w:val="bottom"/>
            <w:hideMark/>
          </w:tcPr>
          <w:p w14:paraId="2B6E5348" w14:textId="77777777" w:rsidR="0085540F" w:rsidRPr="007B48E9" w:rsidRDefault="0085540F" w:rsidP="003B085A">
            <w:pPr>
              <w:jc w:val="right"/>
              <w:rPr>
                <w:b/>
                <w:bCs/>
                <w:color w:val="0070C0"/>
                <w:sz w:val="18"/>
                <w:szCs w:val="18"/>
              </w:rPr>
            </w:pPr>
            <w:r>
              <w:rPr>
                <w:b/>
                <w:bCs/>
                <w:color w:val="000000"/>
                <w:sz w:val="18"/>
                <w:szCs w:val="18"/>
              </w:rPr>
              <w:t>0,1</w:t>
            </w:r>
          </w:p>
        </w:tc>
        <w:tc>
          <w:tcPr>
            <w:tcW w:w="567" w:type="dxa"/>
            <w:tcBorders>
              <w:top w:val="nil"/>
              <w:left w:val="nil"/>
              <w:bottom w:val="nil"/>
              <w:right w:val="single" w:sz="4" w:space="0" w:color="800000"/>
            </w:tcBorders>
            <w:shd w:val="clear" w:color="auto" w:fill="FFFFCC"/>
            <w:noWrap/>
            <w:vAlign w:val="bottom"/>
            <w:hideMark/>
          </w:tcPr>
          <w:p w14:paraId="427DA96D" w14:textId="77777777" w:rsidR="0085540F" w:rsidRPr="007B48E9" w:rsidRDefault="0085540F" w:rsidP="003B085A">
            <w:pPr>
              <w:jc w:val="right"/>
              <w:rPr>
                <w:b/>
                <w:bCs/>
                <w:color w:val="0070C0"/>
                <w:sz w:val="18"/>
                <w:szCs w:val="18"/>
              </w:rPr>
            </w:pPr>
            <w:r>
              <w:rPr>
                <w:b/>
                <w:bCs/>
                <w:color w:val="000000"/>
                <w:sz w:val="18"/>
                <w:szCs w:val="18"/>
              </w:rPr>
              <w:t>0,001</w:t>
            </w:r>
          </w:p>
        </w:tc>
        <w:tc>
          <w:tcPr>
            <w:tcW w:w="567" w:type="dxa"/>
            <w:tcBorders>
              <w:top w:val="double" w:sz="6" w:space="0" w:color="800000"/>
              <w:left w:val="nil"/>
              <w:bottom w:val="nil"/>
              <w:right w:val="outset" w:sz="6" w:space="0" w:color="auto"/>
            </w:tcBorders>
            <w:shd w:val="clear" w:color="auto" w:fill="FFFFCC"/>
            <w:vAlign w:val="bottom"/>
          </w:tcPr>
          <w:p w14:paraId="69D9A43F" w14:textId="77777777" w:rsidR="0085540F" w:rsidRPr="007B48E9" w:rsidRDefault="0085540F" w:rsidP="003B085A">
            <w:pPr>
              <w:jc w:val="right"/>
              <w:rPr>
                <w:b/>
                <w:bCs/>
                <w:color w:val="0070C0"/>
                <w:sz w:val="18"/>
                <w:szCs w:val="18"/>
              </w:rPr>
            </w:pPr>
            <w:r>
              <w:rPr>
                <w:b/>
                <w:bCs/>
                <w:color w:val="000000"/>
                <w:sz w:val="18"/>
                <w:szCs w:val="18"/>
              </w:rPr>
              <w:t>0,02</w:t>
            </w:r>
          </w:p>
        </w:tc>
        <w:tc>
          <w:tcPr>
            <w:tcW w:w="708" w:type="dxa"/>
            <w:tcBorders>
              <w:top w:val="double" w:sz="6" w:space="0" w:color="800000"/>
              <w:left w:val="nil"/>
              <w:bottom w:val="nil"/>
              <w:right w:val="outset" w:sz="6" w:space="0" w:color="auto"/>
            </w:tcBorders>
            <w:shd w:val="clear" w:color="auto" w:fill="FFFFCC"/>
            <w:noWrap/>
            <w:vAlign w:val="bottom"/>
            <w:hideMark/>
          </w:tcPr>
          <w:p w14:paraId="67DA0FBD" w14:textId="77777777" w:rsidR="0085540F" w:rsidRPr="007B48E9" w:rsidRDefault="0085540F" w:rsidP="003B085A">
            <w:pPr>
              <w:jc w:val="right"/>
              <w:rPr>
                <w:b/>
                <w:bCs/>
                <w:color w:val="0070C0"/>
                <w:sz w:val="18"/>
                <w:szCs w:val="18"/>
              </w:rPr>
            </w:pPr>
            <w:r>
              <w:rPr>
                <w:b/>
                <w:bCs/>
                <w:color w:val="000000"/>
                <w:sz w:val="18"/>
                <w:szCs w:val="18"/>
              </w:rPr>
              <w:t>0,002</w:t>
            </w:r>
          </w:p>
        </w:tc>
        <w:tc>
          <w:tcPr>
            <w:tcW w:w="851" w:type="dxa"/>
            <w:tcBorders>
              <w:top w:val="nil"/>
              <w:left w:val="outset" w:sz="6" w:space="0" w:color="auto"/>
              <w:bottom w:val="nil"/>
              <w:right w:val="outset" w:sz="6" w:space="0" w:color="auto"/>
            </w:tcBorders>
            <w:shd w:val="clear" w:color="auto" w:fill="FFFFCC"/>
            <w:vAlign w:val="bottom"/>
          </w:tcPr>
          <w:p w14:paraId="339ABC93" w14:textId="77777777" w:rsidR="0085540F" w:rsidRPr="007B48E9" w:rsidRDefault="0085540F" w:rsidP="003B085A">
            <w:pPr>
              <w:jc w:val="right"/>
              <w:rPr>
                <w:b/>
                <w:bCs/>
                <w:color w:val="0070C0"/>
                <w:sz w:val="18"/>
                <w:szCs w:val="18"/>
              </w:rPr>
            </w:pPr>
            <w:r>
              <w:rPr>
                <w:b/>
                <w:bCs/>
                <w:color w:val="000000"/>
                <w:sz w:val="18"/>
                <w:szCs w:val="18"/>
              </w:rPr>
              <w:t>35,4</w:t>
            </w:r>
          </w:p>
        </w:tc>
        <w:tc>
          <w:tcPr>
            <w:tcW w:w="758" w:type="dxa"/>
            <w:tcBorders>
              <w:top w:val="nil"/>
              <w:left w:val="outset" w:sz="6" w:space="0" w:color="auto"/>
              <w:bottom w:val="nil"/>
              <w:right w:val="double" w:sz="6" w:space="0" w:color="800000"/>
            </w:tcBorders>
            <w:shd w:val="clear" w:color="auto" w:fill="FFFFCC"/>
            <w:vAlign w:val="bottom"/>
          </w:tcPr>
          <w:p w14:paraId="524110FE" w14:textId="77777777" w:rsidR="0085540F" w:rsidRPr="007B48E9" w:rsidRDefault="0085540F" w:rsidP="003B085A">
            <w:pPr>
              <w:jc w:val="right"/>
              <w:rPr>
                <w:b/>
                <w:bCs/>
                <w:color w:val="0070C0"/>
                <w:sz w:val="18"/>
                <w:szCs w:val="18"/>
              </w:rPr>
            </w:pPr>
            <w:r>
              <w:rPr>
                <w:b/>
                <w:bCs/>
                <w:color w:val="000000"/>
                <w:sz w:val="18"/>
                <w:szCs w:val="18"/>
              </w:rPr>
              <w:t>0,007</w:t>
            </w:r>
          </w:p>
        </w:tc>
      </w:tr>
      <w:tr w:rsidR="0085540F" w:rsidRPr="007B48E9" w14:paraId="01A10EDE" w14:textId="77777777" w:rsidTr="0085540F">
        <w:trPr>
          <w:trHeight w:val="274"/>
        </w:trPr>
        <w:tc>
          <w:tcPr>
            <w:tcW w:w="2198" w:type="dxa"/>
            <w:tcBorders>
              <w:top w:val="nil"/>
              <w:left w:val="double" w:sz="6" w:space="0" w:color="800000"/>
              <w:bottom w:val="nil"/>
              <w:right w:val="single" w:sz="4" w:space="0" w:color="800000"/>
            </w:tcBorders>
            <w:shd w:val="clear" w:color="auto" w:fill="FFFFCC"/>
            <w:noWrap/>
            <w:vAlign w:val="bottom"/>
            <w:hideMark/>
          </w:tcPr>
          <w:p w14:paraId="1AF7E7C7" w14:textId="77777777" w:rsidR="0085540F" w:rsidRPr="00337541" w:rsidRDefault="0085540F" w:rsidP="003B085A">
            <w:pPr>
              <w:rPr>
                <w:sz w:val="18"/>
                <w:szCs w:val="18"/>
              </w:rPr>
            </w:pPr>
            <w:r w:rsidRPr="00337541">
              <w:rPr>
                <w:sz w:val="18"/>
                <w:szCs w:val="18"/>
              </w:rPr>
              <w:t>Лихвени разходи</w:t>
            </w:r>
          </w:p>
        </w:tc>
        <w:tc>
          <w:tcPr>
            <w:tcW w:w="660" w:type="dxa"/>
            <w:tcBorders>
              <w:top w:val="nil"/>
              <w:left w:val="single" w:sz="4" w:space="0" w:color="800000"/>
              <w:bottom w:val="nil"/>
              <w:right w:val="single" w:sz="4" w:space="0" w:color="800000"/>
            </w:tcBorders>
            <w:shd w:val="clear" w:color="auto" w:fill="FFFFCC"/>
            <w:noWrap/>
            <w:vAlign w:val="bottom"/>
            <w:hideMark/>
          </w:tcPr>
          <w:p w14:paraId="3383715F" w14:textId="77777777" w:rsidR="0085540F" w:rsidRPr="007B48E9" w:rsidRDefault="0085540F" w:rsidP="003B085A">
            <w:pPr>
              <w:jc w:val="right"/>
              <w:rPr>
                <w:color w:val="0070C0"/>
                <w:sz w:val="18"/>
                <w:szCs w:val="18"/>
              </w:rPr>
            </w:pPr>
            <w:r>
              <w:rPr>
                <w:color w:val="000000"/>
                <w:sz w:val="18"/>
                <w:szCs w:val="18"/>
              </w:rPr>
              <w:t>651,8</w:t>
            </w:r>
          </w:p>
        </w:tc>
        <w:tc>
          <w:tcPr>
            <w:tcW w:w="709" w:type="dxa"/>
            <w:tcBorders>
              <w:top w:val="nil"/>
              <w:left w:val="nil"/>
              <w:bottom w:val="nil"/>
              <w:right w:val="single" w:sz="4" w:space="0" w:color="800000"/>
            </w:tcBorders>
            <w:shd w:val="clear" w:color="auto" w:fill="FFFFCC"/>
            <w:noWrap/>
            <w:vAlign w:val="bottom"/>
            <w:hideMark/>
          </w:tcPr>
          <w:p w14:paraId="54A10634" w14:textId="77777777" w:rsidR="0085540F" w:rsidRPr="007B48E9" w:rsidRDefault="0085540F" w:rsidP="003B085A">
            <w:pPr>
              <w:jc w:val="right"/>
              <w:rPr>
                <w:color w:val="0070C0"/>
                <w:sz w:val="18"/>
                <w:szCs w:val="18"/>
              </w:rPr>
            </w:pPr>
            <w:r>
              <w:rPr>
                <w:color w:val="000000"/>
                <w:sz w:val="18"/>
                <w:szCs w:val="18"/>
              </w:rPr>
              <w:t>611,6</w:t>
            </w:r>
          </w:p>
        </w:tc>
        <w:tc>
          <w:tcPr>
            <w:tcW w:w="851" w:type="dxa"/>
            <w:tcBorders>
              <w:top w:val="nil"/>
              <w:left w:val="nil"/>
              <w:bottom w:val="nil"/>
              <w:right w:val="single" w:sz="4" w:space="0" w:color="800000"/>
            </w:tcBorders>
            <w:shd w:val="clear" w:color="auto" w:fill="FFFFCC"/>
            <w:noWrap/>
            <w:vAlign w:val="bottom"/>
            <w:hideMark/>
          </w:tcPr>
          <w:p w14:paraId="4077D7AD" w14:textId="77777777" w:rsidR="0085540F" w:rsidRPr="007B48E9" w:rsidRDefault="0085540F" w:rsidP="003B085A">
            <w:pPr>
              <w:jc w:val="right"/>
              <w:rPr>
                <w:color w:val="0070C0"/>
                <w:sz w:val="18"/>
                <w:szCs w:val="18"/>
              </w:rPr>
            </w:pPr>
            <w:r>
              <w:rPr>
                <w:color w:val="000000"/>
                <w:sz w:val="18"/>
                <w:szCs w:val="18"/>
              </w:rPr>
              <w:t>4,7</w:t>
            </w:r>
          </w:p>
        </w:tc>
        <w:tc>
          <w:tcPr>
            <w:tcW w:w="567" w:type="dxa"/>
            <w:tcBorders>
              <w:top w:val="nil"/>
              <w:left w:val="nil"/>
              <w:bottom w:val="nil"/>
              <w:right w:val="single" w:sz="4" w:space="0" w:color="800000"/>
            </w:tcBorders>
            <w:shd w:val="clear" w:color="auto" w:fill="FFFFCC"/>
            <w:noWrap/>
            <w:vAlign w:val="bottom"/>
            <w:hideMark/>
          </w:tcPr>
          <w:p w14:paraId="5099D912" w14:textId="77777777" w:rsidR="0085540F" w:rsidRPr="007B48E9" w:rsidRDefault="0085540F" w:rsidP="003B085A">
            <w:pPr>
              <w:jc w:val="right"/>
              <w:rPr>
                <w:color w:val="0070C0"/>
                <w:sz w:val="18"/>
                <w:szCs w:val="18"/>
              </w:rPr>
            </w:pPr>
            <w:r>
              <w:rPr>
                <w:color w:val="000000"/>
                <w:sz w:val="18"/>
                <w:szCs w:val="18"/>
              </w:rPr>
              <w:t>0,1</w:t>
            </w:r>
          </w:p>
        </w:tc>
        <w:tc>
          <w:tcPr>
            <w:tcW w:w="567" w:type="dxa"/>
            <w:tcBorders>
              <w:top w:val="nil"/>
              <w:left w:val="nil"/>
              <w:bottom w:val="nil"/>
              <w:right w:val="single" w:sz="4" w:space="0" w:color="800000"/>
            </w:tcBorders>
            <w:shd w:val="clear" w:color="auto" w:fill="FFFFCC"/>
            <w:noWrap/>
            <w:vAlign w:val="bottom"/>
            <w:hideMark/>
          </w:tcPr>
          <w:p w14:paraId="39295D7C" w14:textId="77777777" w:rsidR="0085540F" w:rsidRPr="007B48E9" w:rsidRDefault="0085540F" w:rsidP="003B085A">
            <w:pPr>
              <w:jc w:val="right"/>
              <w:rPr>
                <w:color w:val="0070C0"/>
                <w:sz w:val="18"/>
                <w:szCs w:val="18"/>
              </w:rPr>
            </w:pPr>
            <w:r>
              <w:rPr>
                <w:color w:val="000000"/>
                <w:sz w:val="18"/>
                <w:szCs w:val="18"/>
              </w:rPr>
              <w:t>0,001</w:t>
            </w:r>
          </w:p>
        </w:tc>
        <w:tc>
          <w:tcPr>
            <w:tcW w:w="567" w:type="dxa"/>
            <w:tcBorders>
              <w:top w:val="nil"/>
              <w:left w:val="nil"/>
              <w:bottom w:val="nil"/>
              <w:right w:val="outset" w:sz="6" w:space="0" w:color="auto"/>
            </w:tcBorders>
            <w:shd w:val="clear" w:color="auto" w:fill="FFFFCC"/>
            <w:vAlign w:val="bottom"/>
          </w:tcPr>
          <w:p w14:paraId="02F41EA4" w14:textId="77777777" w:rsidR="0085540F" w:rsidRPr="007B48E9" w:rsidRDefault="0085540F" w:rsidP="003B085A">
            <w:pPr>
              <w:jc w:val="right"/>
              <w:rPr>
                <w:color w:val="0070C0"/>
                <w:sz w:val="18"/>
                <w:szCs w:val="18"/>
              </w:rPr>
            </w:pPr>
            <w:r>
              <w:rPr>
                <w:color w:val="000000"/>
                <w:sz w:val="18"/>
                <w:szCs w:val="18"/>
              </w:rPr>
              <w:t>0,02</w:t>
            </w:r>
          </w:p>
        </w:tc>
        <w:tc>
          <w:tcPr>
            <w:tcW w:w="708" w:type="dxa"/>
            <w:tcBorders>
              <w:top w:val="nil"/>
              <w:left w:val="nil"/>
              <w:bottom w:val="nil"/>
              <w:right w:val="outset" w:sz="6" w:space="0" w:color="auto"/>
            </w:tcBorders>
            <w:shd w:val="clear" w:color="auto" w:fill="FFFFCC"/>
            <w:noWrap/>
            <w:vAlign w:val="bottom"/>
            <w:hideMark/>
          </w:tcPr>
          <w:p w14:paraId="6B829FF3" w14:textId="77777777" w:rsidR="0085540F" w:rsidRPr="007B48E9" w:rsidRDefault="0085540F" w:rsidP="003B085A">
            <w:pPr>
              <w:jc w:val="right"/>
              <w:rPr>
                <w:color w:val="0070C0"/>
                <w:sz w:val="18"/>
                <w:szCs w:val="18"/>
              </w:rPr>
            </w:pPr>
            <w:r>
              <w:rPr>
                <w:color w:val="000000"/>
                <w:sz w:val="18"/>
                <w:szCs w:val="18"/>
              </w:rPr>
              <w:t>0,002</w:t>
            </w:r>
          </w:p>
        </w:tc>
        <w:tc>
          <w:tcPr>
            <w:tcW w:w="851" w:type="dxa"/>
            <w:tcBorders>
              <w:top w:val="nil"/>
              <w:left w:val="outset" w:sz="6" w:space="0" w:color="auto"/>
              <w:bottom w:val="nil"/>
              <w:right w:val="outset" w:sz="6" w:space="0" w:color="auto"/>
            </w:tcBorders>
            <w:shd w:val="clear" w:color="auto" w:fill="FFFFCC"/>
            <w:vAlign w:val="bottom"/>
          </w:tcPr>
          <w:p w14:paraId="0D3F2DB5" w14:textId="77777777" w:rsidR="0085540F" w:rsidRPr="007B48E9" w:rsidRDefault="0085540F" w:rsidP="003B085A">
            <w:pPr>
              <w:jc w:val="right"/>
              <w:rPr>
                <w:color w:val="0070C0"/>
                <w:sz w:val="18"/>
                <w:szCs w:val="18"/>
              </w:rPr>
            </w:pPr>
            <w:r>
              <w:rPr>
                <w:color w:val="000000"/>
                <w:sz w:val="18"/>
                <w:szCs w:val="18"/>
              </w:rPr>
              <w:t>35,4</w:t>
            </w:r>
          </w:p>
        </w:tc>
        <w:tc>
          <w:tcPr>
            <w:tcW w:w="758" w:type="dxa"/>
            <w:tcBorders>
              <w:top w:val="nil"/>
              <w:left w:val="outset" w:sz="6" w:space="0" w:color="auto"/>
              <w:bottom w:val="nil"/>
              <w:right w:val="double" w:sz="6" w:space="0" w:color="800000"/>
            </w:tcBorders>
            <w:shd w:val="clear" w:color="auto" w:fill="FFFFCC"/>
            <w:vAlign w:val="bottom"/>
          </w:tcPr>
          <w:p w14:paraId="4BC9391E" w14:textId="77777777" w:rsidR="0085540F" w:rsidRPr="007B48E9" w:rsidRDefault="0085540F" w:rsidP="003B085A">
            <w:pPr>
              <w:jc w:val="right"/>
              <w:rPr>
                <w:color w:val="0070C0"/>
                <w:sz w:val="18"/>
                <w:szCs w:val="18"/>
              </w:rPr>
            </w:pPr>
            <w:r>
              <w:rPr>
                <w:color w:val="000000"/>
                <w:sz w:val="18"/>
                <w:szCs w:val="18"/>
              </w:rPr>
              <w:t>0,007</w:t>
            </w:r>
          </w:p>
        </w:tc>
      </w:tr>
      <w:tr w:rsidR="0085540F" w:rsidRPr="007B48E9" w14:paraId="6A2798EA" w14:textId="77777777" w:rsidTr="0085540F">
        <w:trPr>
          <w:trHeight w:val="290"/>
        </w:trPr>
        <w:tc>
          <w:tcPr>
            <w:tcW w:w="2198" w:type="dxa"/>
            <w:tcBorders>
              <w:top w:val="nil"/>
              <w:left w:val="double" w:sz="6" w:space="0" w:color="800000"/>
              <w:bottom w:val="double" w:sz="6" w:space="0" w:color="800000"/>
              <w:right w:val="single" w:sz="4" w:space="0" w:color="800000"/>
            </w:tcBorders>
            <w:shd w:val="clear" w:color="auto" w:fill="FFFFCC"/>
            <w:noWrap/>
            <w:vAlign w:val="bottom"/>
            <w:hideMark/>
          </w:tcPr>
          <w:p w14:paraId="1AC3FB65" w14:textId="77777777" w:rsidR="0085540F" w:rsidRPr="007B48E9" w:rsidRDefault="0085540F" w:rsidP="003B085A">
            <w:pPr>
              <w:rPr>
                <w:color w:val="0070C0"/>
                <w:sz w:val="18"/>
                <w:szCs w:val="18"/>
              </w:rPr>
            </w:pPr>
          </w:p>
        </w:tc>
        <w:tc>
          <w:tcPr>
            <w:tcW w:w="660" w:type="dxa"/>
            <w:tcBorders>
              <w:top w:val="nil"/>
              <w:left w:val="single" w:sz="4" w:space="0" w:color="800000"/>
              <w:bottom w:val="double" w:sz="6" w:space="0" w:color="800000"/>
              <w:right w:val="single" w:sz="4" w:space="0" w:color="800000"/>
            </w:tcBorders>
            <w:shd w:val="clear" w:color="auto" w:fill="FFFFCC"/>
            <w:noWrap/>
            <w:vAlign w:val="bottom"/>
            <w:hideMark/>
          </w:tcPr>
          <w:p w14:paraId="6B9013A1" w14:textId="77777777" w:rsidR="0085540F" w:rsidRPr="007B48E9" w:rsidRDefault="0085540F" w:rsidP="003B085A">
            <w:pPr>
              <w:jc w:val="right"/>
              <w:rPr>
                <w:color w:val="0070C0"/>
                <w:sz w:val="18"/>
                <w:szCs w:val="18"/>
              </w:rPr>
            </w:pPr>
          </w:p>
        </w:tc>
        <w:tc>
          <w:tcPr>
            <w:tcW w:w="709" w:type="dxa"/>
            <w:tcBorders>
              <w:top w:val="nil"/>
              <w:left w:val="nil"/>
              <w:bottom w:val="double" w:sz="6" w:space="0" w:color="800000"/>
              <w:right w:val="single" w:sz="4" w:space="0" w:color="800000"/>
            </w:tcBorders>
            <w:shd w:val="clear" w:color="auto" w:fill="FFFFCC"/>
            <w:noWrap/>
            <w:vAlign w:val="bottom"/>
            <w:hideMark/>
          </w:tcPr>
          <w:p w14:paraId="114DE6D6" w14:textId="77777777" w:rsidR="0085540F" w:rsidRPr="007B48E9" w:rsidRDefault="0085540F" w:rsidP="003B085A">
            <w:pPr>
              <w:rPr>
                <w:color w:val="0070C0"/>
                <w:sz w:val="18"/>
                <w:szCs w:val="18"/>
              </w:rPr>
            </w:pPr>
            <w:r w:rsidRPr="007B48E9">
              <w:rPr>
                <w:color w:val="0070C0"/>
                <w:sz w:val="18"/>
                <w:szCs w:val="18"/>
              </w:rPr>
              <w:t> </w:t>
            </w:r>
          </w:p>
        </w:tc>
        <w:tc>
          <w:tcPr>
            <w:tcW w:w="851" w:type="dxa"/>
            <w:tcBorders>
              <w:top w:val="nil"/>
              <w:left w:val="nil"/>
              <w:bottom w:val="double" w:sz="6" w:space="0" w:color="800000"/>
              <w:right w:val="single" w:sz="4" w:space="0" w:color="800000"/>
            </w:tcBorders>
            <w:shd w:val="clear" w:color="auto" w:fill="FFFFCC"/>
            <w:noWrap/>
            <w:vAlign w:val="bottom"/>
            <w:hideMark/>
          </w:tcPr>
          <w:p w14:paraId="749D6BCB" w14:textId="77777777" w:rsidR="0085540F" w:rsidRPr="007B48E9" w:rsidRDefault="0085540F" w:rsidP="003B085A">
            <w:pPr>
              <w:rPr>
                <w:color w:val="0070C0"/>
                <w:sz w:val="18"/>
                <w:szCs w:val="18"/>
              </w:rPr>
            </w:pPr>
            <w:r w:rsidRPr="007B48E9">
              <w:rPr>
                <w:color w:val="0070C0"/>
                <w:sz w:val="18"/>
                <w:szCs w:val="18"/>
              </w:rPr>
              <w:t> </w:t>
            </w:r>
          </w:p>
        </w:tc>
        <w:tc>
          <w:tcPr>
            <w:tcW w:w="567" w:type="dxa"/>
            <w:tcBorders>
              <w:top w:val="nil"/>
              <w:left w:val="nil"/>
              <w:bottom w:val="double" w:sz="6" w:space="0" w:color="800000"/>
              <w:right w:val="single" w:sz="4" w:space="0" w:color="800000"/>
            </w:tcBorders>
            <w:shd w:val="clear" w:color="auto" w:fill="FFFFCC"/>
            <w:noWrap/>
            <w:vAlign w:val="bottom"/>
            <w:hideMark/>
          </w:tcPr>
          <w:p w14:paraId="563D3298" w14:textId="77777777" w:rsidR="0085540F" w:rsidRPr="007B48E9" w:rsidRDefault="0085540F" w:rsidP="003B085A">
            <w:pPr>
              <w:rPr>
                <w:color w:val="0070C0"/>
                <w:sz w:val="18"/>
                <w:szCs w:val="18"/>
              </w:rPr>
            </w:pPr>
            <w:r w:rsidRPr="007B48E9">
              <w:rPr>
                <w:color w:val="0070C0"/>
                <w:sz w:val="18"/>
                <w:szCs w:val="18"/>
              </w:rPr>
              <w:t> </w:t>
            </w:r>
          </w:p>
        </w:tc>
        <w:tc>
          <w:tcPr>
            <w:tcW w:w="567" w:type="dxa"/>
            <w:tcBorders>
              <w:top w:val="nil"/>
              <w:left w:val="nil"/>
              <w:bottom w:val="double" w:sz="6" w:space="0" w:color="800000"/>
              <w:right w:val="single" w:sz="4" w:space="0" w:color="800000"/>
            </w:tcBorders>
            <w:shd w:val="clear" w:color="auto" w:fill="FFFFCC"/>
            <w:noWrap/>
            <w:vAlign w:val="bottom"/>
            <w:hideMark/>
          </w:tcPr>
          <w:p w14:paraId="04CAE822" w14:textId="77777777" w:rsidR="0085540F" w:rsidRPr="007B48E9" w:rsidRDefault="0085540F" w:rsidP="003B085A">
            <w:pPr>
              <w:rPr>
                <w:color w:val="0070C0"/>
                <w:sz w:val="18"/>
                <w:szCs w:val="18"/>
              </w:rPr>
            </w:pPr>
            <w:r w:rsidRPr="007B48E9">
              <w:rPr>
                <w:color w:val="0070C0"/>
                <w:sz w:val="18"/>
                <w:szCs w:val="18"/>
              </w:rPr>
              <w:t> </w:t>
            </w:r>
          </w:p>
        </w:tc>
        <w:tc>
          <w:tcPr>
            <w:tcW w:w="567" w:type="dxa"/>
            <w:tcBorders>
              <w:top w:val="nil"/>
              <w:left w:val="nil"/>
              <w:bottom w:val="double" w:sz="6" w:space="0" w:color="800000"/>
              <w:right w:val="outset" w:sz="6" w:space="0" w:color="auto"/>
            </w:tcBorders>
            <w:shd w:val="clear" w:color="auto" w:fill="FFFFCC"/>
            <w:vAlign w:val="bottom"/>
          </w:tcPr>
          <w:p w14:paraId="77381DF1" w14:textId="77777777" w:rsidR="0085540F" w:rsidRPr="007B48E9" w:rsidRDefault="0085540F" w:rsidP="003B085A">
            <w:pPr>
              <w:rPr>
                <w:color w:val="0070C0"/>
                <w:sz w:val="18"/>
                <w:szCs w:val="18"/>
              </w:rPr>
            </w:pPr>
            <w:r w:rsidRPr="007B48E9">
              <w:rPr>
                <w:color w:val="0070C0"/>
                <w:sz w:val="18"/>
                <w:szCs w:val="18"/>
              </w:rPr>
              <w:t> </w:t>
            </w:r>
          </w:p>
        </w:tc>
        <w:tc>
          <w:tcPr>
            <w:tcW w:w="708" w:type="dxa"/>
            <w:tcBorders>
              <w:top w:val="nil"/>
              <w:left w:val="nil"/>
              <w:bottom w:val="double" w:sz="6" w:space="0" w:color="800000"/>
              <w:right w:val="outset" w:sz="6" w:space="0" w:color="auto"/>
            </w:tcBorders>
            <w:shd w:val="clear" w:color="auto" w:fill="FFFFCC"/>
            <w:noWrap/>
            <w:vAlign w:val="bottom"/>
            <w:hideMark/>
          </w:tcPr>
          <w:p w14:paraId="6DCD79A4" w14:textId="77777777" w:rsidR="0085540F" w:rsidRPr="007B48E9" w:rsidRDefault="0085540F" w:rsidP="003B085A">
            <w:pPr>
              <w:jc w:val="right"/>
              <w:rPr>
                <w:color w:val="0070C0"/>
                <w:sz w:val="18"/>
                <w:szCs w:val="18"/>
              </w:rPr>
            </w:pPr>
          </w:p>
        </w:tc>
        <w:tc>
          <w:tcPr>
            <w:tcW w:w="851" w:type="dxa"/>
            <w:tcBorders>
              <w:top w:val="nil"/>
              <w:left w:val="outset" w:sz="6" w:space="0" w:color="auto"/>
              <w:bottom w:val="double" w:sz="6" w:space="0" w:color="800000"/>
              <w:right w:val="outset" w:sz="6" w:space="0" w:color="auto"/>
            </w:tcBorders>
            <w:shd w:val="clear" w:color="auto" w:fill="FFFFCC"/>
            <w:vAlign w:val="bottom"/>
          </w:tcPr>
          <w:p w14:paraId="7EC069FB" w14:textId="77777777" w:rsidR="0085540F" w:rsidRPr="007B48E9" w:rsidRDefault="0085540F" w:rsidP="003B085A">
            <w:pPr>
              <w:rPr>
                <w:color w:val="0070C0"/>
                <w:sz w:val="18"/>
                <w:szCs w:val="18"/>
              </w:rPr>
            </w:pPr>
          </w:p>
        </w:tc>
        <w:tc>
          <w:tcPr>
            <w:tcW w:w="758" w:type="dxa"/>
            <w:tcBorders>
              <w:top w:val="nil"/>
              <w:left w:val="outset" w:sz="6" w:space="0" w:color="auto"/>
              <w:bottom w:val="double" w:sz="6" w:space="0" w:color="800000"/>
              <w:right w:val="double" w:sz="6" w:space="0" w:color="800000"/>
            </w:tcBorders>
            <w:shd w:val="clear" w:color="auto" w:fill="FFFFCC"/>
            <w:vAlign w:val="bottom"/>
          </w:tcPr>
          <w:p w14:paraId="36AEC77B" w14:textId="77777777" w:rsidR="0085540F" w:rsidRPr="007B48E9" w:rsidRDefault="0085540F" w:rsidP="003B085A">
            <w:pPr>
              <w:rPr>
                <w:color w:val="0070C0"/>
                <w:sz w:val="18"/>
                <w:szCs w:val="18"/>
              </w:rPr>
            </w:pPr>
            <w:r w:rsidRPr="007B48E9">
              <w:rPr>
                <w:color w:val="0070C0"/>
                <w:sz w:val="18"/>
                <w:szCs w:val="18"/>
              </w:rPr>
              <w:t> </w:t>
            </w:r>
          </w:p>
        </w:tc>
      </w:tr>
    </w:tbl>
    <w:p w14:paraId="0C22440B" w14:textId="77777777" w:rsidR="00CC09AC" w:rsidRPr="007B48E9" w:rsidRDefault="00CC09AC" w:rsidP="00CC09AC">
      <w:pPr>
        <w:ind w:firstLine="7740"/>
        <w:jc w:val="both"/>
        <w:rPr>
          <w:b/>
          <w:color w:val="0070C0"/>
          <w:sz w:val="18"/>
          <w:szCs w:val="18"/>
        </w:rPr>
      </w:pPr>
    </w:p>
    <w:p w14:paraId="19991737" w14:textId="77777777" w:rsidR="00CC09AC" w:rsidRPr="007B48E9" w:rsidRDefault="00CC09AC" w:rsidP="00CC09AC">
      <w:pPr>
        <w:tabs>
          <w:tab w:val="left" w:pos="8931"/>
        </w:tabs>
        <w:ind w:firstLine="7740"/>
        <w:jc w:val="both"/>
        <w:rPr>
          <w:b/>
          <w:color w:val="0070C0"/>
          <w:sz w:val="18"/>
          <w:szCs w:val="18"/>
        </w:rPr>
      </w:pPr>
    </w:p>
    <w:p w14:paraId="211C5BD2" w14:textId="77777777" w:rsidR="00CC09AC" w:rsidRPr="007B48E9" w:rsidRDefault="00CC09AC" w:rsidP="00CC09AC">
      <w:pPr>
        <w:ind w:firstLine="540"/>
        <w:jc w:val="both"/>
        <w:rPr>
          <w:color w:val="0070C0"/>
        </w:rPr>
      </w:pPr>
    </w:p>
    <w:p w14:paraId="57FB3BAA" w14:textId="77777777" w:rsidR="00CC09AC" w:rsidRPr="007B48E9" w:rsidRDefault="00CC09AC" w:rsidP="00CC09AC">
      <w:pPr>
        <w:tabs>
          <w:tab w:val="left" w:pos="5812"/>
        </w:tabs>
        <w:ind w:firstLine="709"/>
        <w:jc w:val="both"/>
        <w:rPr>
          <w:color w:val="0070C0"/>
        </w:rPr>
      </w:pPr>
      <w:r w:rsidRPr="00E86203">
        <w:t>В тази функция се отчитат лихвените плащания по вътрешния и външния дълг и други разходи за лихви. Предвидените разходи за лихви през 2022 г. на консолидирано ниво са в размер на 664,3 млн. лв. Отчетените лихвени плащания за годината са в размер на 651,8 млн. лв. или 98,1 % от предвидените в разчетите към ЗДБРБ за 2022 г.</w:t>
      </w:r>
    </w:p>
    <w:p w14:paraId="3486370B" w14:textId="77777777" w:rsidR="00666D9F" w:rsidRPr="007B48E9" w:rsidRDefault="00666D9F" w:rsidP="00F85C67">
      <w:pPr>
        <w:ind w:firstLine="540"/>
        <w:jc w:val="both"/>
        <w:rPr>
          <w:rFonts w:ascii="TimesNewRomanPSMT" w:hAnsi="TimesNewRomanPSMT" w:cs="TimesNewRomanPSMT"/>
          <w:color w:val="0070C0"/>
          <w:sz w:val="6"/>
          <w:szCs w:val="6"/>
        </w:rPr>
      </w:pPr>
      <w:r w:rsidRPr="007B48E9">
        <w:rPr>
          <w:rFonts w:ascii="TimesNewRomanPSMT" w:hAnsi="TimesNewRomanPSMT" w:cs="TimesNewRomanPSMT"/>
          <w:color w:val="0070C0"/>
        </w:rPr>
        <w:br w:type="page"/>
      </w:r>
    </w:p>
    <w:p w14:paraId="1BFA63C2" w14:textId="009B255A" w:rsidR="00666D9F" w:rsidRPr="009C5F03" w:rsidRDefault="00666D9F" w:rsidP="004D74B5">
      <w:pPr>
        <w:pStyle w:val="Heading3"/>
        <w:numPr>
          <w:ilvl w:val="1"/>
          <w:numId w:val="7"/>
        </w:numPr>
        <w:ind w:left="900" w:hanging="540"/>
        <w:rPr>
          <w:rFonts w:ascii="Times New Roman" w:hAnsi="Times New Roman"/>
          <w:sz w:val="24"/>
          <w:lang w:val="bg-BG"/>
        </w:rPr>
      </w:pPr>
      <w:bookmarkStart w:id="376" w:name="_Toc146037918"/>
      <w:r w:rsidRPr="009C5F03">
        <w:rPr>
          <w:rFonts w:ascii="Times New Roman" w:hAnsi="Times New Roman"/>
          <w:sz w:val="24"/>
          <w:lang w:val="bg-BG"/>
        </w:rPr>
        <w:t>Изпълнение на показателите в частта на финансирането по консолидираната фискална програма за 20</w:t>
      </w:r>
      <w:r w:rsidR="00693366" w:rsidRPr="009C5F03">
        <w:rPr>
          <w:rFonts w:ascii="Times New Roman" w:hAnsi="Times New Roman"/>
          <w:sz w:val="24"/>
          <w:lang w:val="bg-BG"/>
        </w:rPr>
        <w:t>2</w:t>
      </w:r>
      <w:r w:rsidR="009C5F03" w:rsidRPr="004D5FFC">
        <w:rPr>
          <w:rFonts w:ascii="Times New Roman" w:hAnsi="Times New Roman"/>
          <w:sz w:val="24"/>
          <w:lang w:val="ru-RU"/>
        </w:rPr>
        <w:t>2</w:t>
      </w:r>
      <w:r w:rsidRPr="009C5F03">
        <w:rPr>
          <w:rFonts w:ascii="Times New Roman" w:hAnsi="Times New Roman"/>
          <w:sz w:val="24"/>
          <w:lang w:val="bg-BG"/>
        </w:rPr>
        <w:t xml:space="preserve"> г.</w:t>
      </w:r>
      <w:bookmarkEnd w:id="290"/>
      <w:bookmarkEnd w:id="291"/>
      <w:bookmarkEnd w:id="292"/>
      <w:bookmarkEnd w:id="293"/>
      <w:bookmarkEnd w:id="294"/>
      <w:bookmarkEnd w:id="376"/>
    </w:p>
    <w:p w14:paraId="6FD1DD3E" w14:textId="77777777" w:rsidR="00666D9F" w:rsidRPr="007B48E9" w:rsidRDefault="00666D9F" w:rsidP="00BC2635">
      <w:pPr>
        <w:pStyle w:val="Header"/>
        <w:tabs>
          <w:tab w:val="clear" w:pos="4153"/>
          <w:tab w:val="clear" w:pos="8306"/>
          <w:tab w:val="left" w:pos="720"/>
          <w:tab w:val="left" w:pos="969"/>
        </w:tabs>
        <w:ind w:right="57" w:firstLine="540"/>
        <w:jc w:val="both"/>
        <w:rPr>
          <w:color w:val="0070C0"/>
          <w:sz w:val="4"/>
          <w:szCs w:val="4"/>
        </w:rPr>
      </w:pPr>
    </w:p>
    <w:p w14:paraId="23203B61" w14:textId="77777777" w:rsidR="001B2792" w:rsidRPr="00B04931" w:rsidRDefault="001B2792" w:rsidP="001B2792">
      <w:pPr>
        <w:pStyle w:val="Heading3"/>
        <w:numPr>
          <w:ilvl w:val="2"/>
          <w:numId w:val="7"/>
        </w:numPr>
        <w:rPr>
          <w:rFonts w:ascii="Times New Roman" w:hAnsi="Times New Roman"/>
          <w:sz w:val="24"/>
          <w:lang w:val="bg-BG"/>
        </w:rPr>
      </w:pPr>
      <w:bookmarkStart w:id="377" w:name="_Toc261276596"/>
      <w:bookmarkStart w:id="378" w:name="_Toc324863432"/>
      <w:bookmarkStart w:id="379" w:name="_Toc462146132"/>
      <w:bookmarkStart w:id="380" w:name="_Toc18316964"/>
      <w:bookmarkStart w:id="381" w:name="_Toc106208179"/>
      <w:bookmarkStart w:id="382" w:name="_Toc137034002"/>
      <w:bookmarkStart w:id="383" w:name="_Toc202754021"/>
      <w:bookmarkStart w:id="384" w:name="_Toc230007082"/>
      <w:bookmarkStart w:id="385" w:name="_Toc324863436"/>
      <w:bookmarkStart w:id="386" w:name="_Toc326315928"/>
      <w:bookmarkStart w:id="387" w:name="_Toc357527113"/>
      <w:bookmarkStart w:id="388" w:name="_Toc462146135"/>
      <w:bookmarkStart w:id="389" w:name="_Toc515375467"/>
      <w:bookmarkStart w:id="390" w:name="_Toc51339846"/>
      <w:bookmarkStart w:id="391" w:name="_Toc146037919"/>
      <w:r w:rsidRPr="00B04931">
        <w:rPr>
          <w:rFonts w:ascii="Times New Roman" w:hAnsi="Times New Roman"/>
          <w:sz w:val="24"/>
          <w:lang w:val="bg-BG"/>
        </w:rPr>
        <w:t>Външно финансиране</w:t>
      </w:r>
      <w:bookmarkEnd w:id="377"/>
      <w:bookmarkEnd w:id="378"/>
      <w:bookmarkEnd w:id="379"/>
      <w:bookmarkEnd w:id="380"/>
      <w:bookmarkEnd w:id="381"/>
      <w:bookmarkEnd w:id="382"/>
      <w:bookmarkEnd w:id="391"/>
    </w:p>
    <w:p w14:paraId="2692BD79" w14:textId="77777777" w:rsidR="001B2792" w:rsidRPr="00CD354B" w:rsidRDefault="001B2792" w:rsidP="001B2792">
      <w:pPr>
        <w:spacing w:after="120"/>
        <w:ind w:firstLine="709"/>
        <w:jc w:val="both"/>
        <w:rPr>
          <w:lang w:eastAsia="en-US"/>
        </w:rPr>
      </w:pPr>
      <w:bookmarkStart w:id="392" w:name="_Toc230007079"/>
      <w:bookmarkStart w:id="393" w:name="_Toc324863433"/>
      <w:bookmarkStart w:id="394" w:name="_Toc357527110"/>
      <w:bookmarkStart w:id="395" w:name="_Toc393728084"/>
      <w:bookmarkEnd w:id="383"/>
      <w:bookmarkEnd w:id="384"/>
      <w:bookmarkEnd w:id="385"/>
      <w:bookmarkEnd w:id="386"/>
      <w:bookmarkEnd w:id="387"/>
      <w:bookmarkEnd w:id="388"/>
      <w:bookmarkEnd w:id="389"/>
      <w:r w:rsidRPr="00B04931">
        <w:rPr>
          <w:lang w:eastAsia="en-US"/>
        </w:rPr>
        <w:t>Нетният размер на външното финансиране по КФП за 202</w:t>
      </w:r>
      <w:r w:rsidRPr="004D5FFC">
        <w:rPr>
          <w:lang w:val="ru-RU" w:eastAsia="en-US"/>
        </w:rPr>
        <w:t>2</w:t>
      </w:r>
      <w:r w:rsidRPr="00B04931">
        <w:rPr>
          <w:lang w:eastAsia="en-US"/>
        </w:rPr>
        <w:t xml:space="preserve"> г. възлиза на </w:t>
      </w:r>
      <w:r w:rsidRPr="004D5FFC">
        <w:rPr>
          <w:lang w:val="ru-RU" w:eastAsia="en-US"/>
        </w:rPr>
        <w:t>2</w:t>
      </w:r>
      <w:r w:rsidRPr="00B04931">
        <w:rPr>
          <w:lang w:val="en-US" w:eastAsia="en-US"/>
        </w:rPr>
        <w:t> </w:t>
      </w:r>
      <w:r w:rsidRPr="004D5FFC">
        <w:rPr>
          <w:lang w:val="ru-RU"/>
        </w:rPr>
        <w:t>529</w:t>
      </w:r>
      <w:r w:rsidRPr="00B04931">
        <w:rPr>
          <w:lang w:eastAsia="en-US"/>
        </w:rPr>
        <w:t>,</w:t>
      </w:r>
      <w:r w:rsidRPr="004D5FFC">
        <w:rPr>
          <w:lang w:val="ru-RU" w:eastAsia="en-US"/>
        </w:rPr>
        <w:t>7</w:t>
      </w:r>
      <w:r w:rsidRPr="00B04931">
        <w:rPr>
          <w:lang w:eastAsia="en-US"/>
        </w:rPr>
        <w:t> млн. лв. при предвидено в ЗДБРБ за 202</w:t>
      </w:r>
      <w:r w:rsidRPr="004D5FFC">
        <w:rPr>
          <w:lang w:val="ru-RU" w:eastAsia="en-US"/>
        </w:rPr>
        <w:t>2</w:t>
      </w:r>
      <w:r w:rsidRPr="00B04931">
        <w:rPr>
          <w:lang w:eastAsia="en-US"/>
        </w:rPr>
        <w:t xml:space="preserve"> г. нетно външно финансиране в размер на </w:t>
      </w:r>
      <w:r w:rsidRPr="004D5FFC">
        <w:rPr>
          <w:lang w:val="ru-RU" w:eastAsia="en-US"/>
        </w:rPr>
        <w:t>4</w:t>
      </w:r>
      <w:r w:rsidRPr="00CD354B">
        <w:rPr>
          <w:lang w:val="en-US" w:eastAsia="en-US"/>
        </w:rPr>
        <w:t> </w:t>
      </w:r>
      <w:r w:rsidRPr="004D5FFC">
        <w:rPr>
          <w:lang w:val="ru-RU" w:eastAsia="en-US"/>
        </w:rPr>
        <w:t>378</w:t>
      </w:r>
      <w:r w:rsidRPr="00CD354B">
        <w:rPr>
          <w:lang w:eastAsia="en-US"/>
        </w:rPr>
        <w:t>,</w:t>
      </w:r>
      <w:r w:rsidRPr="004D5FFC">
        <w:rPr>
          <w:lang w:val="ru-RU" w:eastAsia="en-US"/>
        </w:rPr>
        <w:t>0</w:t>
      </w:r>
      <w:r w:rsidRPr="00CD354B">
        <w:rPr>
          <w:lang w:eastAsia="en-US"/>
        </w:rPr>
        <w:t xml:space="preserve"> млн. лева. </w:t>
      </w:r>
    </w:p>
    <w:p w14:paraId="667B9E80" w14:textId="77777777" w:rsidR="001B2792" w:rsidRPr="00CD354B" w:rsidRDefault="001B2792" w:rsidP="001B2792">
      <w:pPr>
        <w:keepNext/>
        <w:spacing w:after="120"/>
        <w:ind w:firstLine="709"/>
        <w:jc w:val="both"/>
        <w:outlineLvl w:val="3"/>
        <w:rPr>
          <w:b/>
          <w:bCs/>
          <w:i/>
        </w:rPr>
      </w:pPr>
      <w:r w:rsidRPr="00CD354B">
        <w:rPr>
          <w:b/>
          <w:bCs/>
          <w:i/>
        </w:rPr>
        <w:t>Операции с  ДЦК, емитирани на международните капиталови пазари (МКП)</w:t>
      </w:r>
    </w:p>
    <w:p w14:paraId="2F7C82A5" w14:textId="0631F73A" w:rsidR="001B2792" w:rsidRDefault="001B2792" w:rsidP="00AC00AF">
      <w:pPr>
        <w:keepNext/>
        <w:ind w:firstLine="709"/>
        <w:jc w:val="both"/>
        <w:outlineLvl w:val="3"/>
        <w:rPr>
          <w:bCs/>
        </w:rPr>
      </w:pPr>
      <w:r w:rsidRPr="0026113A">
        <w:rPr>
          <w:bCs/>
        </w:rPr>
        <w:t>Постъпленията от емисии на облигации, деноминирани в евро, на МКП през годината  възлизат на 4 336,2 млн. лв. На 23.09.2022 г. са емитирани еврооблигации в общ размер на 2 250,0 млн. евро номинална стойност, разпределени в два транша: първият транш е със срочност 7 г., обем от 1 500 млн. евро</w:t>
      </w:r>
      <w:r w:rsidR="00EB5356">
        <w:rPr>
          <w:bCs/>
        </w:rPr>
        <w:t xml:space="preserve"> и лихвен купон от 4,125 %, а</w:t>
      </w:r>
      <w:r w:rsidRPr="0026113A">
        <w:rPr>
          <w:bCs/>
        </w:rPr>
        <w:t xml:space="preserve"> вторият транш е със срочност 12 г., обем от 750 млн. евро и лихвен купон в размер на 4,625 %. </w:t>
      </w:r>
    </w:p>
    <w:p w14:paraId="56ACCE3B" w14:textId="77777777" w:rsidR="001B2792" w:rsidRPr="0026113A" w:rsidRDefault="001B2792" w:rsidP="00AC00AF">
      <w:pPr>
        <w:keepNext/>
        <w:ind w:firstLine="709"/>
        <w:jc w:val="both"/>
        <w:outlineLvl w:val="3"/>
        <w:rPr>
          <w:bCs/>
          <w:i/>
        </w:rPr>
      </w:pPr>
      <w:r>
        <w:t>В полза на държателите на седемгодишни еврооблигации на Република България, които са част от емитираните през март 2015 г. на МКП три транша облигации по средносрочната програма за емитиране на дълг на външните пазари, на 28 март 2022 г. са изплатени 2 416,6 млн. лева.</w:t>
      </w:r>
    </w:p>
    <w:p w14:paraId="3E70828D" w14:textId="77777777" w:rsidR="001B2792" w:rsidRPr="00CD354B" w:rsidRDefault="001B2792" w:rsidP="00AC00AF">
      <w:pPr>
        <w:keepNext/>
        <w:spacing w:before="120" w:after="120"/>
        <w:ind w:firstLine="709"/>
        <w:jc w:val="both"/>
        <w:outlineLvl w:val="3"/>
        <w:rPr>
          <w:b/>
          <w:bCs/>
          <w:i/>
        </w:rPr>
      </w:pPr>
      <w:r w:rsidRPr="00CD354B">
        <w:rPr>
          <w:b/>
          <w:bCs/>
          <w:i/>
        </w:rPr>
        <w:t>Усвоявания по външни заеми и държавни инвестиционни заеми (ДИЗ)</w:t>
      </w:r>
    </w:p>
    <w:p w14:paraId="7D4D423F" w14:textId="77777777" w:rsidR="001B2792" w:rsidRPr="00D87177" w:rsidRDefault="001B2792" w:rsidP="00AC00AF">
      <w:pPr>
        <w:ind w:firstLine="709"/>
        <w:jc w:val="both"/>
        <w:rPr>
          <w:lang w:eastAsia="en-US"/>
        </w:rPr>
      </w:pPr>
      <w:r w:rsidRPr="00D87177">
        <w:rPr>
          <w:lang w:eastAsia="en-US"/>
        </w:rPr>
        <w:t>Размерът на усвояванията по външни заеми и ДИЗ по КФП за 2022 г. е 934,9 млн. лева.</w:t>
      </w:r>
    </w:p>
    <w:p w14:paraId="17F361BA" w14:textId="77777777" w:rsidR="001B2792" w:rsidRPr="00D87177" w:rsidRDefault="001B2792" w:rsidP="00AC00AF">
      <w:pPr>
        <w:ind w:firstLine="709"/>
        <w:jc w:val="both"/>
        <w:rPr>
          <w:lang w:eastAsia="en-US"/>
        </w:rPr>
      </w:pPr>
      <w:r w:rsidRPr="00D87177">
        <w:rPr>
          <w:lang w:eastAsia="en-US"/>
        </w:rPr>
        <w:t xml:space="preserve">Усвоените средства по държавни заеми са в размер на 460,0 млн. евро (899,7 млн. лв.) по Споразумение за заем между Европейския съюз и Република България за временна подкрепа с цел смекчаване на рисковете от безработица при извънредни обстоятелства (SURE) вследствие на COVID-19, постъпили по централен бюджет през </w:t>
      </w:r>
      <w:r>
        <w:rPr>
          <w:lang w:eastAsia="en-US"/>
        </w:rPr>
        <w:t xml:space="preserve">месец </w:t>
      </w:r>
      <w:r w:rsidRPr="00D87177">
        <w:rPr>
          <w:lang w:eastAsia="en-US"/>
        </w:rPr>
        <w:t>декември.</w:t>
      </w:r>
    </w:p>
    <w:p w14:paraId="6EF8D357" w14:textId="77777777" w:rsidR="001B2792" w:rsidRPr="00D87177" w:rsidRDefault="001B2792" w:rsidP="00AC00AF">
      <w:pPr>
        <w:ind w:firstLine="709"/>
        <w:jc w:val="both"/>
        <w:rPr>
          <w:lang w:eastAsia="en-US"/>
        </w:rPr>
      </w:pPr>
      <w:r w:rsidRPr="00D87177">
        <w:rPr>
          <w:lang w:eastAsia="en-US"/>
        </w:rPr>
        <w:t>По ДИЗ, управлявани от министерства и ведомства и ДИЗ с краен бенефициент –търговско дружество за отчетния период няма усвоени средства.</w:t>
      </w:r>
    </w:p>
    <w:p w14:paraId="5AD0A857" w14:textId="0BFEDD1E" w:rsidR="001B2792" w:rsidRPr="00D87177" w:rsidRDefault="001B2792" w:rsidP="00AC00AF">
      <w:pPr>
        <w:ind w:firstLine="709"/>
        <w:jc w:val="both"/>
      </w:pPr>
      <w:r w:rsidRPr="00D87177">
        <w:rPr>
          <w:lang w:eastAsia="en-US"/>
        </w:rPr>
        <w:t>По бюджетите на общините усвоените външни заеми са в размер на 35,2 млн. лв.</w:t>
      </w:r>
      <w:r w:rsidRPr="00D87177">
        <w:t xml:space="preserve"> </w:t>
      </w:r>
      <w:r w:rsidRPr="00D87177">
        <w:rPr>
          <w:lang w:eastAsia="en-US"/>
        </w:rPr>
        <w:t>и</w:t>
      </w:r>
      <w:r w:rsidRPr="00D87177">
        <w:rPr>
          <w:color w:val="0070C0"/>
          <w:lang w:eastAsia="en-US"/>
        </w:rPr>
        <w:t xml:space="preserve"> </w:t>
      </w:r>
      <w:r w:rsidRPr="00D87177">
        <w:rPr>
          <w:lang w:eastAsia="en-US"/>
        </w:rPr>
        <w:t xml:space="preserve">са отчетени от Столична община по договор с чуждестранен кредитор (за финансиране на проект Изграждане и реконструкция на основни пътни артерии в град </w:t>
      </w:r>
      <w:r w:rsidR="00EB5356">
        <w:rPr>
          <w:lang w:eastAsia="en-US"/>
        </w:rPr>
        <w:t>София)</w:t>
      </w:r>
      <w:r w:rsidRPr="00D87177">
        <w:rPr>
          <w:lang w:eastAsia="en-US"/>
        </w:rPr>
        <w:t>.</w:t>
      </w:r>
      <w:r w:rsidRPr="00D87177">
        <w:t xml:space="preserve"> </w:t>
      </w:r>
    </w:p>
    <w:p w14:paraId="11D6F5A3" w14:textId="77777777" w:rsidR="001B2792" w:rsidRPr="00D87177" w:rsidRDefault="001B2792" w:rsidP="00AC00AF">
      <w:pPr>
        <w:keepNext/>
        <w:spacing w:before="240" w:after="120"/>
        <w:ind w:firstLine="709"/>
        <w:outlineLvl w:val="3"/>
        <w:rPr>
          <w:b/>
          <w:bCs/>
          <w:i/>
        </w:rPr>
      </w:pPr>
      <w:r w:rsidRPr="00D87177">
        <w:rPr>
          <w:b/>
          <w:bCs/>
          <w:i/>
        </w:rPr>
        <w:t xml:space="preserve">Погашения по външни заеми </w:t>
      </w:r>
    </w:p>
    <w:p w14:paraId="7CDCD482" w14:textId="77777777" w:rsidR="001B2792" w:rsidRPr="007A5279" w:rsidRDefault="001B2792" w:rsidP="001B2792">
      <w:pPr>
        <w:ind w:firstLine="709"/>
        <w:jc w:val="both"/>
        <w:rPr>
          <w:lang w:eastAsia="en-US"/>
        </w:rPr>
      </w:pPr>
      <w:r w:rsidRPr="007A5279">
        <w:rPr>
          <w:lang w:eastAsia="en-US"/>
        </w:rPr>
        <w:t>През 2022 г. размерът на погашенията по външни заеми е 316,2 млн. лв. Извършените погашения са, както следва:</w:t>
      </w:r>
    </w:p>
    <w:p w14:paraId="3ED1807A" w14:textId="2FF8601A" w:rsidR="001B2792" w:rsidRPr="001D7E40" w:rsidRDefault="001B2792" w:rsidP="001B2792">
      <w:pPr>
        <w:tabs>
          <w:tab w:val="left" w:pos="851"/>
          <w:tab w:val="left" w:pos="1080"/>
          <w:tab w:val="left" w:pos="1134"/>
          <w:tab w:val="left" w:pos="1560"/>
        </w:tabs>
        <w:ind w:right="-102" w:firstLine="709"/>
        <w:jc w:val="both"/>
        <w:rPr>
          <w:lang w:eastAsia="en-US"/>
        </w:rPr>
      </w:pPr>
      <w:r w:rsidRPr="001D7E40">
        <w:rPr>
          <w:lang w:eastAsia="en-US"/>
        </w:rPr>
        <w:t>По външни държавни заеми по централния бюджет, в съответствие с договорените погасителни планове, изплатените погашения за 2022 г. са в размер на 142,8 млн. лв. От тях най-голям е делът на погашенията към МБВР – 68,9 млн. лв., следват плащанията по заеми към ЕИБ – 64,2 млн. лв. и  към БРСЕ –  9,8 млн. лв.</w:t>
      </w:r>
    </w:p>
    <w:p w14:paraId="063AAEE7" w14:textId="58E20E27" w:rsidR="001B2792" w:rsidRPr="001D7E40" w:rsidRDefault="001B2792" w:rsidP="001B2792">
      <w:pPr>
        <w:tabs>
          <w:tab w:val="left" w:pos="851"/>
          <w:tab w:val="left" w:pos="1080"/>
          <w:tab w:val="left" w:pos="1134"/>
          <w:tab w:val="left" w:pos="1560"/>
        </w:tabs>
        <w:ind w:right="-102" w:firstLine="709"/>
        <w:jc w:val="both"/>
        <w:rPr>
          <w:lang w:eastAsia="en-US"/>
        </w:rPr>
      </w:pPr>
      <w:r w:rsidRPr="001D7E40">
        <w:rPr>
          <w:lang w:eastAsia="en-US"/>
        </w:rPr>
        <w:t>По ДИЗ, управлявани от министерствата и ведомствата, през 2022 г.</w:t>
      </w:r>
      <w:r w:rsidRPr="001D7E40">
        <w:t xml:space="preserve"> </w:t>
      </w:r>
      <w:r w:rsidRPr="001D7E40">
        <w:rPr>
          <w:lang w:eastAsia="en-US"/>
        </w:rPr>
        <w:t>съгласно договорените амортизационни схеми, изплате</w:t>
      </w:r>
      <w:r w:rsidR="00EB5356">
        <w:rPr>
          <w:lang w:eastAsia="en-US"/>
        </w:rPr>
        <w:t>ните погашения възлизат на 113,5 млн. лева</w:t>
      </w:r>
      <w:r w:rsidRPr="001D7E40">
        <w:rPr>
          <w:lang w:eastAsia="en-US"/>
        </w:rPr>
        <w:t xml:space="preserve"> </w:t>
      </w:r>
    </w:p>
    <w:p w14:paraId="14547A95" w14:textId="7E1B35F0" w:rsidR="001B2792" w:rsidRPr="001D7E40" w:rsidRDefault="001B2792" w:rsidP="001B2792">
      <w:pPr>
        <w:ind w:firstLine="709"/>
        <w:jc w:val="both"/>
        <w:rPr>
          <w:lang w:eastAsia="en-US"/>
        </w:rPr>
      </w:pPr>
      <w:r w:rsidRPr="001D7E40">
        <w:rPr>
          <w:lang w:eastAsia="en-US"/>
        </w:rPr>
        <w:t>По ДИЗ с краен бенефициент търговско дружество са отчетени по</w:t>
      </w:r>
      <w:r w:rsidR="00EB5356">
        <w:rPr>
          <w:lang w:eastAsia="en-US"/>
        </w:rPr>
        <w:t>гашения в размер на 14,3 млн. лева.</w:t>
      </w:r>
      <w:r w:rsidRPr="001D7E40">
        <w:rPr>
          <w:lang w:eastAsia="en-US"/>
        </w:rPr>
        <w:t xml:space="preserve"> </w:t>
      </w:r>
    </w:p>
    <w:p w14:paraId="07EF757B" w14:textId="77777777" w:rsidR="001B2792" w:rsidRPr="001D7E40" w:rsidRDefault="001B2792" w:rsidP="001B2792">
      <w:pPr>
        <w:tabs>
          <w:tab w:val="left" w:pos="993"/>
          <w:tab w:val="left" w:pos="1134"/>
        </w:tabs>
        <w:ind w:right="-1" w:firstLine="709"/>
        <w:jc w:val="both"/>
      </w:pPr>
      <w:r w:rsidRPr="001D7E40">
        <w:t>През 2022 г. не са използвани средства, предвидени за покриване на риска от активиране на държавни гаранции.</w:t>
      </w:r>
    </w:p>
    <w:p w14:paraId="087AB0E0" w14:textId="77777777" w:rsidR="001B2792" w:rsidRPr="001D7E40" w:rsidRDefault="001B2792" w:rsidP="001B2792">
      <w:pPr>
        <w:tabs>
          <w:tab w:val="left" w:pos="993"/>
          <w:tab w:val="left" w:pos="1134"/>
        </w:tabs>
        <w:ind w:right="-1" w:firstLine="709"/>
        <w:jc w:val="both"/>
        <w:rPr>
          <w:lang w:eastAsia="en-US"/>
        </w:rPr>
      </w:pPr>
      <w:r w:rsidRPr="001D7E40">
        <w:rPr>
          <w:lang w:eastAsia="en-US"/>
        </w:rPr>
        <w:t xml:space="preserve">По бюджетите на общините </w:t>
      </w:r>
      <w:r w:rsidRPr="001D7E40">
        <w:t xml:space="preserve">изплатените главници по външни заеми </w:t>
      </w:r>
      <w:r w:rsidRPr="001D7E40">
        <w:rPr>
          <w:lang w:eastAsia="en-US"/>
        </w:rPr>
        <w:t>са в размер на 45</w:t>
      </w:r>
      <w:r w:rsidRPr="001D7E40">
        <w:rPr>
          <w:lang w:val="ru-RU" w:eastAsia="en-US"/>
        </w:rPr>
        <w:t>,5</w:t>
      </w:r>
      <w:r w:rsidRPr="001D7E40">
        <w:rPr>
          <w:lang w:eastAsia="en-US"/>
        </w:rPr>
        <w:t xml:space="preserve"> млн. лв., като те са извършени от пет общини по сключени от тях през предходни години договори за заеми – Столична община – 36,4  млн. лв., Варна – 3,7 млн. лв., Пловдив - 3,1 млн. лв., Бургас – 2,0 млн. лв.  и Ловеч – 0,3 млн. лв. Най-голям размер на погашенията са отчетени от Столична община, по заеми за финансиране на изграждането и удължаването на метрото, за финансиране на инженерната инфраструктура, за дейности по подобряване на качеството на въздуха, за изграждане на интегрална система за отпадъци, както и за рехабилитация на общински улици в гр. София. </w:t>
      </w:r>
    </w:p>
    <w:p w14:paraId="65E035E6" w14:textId="77777777" w:rsidR="001B2792" w:rsidRPr="001D7E40" w:rsidRDefault="001B2792" w:rsidP="001B2792">
      <w:pPr>
        <w:keepNext/>
        <w:spacing w:before="240" w:after="60"/>
        <w:ind w:firstLine="709"/>
        <w:outlineLvl w:val="3"/>
        <w:rPr>
          <w:b/>
          <w:bCs/>
          <w:i/>
        </w:rPr>
      </w:pPr>
      <w:r w:rsidRPr="001D7E40">
        <w:rPr>
          <w:b/>
          <w:bCs/>
          <w:i/>
        </w:rPr>
        <w:t xml:space="preserve">     Вземания от чужбина (+) </w:t>
      </w:r>
    </w:p>
    <w:p w14:paraId="65809F0E" w14:textId="77777777" w:rsidR="001B2792" w:rsidRPr="0091056A" w:rsidRDefault="001B2792" w:rsidP="0042546F">
      <w:pPr>
        <w:ind w:firstLine="709"/>
        <w:jc w:val="both"/>
        <w:rPr>
          <w:szCs w:val="20"/>
          <w:lang w:eastAsia="en-US"/>
        </w:rPr>
      </w:pPr>
      <w:r w:rsidRPr="0091056A">
        <w:rPr>
          <w:szCs w:val="20"/>
          <w:lang w:eastAsia="en-US"/>
        </w:rPr>
        <w:t>От месец октомври 2020 г. Споразумението</w:t>
      </w:r>
      <w:r w:rsidRPr="0091056A">
        <w:t xml:space="preserve"> </w:t>
      </w:r>
      <w:r w:rsidRPr="0091056A">
        <w:rPr>
          <w:szCs w:val="20"/>
          <w:lang w:eastAsia="en-US"/>
        </w:rPr>
        <w:t>между правителството на Република България и правителството на Ислямска република Афганистан от 17.09.2014 г. не се изпълнява от страна на Афганистан, като неизплатените дължими вноски по договорения погасителен план за 2022 г. възлизат на 1 млн. щ.д., а общо за периода октомври 2020 г. - декември 2022 г. са в размер на 2,5 млн. щ.д.</w:t>
      </w:r>
    </w:p>
    <w:p w14:paraId="1262C883" w14:textId="77777777" w:rsidR="001B2792" w:rsidRPr="0091056A" w:rsidRDefault="001B2792" w:rsidP="0042546F">
      <w:pPr>
        <w:ind w:firstLine="709"/>
        <w:jc w:val="both"/>
      </w:pPr>
      <w:r w:rsidRPr="0091056A">
        <w:rPr>
          <w:szCs w:val="20"/>
          <w:lang w:eastAsia="en-US"/>
        </w:rPr>
        <w:t>Понастоящем Европейският съюз, в т.ч. и България не признават установения през август 2021 г. режим на талибаните и правителството в Афганистан, поради което не е възможно да бъдат възобновени преговорите за възстановяване на плащанията от афганистанска страна</w:t>
      </w:r>
      <w:r w:rsidRPr="0091056A">
        <w:t>.</w:t>
      </w:r>
    </w:p>
    <w:p w14:paraId="72B2F6B2" w14:textId="77777777" w:rsidR="001B2792" w:rsidRPr="00CE3C77" w:rsidRDefault="001B2792" w:rsidP="001B2792">
      <w:pPr>
        <w:keepNext/>
        <w:spacing w:before="240" w:after="60"/>
        <w:ind w:firstLine="709"/>
        <w:outlineLvl w:val="3"/>
        <w:rPr>
          <w:b/>
          <w:bCs/>
          <w:i/>
        </w:rPr>
      </w:pPr>
      <w:r w:rsidRPr="00CE3C77">
        <w:rPr>
          <w:b/>
          <w:bCs/>
          <w:i/>
        </w:rPr>
        <w:t>Наличности (нето) в левова равностойност по валутни сметки в чужбина</w:t>
      </w:r>
    </w:p>
    <w:p w14:paraId="56AEF1D7" w14:textId="77777777" w:rsidR="001B2792" w:rsidRPr="00CE3C77" w:rsidRDefault="001B2792" w:rsidP="001B2792">
      <w:pPr>
        <w:spacing w:after="120"/>
        <w:ind w:firstLine="709"/>
        <w:jc w:val="both"/>
      </w:pPr>
      <w:r w:rsidRPr="00CE3C77">
        <w:t xml:space="preserve">Нетното изменение на наличностите в левова равностойност по валутни сметки в чужбина е  увеличение на наличностите в размер на 8,5 млн. лева. </w:t>
      </w:r>
    </w:p>
    <w:p w14:paraId="1080A398" w14:textId="77777777" w:rsidR="001B2792" w:rsidRPr="007B48E9" w:rsidRDefault="001B2792" w:rsidP="001B2792">
      <w:pPr>
        <w:spacing w:after="120"/>
        <w:ind w:firstLine="540"/>
        <w:jc w:val="both"/>
        <w:rPr>
          <w:color w:val="0070C0"/>
        </w:rPr>
      </w:pPr>
    </w:p>
    <w:p w14:paraId="3210B392" w14:textId="77777777" w:rsidR="001B2792" w:rsidRPr="0091056A" w:rsidRDefault="001B2792" w:rsidP="001B2792">
      <w:pPr>
        <w:pStyle w:val="Heading3"/>
        <w:numPr>
          <w:ilvl w:val="2"/>
          <w:numId w:val="7"/>
        </w:numPr>
        <w:rPr>
          <w:rFonts w:ascii="Times New Roman" w:hAnsi="Times New Roman"/>
          <w:sz w:val="24"/>
          <w:lang w:val="bg-BG"/>
        </w:rPr>
      </w:pPr>
      <w:bookmarkStart w:id="396" w:name="_Toc462146133"/>
      <w:bookmarkStart w:id="397" w:name="_Toc515375465"/>
      <w:bookmarkStart w:id="398" w:name="_Toc11323355"/>
      <w:bookmarkStart w:id="399" w:name="_Toc18316965"/>
      <w:bookmarkStart w:id="400" w:name="_Toc51339844"/>
      <w:bookmarkStart w:id="401" w:name="_Toc106208180"/>
      <w:bookmarkStart w:id="402" w:name="_Toc137034003"/>
      <w:bookmarkStart w:id="403" w:name="_Toc146037920"/>
      <w:r w:rsidRPr="0091056A">
        <w:rPr>
          <w:rFonts w:ascii="Times New Roman" w:hAnsi="Times New Roman"/>
          <w:sz w:val="24"/>
          <w:lang w:val="bg-BG"/>
        </w:rPr>
        <w:t>Вътрешно финансиране</w:t>
      </w:r>
      <w:bookmarkEnd w:id="392"/>
      <w:bookmarkEnd w:id="393"/>
      <w:bookmarkEnd w:id="394"/>
      <w:bookmarkEnd w:id="395"/>
      <w:bookmarkEnd w:id="396"/>
      <w:bookmarkEnd w:id="397"/>
      <w:bookmarkEnd w:id="398"/>
      <w:bookmarkEnd w:id="399"/>
      <w:bookmarkEnd w:id="400"/>
      <w:bookmarkEnd w:id="401"/>
      <w:bookmarkEnd w:id="402"/>
      <w:bookmarkEnd w:id="403"/>
    </w:p>
    <w:p w14:paraId="45C5A81A" w14:textId="1ED89C28" w:rsidR="001B2792" w:rsidRPr="00AB5222" w:rsidRDefault="001B2792" w:rsidP="001B2792">
      <w:pPr>
        <w:ind w:firstLine="709"/>
        <w:jc w:val="both"/>
      </w:pPr>
      <w:bookmarkStart w:id="404" w:name="_Toc324863434"/>
      <w:bookmarkStart w:id="405" w:name="_Toc326315926"/>
      <w:bookmarkStart w:id="406" w:name="_Toc357527111"/>
      <w:bookmarkStart w:id="407" w:name="_Toc261276598"/>
      <w:bookmarkStart w:id="408" w:name="_Toc393728085"/>
      <w:r w:rsidRPr="00AB5222">
        <w:rPr>
          <w:bCs/>
          <w:iCs/>
        </w:rPr>
        <w:t>Нетният размер на вътрешното финансиране за годината е отрицателен и възлиза</w:t>
      </w:r>
      <w:r w:rsidR="00EB5356">
        <w:t xml:space="preserve"> на 1 214,1</w:t>
      </w:r>
      <w:r w:rsidRPr="00AB5222">
        <w:t> млн. лв. и включва заеми от банки и други лица в страната (нето), операции с държавни (общински) ценни книжа (нето), покупко-продажба на ДОбЦК, нетно изменение на депозитите, друго финансиране (в т.ч. нетния размер на финансовите операции по прилагане на Обща селскостопанска политика (ОСП) и Обща рибарска политика (ОРП), възмездно финансиране (нето) и придобиване на дялове, акции и съучастия (нето).</w:t>
      </w:r>
    </w:p>
    <w:p w14:paraId="4ACED2E6" w14:textId="77777777" w:rsidR="001B2792" w:rsidRPr="00AB5222" w:rsidRDefault="001B2792" w:rsidP="001B2792">
      <w:pPr>
        <w:keepNext/>
        <w:spacing w:before="240" w:after="60"/>
        <w:ind w:firstLine="900"/>
        <w:outlineLvl w:val="3"/>
      </w:pPr>
      <w:r w:rsidRPr="00AB5222">
        <w:rPr>
          <w:b/>
          <w:bCs/>
          <w:i/>
        </w:rPr>
        <w:t>Заеми от банки и други лица в страната – нето</w:t>
      </w:r>
      <w:r w:rsidRPr="00AB5222">
        <w:t xml:space="preserve"> </w:t>
      </w:r>
    </w:p>
    <w:p w14:paraId="7B7D9924" w14:textId="77777777" w:rsidR="001B2792" w:rsidRPr="00AB5222" w:rsidRDefault="001B2792" w:rsidP="0042546F">
      <w:pPr>
        <w:keepNext/>
        <w:spacing w:before="120"/>
        <w:ind w:firstLine="709"/>
        <w:jc w:val="both"/>
        <w:outlineLvl w:val="3"/>
        <w:rPr>
          <w:b/>
          <w:bCs/>
          <w:i/>
        </w:rPr>
      </w:pPr>
      <w:r w:rsidRPr="00AB5222">
        <w:t>Нетният размер на показателя за годината е 54,7 млн. лв. и отразява основно получените краткосрочни и дългосрочни заеми по общинските бюджети от банки и други лица в страната, както и извършените погашения към тези кредитори.</w:t>
      </w:r>
    </w:p>
    <w:p w14:paraId="1C69073F" w14:textId="77777777" w:rsidR="001B2792" w:rsidRPr="00185197" w:rsidRDefault="001B2792" w:rsidP="0042546F">
      <w:pPr>
        <w:ind w:firstLine="709"/>
        <w:jc w:val="both"/>
        <w:rPr>
          <w:lang w:eastAsia="en-US"/>
        </w:rPr>
      </w:pPr>
      <w:r w:rsidRPr="00AB5222">
        <w:rPr>
          <w:lang w:eastAsia="en-US"/>
        </w:rPr>
        <w:t xml:space="preserve">Получените по бюджетите на общините през 2022 г. </w:t>
      </w:r>
      <w:r w:rsidRPr="00AB5222">
        <w:rPr>
          <w:i/>
          <w:lang w:eastAsia="en-US"/>
        </w:rPr>
        <w:t>заеми от банки</w:t>
      </w:r>
      <w:r w:rsidRPr="00AB5222">
        <w:rPr>
          <w:lang w:eastAsia="en-US"/>
        </w:rPr>
        <w:t xml:space="preserve"> </w:t>
      </w:r>
      <w:r w:rsidRPr="00AB5222">
        <w:rPr>
          <w:i/>
          <w:lang w:eastAsia="en-US"/>
        </w:rPr>
        <w:t>в страната</w:t>
      </w:r>
      <w:r w:rsidRPr="00AB5222">
        <w:rPr>
          <w:lang w:eastAsia="en-US"/>
        </w:rPr>
        <w:t xml:space="preserve"> са в размер на 114,5 млн. лв., а погашенията към същите са за 103,9 млн. лв. или нетната сума е в размер на 10,6 млн. лв. </w:t>
      </w:r>
      <w:r w:rsidRPr="00185197">
        <w:rPr>
          <w:lang w:eastAsia="en-US"/>
        </w:rPr>
        <w:t>Средствата от заемите са използвани за финансиране на инвестиционни обекти (вкл. за финансиране на проекти по програми на ЕС), както и за финансиране на временен недостиг на средства по бюджетите на общините.</w:t>
      </w:r>
    </w:p>
    <w:p w14:paraId="0447B775" w14:textId="77777777" w:rsidR="001B2792" w:rsidRPr="00383C87" w:rsidRDefault="001B2792" w:rsidP="001B2792">
      <w:pPr>
        <w:ind w:firstLine="709"/>
        <w:jc w:val="both"/>
        <w:rPr>
          <w:lang w:eastAsia="en-US"/>
        </w:rPr>
      </w:pPr>
      <w:r w:rsidRPr="00185197">
        <w:rPr>
          <w:lang w:eastAsia="en-US"/>
        </w:rPr>
        <w:t xml:space="preserve">От </w:t>
      </w:r>
      <w:r w:rsidRPr="00185197">
        <w:rPr>
          <w:i/>
          <w:lang w:eastAsia="en-US"/>
        </w:rPr>
        <w:t>други лица в страната</w:t>
      </w:r>
      <w:r w:rsidRPr="00185197">
        <w:rPr>
          <w:lang w:eastAsia="en-US"/>
        </w:rPr>
        <w:t xml:space="preserve"> общините са получили заеми в размер на 141,9 млн. лв., а направените погашения от бюджета са 99,4 млн. лв. Най-голяма част в тази група кредитори има „ФЛАГ“ ЕАД, като получените заеми от общините през 2022 г. от този фонд са 118,7  млн. лв., а погасените заеми към него – 95,5 млн. лв</w:t>
      </w:r>
      <w:r>
        <w:rPr>
          <w:lang w:eastAsia="en-US"/>
        </w:rPr>
        <w:t xml:space="preserve">. </w:t>
      </w:r>
      <w:r w:rsidRPr="00383C87">
        <w:rPr>
          <w:lang w:eastAsia="en-US"/>
        </w:rPr>
        <w:t xml:space="preserve">Със заемите от фонда се финансира изпълнението на европейски проекти, като една част от тях са ползвани за финансиране на допустимите разходи, а другата част на заемите от ФЛАГ са свързани с финансиране на собственото участие на общините в проектите. Друг кредитор от тази група е Фонд „Енергийна ефективност“, с който общините сключват договори за заеми за финансиране на проекти по саниране на сгради, общинска собственост и въвеждане на мерки за енергийна ефективност, както и регионалните фондове за градско развитие. </w:t>
      </w:r>
    </w:p>
    <w:p w14:paraId="4E55C67D" w14:textId="77777777" w:rsidR="001B2792" w:rsidRPr="00383C87" w:rsidRDefault="001B2792" w:rsidP="001B2792">
      <w:pPr>
        <w:keepNext/>
        <w:spacing w:before="240" w:after="60"/>
        <w:ind w:firstLine="900"/>
        <w:outlineLvl w:val="3"/>
        <w:rPr>
          <w:b/>
          <w:bCs/>
          <w:i/>
        </w:rPr>
      </w:pPr>
      <w:r w:rsidRPr="00383C87">
        <w:rPr>
          <w:b/>
          <w:bCs/>
          <w:i/>
        </w:rPr>
        <w:t xml:space="preserve">Операции с държавни ценни книжа  (нето) </w:t>
      </w:r>
    </w:p>
    <w:p w14:paraId="4BAC9216" w14:textId="77777777" w:rsidR="001B2792" w:rsidRPr="00383C87" w:rsidRDefault="001B2792" w:rsidP="001B2792">
      <w:pPr>
        <w:ind w:firstLine="709"/>
        <w:jc w:val="both"/>
      </w:pPr>
      <w:r w:rsidRPr="00383C87">
        <w:t>На консолидирана база отчетеното изпълнение на показателя е в размер на 2 196,6 млн. лв. Изпълнението е, както следва:</w:t>
      </w:r>
    </w:p>
    <w:p w14:paraId="366D2651" w14:textId="77777777" w:rsidR="001B2792" w:rsidRPr="00383C87" w:rsidRDefault="001B2792" w:rsidP="001B2792">
      <w:pPr>
        <w:ind w:firstLine="540"/>
        <w:jc w:val="both"/>
        <w:rPr>
          <w:sz w:val="12"/>
          <w:szCs w:val="12"/>
        </w:rPr>
      </w:pPr>
    </w:p>
    <w:p w14:paraId="1463C07A" w14:textId="77777777" w:rsidR="001B2792" w:rsidRDefault="001B2792" w:rsidP="001B2792">
      <w:pPr>
        <w:spacing w:after="120"/>
        <w:ind w:firstLine="851"/>
        <w:jc w:val="both"/>
        <w:outlineLvl w:val="5"/>
        <w:rPr>
          <w:bCs/>
          <w:lang w:eastAsia="en-US"/>
        </w:rPr>
      </w:pPr>
      <w:r w:rsidRPr="00383C87">
        <w:rPr>
          <w:b/>
          <w:bCs/>
        </w:rPr>
        <w:t xml:space="preserve">- </w:t>
      </w:r>
      <w:r w:rsidRPr="00383C87">
        <w:rPr>
          <w:bCs/>
        </w:rPr>
        <w:t xml:space="preserve">по </w:t>
      </w:r>
      <w:r w:rsidRPr="00383C87">
        <w:rPr>
          <w:bCs/>
          <w:u w:val="single"/>
        </w:rPr>
        <w:t>централния бюджет</w:t>
      </w:r>
      <w:r w:rsidRPr="00383C87">
        <w:rPr>
          <w:bCs/>
        </w:rPr>
        <w:t xml:space="preserve"> к</w:t>
      </w:r>
      <w:r w:rsidRPr="00383C87">
        <w:rPr>
          <w:bCs/>
          <w:lang w:eastAsia="en-US"/>
        </w:rPr>
        <w:t xml:space="preserve">ъм 31 декември 2022 г. е реализирано положително нетно </w:t>
      </w:r>
      <w:r w:rsidRPr="00AB77E7">
        <w:rPr>
          <w:bCs/>
          <w:lang w:eastAsia="en-US"/>
        </w:rPr>
        <w:t xml:space="preserve">вътрешно финансиране на бюджета с ДЦК в размер на 2 </w:t>
      </w:r>
      <w:r w:rsidRPr="004D5FFC">
        <w:rPr>
          <w:bCs/>
          <w:lang w:val="ru-RU" w:eastAsia="en-US"/>
        </w:rPr>
        <w:t>206</w:t>
      </w:r>
      <w:r w:rsidRPr="00AB77E7">
        <w:rPr>
          <w:bCs/>
          <w:lang w:eastAsia="en-US"/>
        </w:rPr>
        <w:t>,</w:t>
      </w:r>
      <w:r w:rsidRPr="004D5FFC">
        <w:rPr>
          <w:bCs/>
          <w:lang w:val="ru-RU" w:eastAsia="en-US"/>
        </w:rPr>
        <w:t>4</w:t>
      </w:r>
      <w:r w:rsidRPr="00AB77E7">
        <w:rPr>
          <w:bCs/>
          <w:lang w:eastAsia="en-US"/>
        </w:rPr>
        <w:t xml:space="preserve"> млн. лв. Общият размер на постъпления от емисии на ДЦК е </w:t>
      </w:r>
      <w:r w:rsidRPr="004D5FFC">
        <w:rPr>
          <w:bCs/>
          <w:lang w:val="ru-RU" w:eastAsia="en-US"/>
        </w:rPr>
        <w:t>2</w:t>
      </w:r>
      <w:r w:rsidRPr="00AB77E7">
        <w:rPr>
          <w:bCs/>
          <w:lang w:eastAsia="en-US"/>
        </w:rPr>
        <w:t xml:space="preserve"> 5</w:t>
      </w:r>
      <w:r w:rsidRPr="004D5FFC">
        <w:rPr>
          <w:bCs/>
          <w:lang w:val="ru-RU" w:eastAsia="en-US"/>
        </w:rPr>
        <w:t>10</w:t>
      </w:r>
      <w:r w:rsidRPr="00AB77E7">
        <w:rPr>
          <w:bCs/>
          <w:lang w:eastAsia="en-US"/>
        </w:rPr>
        <w:t>,</w:t>
      </w:r>
      <w:r w:rsidRPr="004D5FFC">
        <w:rPr>
          <w:bCs/>
          <w:lang w:val="ru-RU" w:eastAsia="en-US"/>
        </w:rPr>
        <w:t>2</w:t>
      </w:r>
      <w:r w:rsidRPr="00AB77E7">
        <w:rPr>
          <w:bCs/>
          <w:lang w:eastAsia="en-US"/>
        </w:rPr>
        <w:t xml:space="preserve"> млн. лв. или са емитирани ДЦК на обща номинална стойност </w:t>
      </w:r>
      <w:r w:rsidRPr="004D5FFC">
        <w:rPr>
          <w:bCs/>
          <w:lang w:val="ru-RU" w:eastAsia="en-US"/>
        </w:rPr>
        <w:t>2</w:t>
      </w:r>
      <w:r w:rsidRPr="00AB77E7">
        <w:rPr>
          <w:bCs/>
          <w:lang w:eastAsia="en-US"/>
        </w:rPr>
        <w:t xml:space="preserve"> </w:t>
      </w:r>
      <w:r w:rsidRPr="004D5FFC">
        <w:rPr>
          <w:bCs/>
          <w:lang w:val="ru-RU" w:eastAsia="en-US"/>
        </w:rPr>
        <w:t>633</w:t>
      </w:r>
      <w:r w:rsidRPr="00AB77E7">
        <w:rPr>
          <w:bCs/>
          <w:lang w:eastAsia="en-US"/>
        </w:rPr>
        <w:t>,</w:t>
      </w:r>
      <w:r w:rsidRPr="004D5FFC">
        <w:rPr>
          <w:bCs/>
          <w:lang w:val="ru-RU" w:eastAsia="en-US"/>
        </w:rPr>
        <w:t>3</w:t>
      </w:r>
      <w:r w:rsidRPr="00AB77E7">
        <w:rPr>
          <w:bCs/>
          <w:lang w:eastAsia="en-US"/>
        </w:rPr>
        <w:t xml:space="preserve"> млн. лв., както следва: </w:t>
      </w:r>
    </w:p>
    <w:p w14:paraId="51DBD3FF" w14:textId="77777777" w:rsidR="001B2792" w:rsidRPr="001163AE" w:rsidRDefault="001B2792" w:rsidP="001B2792">
      <w:pPr>
        <w:pStyle w:val="ListParagraph"/>
        <w:numPr>
          <w:ilvl w:val="0"/>
          <w:numId w:val="86"/>
        </w:numPr>
        <w:spacing w:after="120"/>
        <w:ind w:left="0" w:firstLine="1211"/>
        <w:jc w:val="both"/>
        <w:outlineLvl w:val="5"/>
        <w:rPr>
          <w:bCs/>
          <w:lang w:eastAsia="en-US"/>
        </w:rPr>
      </w:pPr>
      <w:r w:rsidRPr="001163AE">
        <w:rPr>
          <w:bCs/>
          <w:lang w:eastAsia="en-US"/>
        </w:rPr>
        <w:t xml:space="preserve">3,5-годишни ДЦК (емисията е пусната в обращение през ноември 2021 г., деноминирана е в лева, с падеж 17.05.2025 г.) с общ пласиран обем от 1 300,0 млн. лв. като през март и април по 500 млн. лв. и през май 300 млн. лв.; </w:t>
      </w:r>
    </w:p>
    <w:p w14:paraId="7960C901" w14:textId="77777777" w:rsidR="001B2792" w:rsidRPr="001163AE" w:rsidRDefault="001B2792" w:rsidP="001B2792">
      <w:pPr>
        <w:pStyle w:val="ListParagraph"/>
        <w:numPr>
          <w:ilvl w:val="0"/>
          <w:numId w:val="87"/>
        </w:numPr>
        <w:tabs>
          <w:tab w:val="left" w:pos="1418"/>
          <w:tab w:val="left" w:pos="1560"/>
          <w:tab w:val="left" w:pos="1843"/>
        </w:tabs>
        <w:spacing w:after="120"/>
        <w:ind w:left="0" w:firstLine="1134"/>
        <w:jc w:val="both"/>
        <w:outlineLvl w:val="5"/>
        <w:rPr>
          <w:bCs/>
          <w:lang w:eastAsia="en-US"/>
        </w:rPr>
      </w:pPr>
      <w:r w:rsidRPr="001163AE">
        <w:rPr>
          <w:bCs/>
          <w:lang w:eastAsia="en-US"/>
        </w:rPr>
        <w:t>7,5-годишни облигации (пуснати в обращение през ноември 2021 г., деноминирани са в лева, с падеж 24.05.2029 г.) в размер на 500,0 млн. лв. през месец март;</w:t>
      </w:r>
    </w:p>
    <w:p w14:paraId="110C36BC" w14:textId="157DD919" w:rsidR="001B2792" w:rsidRPr="001163AE" w:rsidRDefault="001B2792" w:rsidP="001B2792">
      <w:pPr>
        <w:pStyle w:val="ListParagraph"/>
        <w:numPr>
          <w:ilvl w:val="0"/>
          <w:numId w:val="87"/>
        </w:numPr>
        <w:spacing w:after="120"/>
        <w:ind w:left="0" w:firstLine="1134"/>
        <w:jc w:val="both"/>
        <w:outlineLvl w:val="5"/>
        <w:rPr>
          <w:bCs/>
          <w:lang w:eastAsia="en-US"/>
        </w:rPr>
      </w:pPr>
      <w:r w:rsidRPr="001163AE">
        <w:rPr>
          <w:bCs/>
          <w:lang w:eastAsia="en-US"/>
        </w:rPr>
        <w:t>10,5-годишни облигации (пуснати в обращение през януари 2016 г., деноминирани са в лева, с падеж 27.07.2026 г.) с общ пласиран обем от 502,</w:t>
      </w:r>
      <w:r>
        <w:rPr>
          <w:bCs/>
          <w:lang w:eastAsia="en-US"/>
        </w:rPr>
        <w:t>8</w:t>
      </w:r>
      <w:r w:rsidRPr="001163AE">
        <w:rPr>
          <w:bCs/>
          <w:lang w:eastAsia="en-US"/>
        </w:rPr>
        <w:t xml:space="preserve"> млн. лв. като през септември възлизат на 200,0 млн. лв. и през октомври 302,</w:t>
      </w:r>
      <w:r>
        <w:rPr>
          <w:bCs/>
          <w:lang w:eastAsia="en-US"/>
        </w:rPr>
        <w:t>8</w:t>
      </w:r>
      <w:r w:rsidRPr="001163AE">
        <w:rPr>
          <w:bCs/>
          <w:lang w:eastAsia="en-US"/>
        </w:rPr>
        <w:t xml:space="preserve"> млн. лв. и </w:t>
      </w:r>
    </w:p>
    <w:p w14:paraId="1C9C7815" w14:textId="77777777" w:rsidR="001B2792" w:rsidRPr="001163AE" w:rsidRDefault="001B2792" w:rsidP="001B2792">
      <w:pPr>
        <w:pStyle w:val="ListParagraph"/>
        <w:numPr>
          <w:ilvl w:val="0"/>
          <w:numId w:val="87"/>
        </w:numPr>
        <w:spacing w:after="120"/>
        <w:ind w:left="0" w:firstLine="1134"/>
        <w:jc w:val="both"/>
        <w:outlineLvl w:val="5"/>
        <w:rPr>
          <w:bCs/>
          <w:lang w:eastAsia="en-US"/>
        </w:rPr>
      </w:pPr>
      <w:r w:rsidRPr="001163AE">
        <w:rPr>
          <w:bCs/>
          <w:lang w:eastAsia="en-US"/>
        </w:rPr>
        <w:t>5,5-годишни облигации (пуснати в обращение през септември 2022 г., деноминирани са в лева, с падеж 28.03.2028 г.) общо в размер на 330,50 млн. лв. , в т.ч. 149,95 млн. лв. през септември и 180,55 млн. лв. през октомври.</w:t>
      </w:r>
    </w:p>
    <w:p w14:paraId="4D610BA5" w14:textId="68A0564B" w:rsidR="001B2792" w:rsidRPr="00AE584A" w:rsidRDefault="001B2792" w:rsidP="001B2792">
      <w:pPr>
        <w:spacing w:after="120"/>
        <w:ind w:firstLine="851"/>
        <w:jc w:val="both"/>
        <w:outlineLvl w:val="5"/>
        <w:rPr>
          <w:bCs/>
          <w:lang w:eastAsia="en-US"/>
        </w:rPr>
      </w:pPr>
      <w:r w:rsidRPr="00AE584A">
        <w:rPr>
          <w:bCs/>
          <w:lang w:eastAsia="en-US"/>
        </w:rPr>
        <w:t>Извършени са погашения по ДЦК в размер на 303,9 млн. лв., като през юли Министерството на финансите погаси емисия 10,5-годишни ДЦК от 2012 г. в обем от 305 млн. л</w:t>
      </w:r>
      <w:r w:rsidR="00EB5356">
        <w:rPr>
          <w:bCs/>
          <w:lang w:eastAsia="en-US"/>
        </w:rPr>
        <w:t>в. номинална стойност.</w:t>
      </w:r>
    </w:p>
    <w:p w14:paraId="1F08910F" w14:textId="77777777" w:rsidR="001B2792" w:rsidRPr="00AE584A" w:rsidRDefault="001B2792" w:rsidP="001B2792">
      <w:pPr>
        <w:tabs>
          <w:tab w:val="num" w:pos="720"/>
        </w:tabs>
        <w:spacing w:after="120"/>
        <w:ind w:firstLine="540"/>
        <w:jc w:val="both"/>
      </w:pPr>
      <w:r w:rsidRPr="007B48E9">
        <w:rPr>
          <w:color w:val="0070C0"/>
        </w:rPr>
        <w:t xml:space="preserve">   - </w:t>
      </w:r>
      <w:r w:rsidRPr="00AE584A">
        <w:t xml:space="preserve">по </w:t>
      </w:r>
      <w:r w:rsidRPr="00AE584A">
        <w:rPr>
          <w:u w:val="single"/>
        </w:rPr>
        <w:t>бюджетите на общините</w:t>
      </w:r>
      <w:r w:rsidRPr="00AE584A">
        <w:t xml:space="preserve"> – нетната стойност на операциите с ценни книжа, отчетени по общинските бюджети за 2022 г., е  отрицателна в размер на 9,8 млн. лева. За отчетния период е емитиран нов общински дълг от община Кюстендил в размер на 8,5 млн. лв. за заплащане на установени публични вземания по изпълнително дело.  Погашенията по емитирани през предходни периоди общински ценни книжа са в размер на 18,3 млн. лв. и са отчетени от 10 общини.</w:t>
      </w:r>
    </w:p>
    <w:p w14:paraId="26B1B74E" w14:textId="77777777" w:rsidR="001B2792" w:rsidRPr="00AE584A" w:rsidRDefault="001B2792" w:rsidP="001B2792">
      <w:pPr>
        <w:ind w:firstLine="900"/>
        <w:rPr>
          <w:b/>
          <w:i/>
        </w:rPr>
      </w:pPr>
      <w:r w:rsidRPr="00AE584A">
        <w:rPr>
          <w:b/>
          <w:i/>
        </w:rPr>
        <w:t xml:space="preserve">Покупко-продажба на държавни и общински ценни книжа </w:t>
      </w:r>
    </w:p>
    <w:p w14:paraId="0AD1F06C" w14:textId="33FCBE1B" w:rsidR="001B2792" w:rsidRPr="001D6394" w:rsidRDefault="001B2792" w:rsidP="001B2792">
      <w:pPr>
        <w:spacing w:before="120"/>
        <w:ind w:firstLine="709"/>
        <w:jc w:val="both"/>
      </w:pPr>
      <w:r w:rsidRPr="00C1489F">
        <w:t>Нетният размер на средствата по консолидираната фискална програма за 2022 г., отчетени в резултат на покупко-продажбата на държавни и общински ценни книжа, е 6,7 млн. лв.</w:t>
      </w:r>
      <w:r w:rsidRPr="007B48E9">
        <w:rPr>
          <w:color w:val="0070C0"/>
        </w:rPr>
        <w:t xml:space="preserve"> </w:t>
      </w:r>
      <w:r w:rsidRPr="001D6394">
        <w:t xml:space="preserve">През 2022 г. получените погашения от Учителския пенсионен фонд от ДЦК са в размер на 25,2 млн. лв., </w:t>
      </w:r>
      <w:r w:rsidR="00EB5356">
        <w:t>а на фонд „ГВРС“ възлизат на 7,4</w:t>
      </w:r>
      <w:r w:rsidRPr="001D6394">
        <w:t xml:space="preserve"> млн. лв. През годината фонд „ГВРС“ е изразходил 26,0 млн. лв. за закупуване на ДЦК.</w:t>
      </w:r>
    </w:p>
    <w:p w14:paraId="330124D8" w14:textId="77777777" w:rsidR="001B2792" w:rsidRPr="001D6394" w:rsidRDefault="001B2792" w:rsidP="001B2792">
      <w:pPr>
        <w:ind w:firstLine="709"/>
        <w:jc w:val="both"/>
      </w:pPr>
      <w:r w:rsidRPr="001D6394">
        <w:t>За 2022 г. по общинските бюджети не са отчетени операции по покупко-продажбата на държавни и общински ценни книжа.</w:t>
      </w:r>
    </w:p>
    <w:p w14:paraId="4DEF427E" w14:textId="77777777" w:rsidR="001B2792" w:rsidRPr="007B48E9" w:rsidRDefault="001B2792" w:rsidP="001B2792">
      <w:pPr>
        <w:ind w:firstLine="539"/>
        <w:jc w:val="both"/>
        <w:rPr>
          <w:color w:val="0070C0"/>
        </w:rPr>
      </w:pPr>
    </w:p>
    <w:p w14:paraId="6ED6B54F" w14:textId="77777777" w:rsidR="001B2792" w:rsidRPr="000B2BE2" w:rsidRDefault="001B2792" w:rsidP="001B2792">
      <w:pPr>
        <w:ind w:firstLine="900"/>
        <w:rPr>
          <w:b/>
          <w:i/>
        </w:rPr>
      </w:pPr>
      <w:r w:rsidRPr="007B48E9">
        <w:rPr>
          <w:b/>
          <w:i/>
          <w:color w:val="0070C0"/>
        </w:rPr>
        <w:t xml:space="preserve"> </w:t>
      </w:r>
      <w:bookmarkStart w:id="409" w:name="_Toc202754019"/>
      <w:r w:rsidRPr="000B2BE2">
        <w:rPr>
          <w:b/>
          <w:i/>
        </w:rPr>
        <w:t>Възмездно финансиране (нето)</w:t>
      </w:r>
      <w:bookmarkEnd w:id="409"/>
    </w:p>
    <w:p w14:paraId="3DF69A3A" w14:textId="77777777" w:rsidR="001B2792" w:rsidRPr="000B2BE2" w:rsidRDefault="001B2792" w:rsidP="001B2792">
      <w:pPr>
        <w:ind w:firstLine="540"/>
        <w:jc w:val="both"/>
        <w:rPr>
          <w:bCs/>
          <w:sz w:val="8"/>
          <w:szCs w:val="8"/>
          <w:lang w:eastAsia="en-US"/>
        </w:rPr>
      </w:pPr>
    </w:p>
    <w:p w14:paraId="388766BB" w14:textId="77777777" w:rsidR="001B2792" w:rsidRPr="000B2BE2" w:rsidRDefault="001B2792" w:rsidP="0042546F">
      <w:pPr>
        <w:ind w:firstLine="709"/>
        <w:jc w:val="both"/>
      </w:pPr>
      <w:r w:rsidRPr="000B2BE2">
        <w:t>Отчетеното нетно възмездното финансиране, вкл. предоставените заеми към крайни бенефициенти по ДИЗ (нето), за 2022 г. е в размер на 387,2 млн. лв. и отразява предоставените и възстановени кредити и временна финансова помощ, възстановени средства и погашения по активирани гаранции, както и предоставените и възстановени заеми към крайни бенефициенти по държавни инвестиционни заеми.</w:t>
      </w:r>
    </w:p>
    <w:p w14:paraId="3D7CEE99" w14:textId="77777777" w:rsidR="001B2792" w:rsidRPr="000B2BE2" w:rsidRDefault="001B2792" w:rsidP="0042546F">
      <w:pPr>
        <w:ind w:firstLine="709"/>
        <w:jc w:val="both"/>
        <w:rPr>
          <w:bCs/>
        </w:rPr>
      </w:pPr>
      <w:r w:rsidRPr="000B2BE2">
        <w:t>Отрицателното нетно салдо на предоставените кредити за 2022 г. е в размер на 845,1 млн. лв., от които 851,0 млн. лв. са предоставени през годината кредити, а 6,0 млн. лв. – погашения по отпуснати заеми</w:t>
      </w:r>
      <w:r w:rsidRPr="000B2BE2">
        <w:rPr>
          <w:bCs/>
        </w:rPr>
        <w:t xml:space="preserve">. </w:t>
      </w:r>
      <w:r>
        <w:rPr>
          <w:bCs/>
        </w:rPr>
        <w:t>През м. август 2022 г. в изпълнение на РМС №594/2022 г. чрез бюджета на Министерството на енергетиката бе предоставен заем на „Булгаргаз“ ЕАД за закупуване на природен газ и осигуряване на оборотни средства в размер на 800,0 млн. лева.</w:t>
      </w:r>
    </w:p>
    <w:p w14:paraId="7CDA352D" w14:textId="77777777" w:rsidR="001B2792" w:rsidRPr="00925F62" w:rsidRDefault="001B2792" w:rsidP="0042546F">
      <w:pPr>
        <w:ind w:firstLine="709"/>
        <w:jc w:val="both"/>
      </w:pPr>
      <w:r w:rsidRPr="00925F62">
        <w:t>Към 31.12.2022 г. по линия на предоставените лихвени заеми по краткосрочните и инвестиционните схеми за подпомагане на селското стопанство, предоставени от Държавен фонд „Земеделие” пряко или чрез рефинансиране от търговски банки, с които фондът има сключени договори, са изплатени 1,0 млн. лв. Кредитите се отпускат чрез прилагането на кредитните схеми на ДФ „Земеделие“ и схемите за държавните помощи на Фонда за създаване и придобиване на дълготрайни материални активи в земеделието и селските райони посредством облекчаване на достъпа до кредитен ресурс и предоставяне на капиталови субсидии и субсидии за лихви. Средствата са за реализация на проекти в следните направления - „Растениевъдство”, „Животновъдство” и „Техническо обезпечаване” с цел стимулиране на инвестиционния процес в областта на селското стопанство, повишаване на конкурентоспособността и качеството на произведената селскостопанска продукция. Съгласно указанията за прилагане на кредитните схеми, краткосрочните кредити са със срок на погасяване до 12 месеца, а инвестиционните от 12 до 114 месеца в зависимост от вида на инвестицията. Възстановените главници по предоставени заеми от ДФ „Земеделие“ за годината са 3,7 млн. лева.</w:t>
      </w:r>
    </w:p>
    <w:p w14:paraId="5A36F821" w14:textId="77777777" w:rsidR="001B2792" w:rsidRPr="00925F62" w:rsidRDefault="001B2792" w:rsidP="0042546F">
      <w:pPr>
        <w:ind w:firstLine="709"/>
        <w:jc w:val="both"/>
      </w:pPr>
      <w:r w:rsidRPr="00925F62">
        <w:t xml:space="preserve">Нетното изпълнение на операциите по ДИЗ с краен бенефициент търговско дружество за 2022 г. е положително в размер на 14,3 млн. лв. и представлява възстановени суми по предоставени ДИЗ на крайни бенефициенти. </w:t>
      </w:r>
    </w:p>
    <w:p w14:paraId="09DA02B4" w14:textId="77777777" w:rsidR="001B2792" w:rsidRPr="0019677B" w:rsidRDefault="001B2792" w:rsidP="0042546F">
      <w:pPr>
        <w:ind w:firstLine="709"/>
        <w:jc w:val="both"/>
      </w:pPr>
      <w:r w:rsidRPr="0075740E">
        <w:t xml:space="preserve">Нетният размер на предоставената временна финансова помощ за годината е </w:t>
      </w:r>
      <w:r w:rsidRPr="004D5FFC">
        <w:rPr>
          <w:lang w:val="ru-RU"/>
        </w:rPr>
        <w:t>1 218</w:t>
      </w:r>
      <w:r w:rsidRPr="0075740E">
        <w:t>,</w:t>
      </w:r>
      <w:r w:rsidRPr="004D5FFC">
        <w:rPr>
          <w:lang w:val="ru-RU"/>
        </w:rPr>
        <w:t>9</w:t>
      </w:r>
      <w:r w:rsidRPr="0075740E">
        <w:t xml:space="preserve"> млн. лв., като предоставените средства са в размер на 8</w:t>
      </w:r>
      <w:r w:rsidRPr="004D5FFC">
        <w:rPr>
          <w:lang w:val="ru-RU"/>
        </w:rPr>
        <w:t>7</w:t>
      </w:r>
      <w:r w:rsidRPr="0075740E">
        <w:t>,</w:t>
      </w:r>
      <w:r w:rsidRPr="004D5FFC">
        <w:rPr>
          <w:lang w:val="ru-RU"/>
        </w:rPr>
        <w:t>2</w:t>
      </w:r>
      <w:r w:rsidRPr="0075740E">
        <w:t xml:space="preserve"> млн. лв</w:t>
      </w:r>
      <w:r w:rsidRPr="0019677B">
        <w:t xml:space="preserve">. От тях по-голяма част представлява </w:t>
      </w:r>
      <w:r w:rsidRPr="0019677B">
        <w:rPr>
          <w:bCs/>
        </w:rPr>
        <w:t>предоставени средства размер на 66,4 млн. лв. чрез сметката за европейски средства на НФ под формата на временна финансова помощ за</w:t>
      </w:r>
      <w:r w:rsidRPr="0019677B">
        <w:t xml:space="preserve"> „</w:t>
      </w:r>
      <w:r w:rsidRPr="0019677B">
        <w:rPr>
          <w:bCs/>
        </w:rPr>
        <w:t xml:space="preserve">Фонд мениджър на финансови инструменти в България“ ЕАД за  финансиране на задълженията на фонда по оперативните и гаранционни споразумения с финансови посредници/банки партньори във връзка с изпълнението на финансовите инструменти по ОПИК.  </w:t>
      </w:r>
      <w:r w:rsidRPr="0019677B">
        <w:t>Възстановената временна финансова помощ през 2022 г. е в размер на 1 306,2 млн. лв., от които 1 176,7 млн. лв. са постъпили по бюджета на Министерството на енергетиката, възстановени от „Национална електрическа компания“-ЕАД</w:t>
      </w:r>
      <w:r w:rsidRPr="0019677B">
        <w:rPr>
          <w:bCs/>
        </w:rPr>
        <w:t xml:space="preserve">. </w:t>
      </w:r>
    </w:p>
    <w:p w14:paraId="0BA65869" w14:textId="77777777" w:rsidR="001B2792" w:rsidRDefault="001B2792" w:rsidP="001B2792">
      <w:pPr>
        <w:ind w:right="72" w:firstLine="720"/>
        <w:jc w:val="both"/>
        <w:rPr>
          <w:b/>
          <w:i/>
          <w:color w:val="0070C0"/>
          <w:szCs w:val="20"/>
          <w:lang w:eastAsia="en-US"/>
        </w:rPr>
      </w:pPr>
    </w:p>
    <w:p w14:paraId="079A5D49" w14:textId="77777777" w:rsidR="001B2792" w:rsidRPr="0019677B" w:rsidRDefault="001B2792" w:rsidP="001B2792">
      <w:pPr>
        <w:ind w:right="72" w:firstLine="720"/>
        <w:jc w:val="both"/>
        <w:rPr>
          <w:b/>
          <w:i/>
          <w:szCs w:val="20"/>
          <w:lang w:eastAsia="en-US"/>
        </w:rPr>
      </w:pPr>
      <w:r w:rsidRPr="0019677B">
        <w:rPr>
          <w:b/>
          <w:i/>
          <w:szCs w:val="20"/>
          <w:lang w:eastAsia="en-US"/>
        </w:rPr>
        <w:t>Придобиване на дялове, акции и съучастия (нето)</w:t>
      </w:r>
    </w:p>
    <w:p w14:paraId="47F96248" w14:textId="77777777" w:rsidR="001B2792" w:rsidRPr="007B48E9" w:rsidRDefault="001B2792" w:rsidP="001B2792">
      <w:pPr>
        <w:ind w:right="72" w:firstLine="720"/>
        <w:jc w:val="both"/>
        <w:rPr>
          <w:b/>
          <w:color w:val="0070C0"/>
          <w:sz w:val="12"/>
          <w:szCs w:val="12"/>
          <w:lang w:eastAsia="en-US"/>
        </w:rPr>
      </w:pPr>
    </w:p>
    <w:p w14:paraId="453C36CD" w14:textId="77777777" w:rsidR="001B2792" w:rsidRPr="003C1C6C" w:rsidRDefault="001B2792" w:rsidP="0042546F">
      <w:pPr>
        <w:ind w:right="74" w:firstLine="709"/>
        <w:jc w:val="both"/>
        <w:rPr>
          <w:szCs w:val="20"/>
          <w:lang w:eastAsia="en-US"/>
        </w:rPr>
      </w:pPr>
      <w:r w:rsidRPr="003C1C6C">
        <w:rPr>
          <w:szCs w:val="20"/>
          <w:lang w:eastAsia="en-US"/>
        </w:rPr>
        <w:t xml:space="preserve">Нетният размер на средствата, изразходвани за придобиване на дялове, акции и съучастия през отчетната година е отрицателен в размер на  213,6 млн. лева. </w:t>
      </w:r>
    </w:p>
    <w:p w14:paraId="320F3DBA" w14:textId="77777777" w:rsidR="001B2792" w:rsidRPr="003C1C6C" w:rsidRDefault="001B2792" w:rsidP="0042546F">
      <w:pPr>
        <w:ind w:right="74" w:firstLine="709"/>
        <w:jc w:val="both"/>
        <w:rPr>
          <w:szCs w:val="20"/>
          <w:lang w:eastAsia="en-US"/>
        </w:rPr>
      </w:pPr>
      <w:r w:rsidRPr="003C1C6C">
        <w:rPr>
          <w:szCs w:val="20"/>
          <w:lang w:eastAsia="en-US"/>
        </w:rPr>
        <w:t>През 2022 г. за уреждане на задължения по съществуващи дялови участия и увеличаване на дяловото участие на държавата са предоставени средства в следните основни направления:</w:t>
      </w:r>
    </w:p>
    <w:p w14:paraId="0DBFC797" w14:textId="77777777" w:rsidR="001B2792" w:rsidRPr="003C1C6C" w:rsidRDefault="001B2792" w:rsidP="0042546F">
      <w:pPr>
        <w:numPr>
          <w:ilvl w:val="0"/>
          <w:numId w:val="32"/>
        </w:numPr>
        <w:tabs>
          <w:tab w:val="left" w:pos="1080"/>
          <w:tab w:val="left" w:pos="1260"/>
        </w:tabs>
        <w:spacing w:before="120" w:after="120"/>
        <w:ind w:left="839" w:right="74" w:hanging="357"/>
        <w:jc w:val="both"/>
        <w:rPr>
          <w:bCs/>
        </w:rPr>
      </w:pPr>
      <w:r w:rsidRPr="003C1C6C">
        <w:rPr>
          <w:i/>
          <w:szCs w:val="20"/>
          <w:lang w:eastAsia="en-US"/>
        </w:rPr>
        <w:t>Дялово участие на Република България в Международния валутен фонд</w:t>
      </w:r>
    </w:p>
    <w:p w14:paraId="1158961E" w14:textId="77777777" w:rsidR="001B2792" w:rsidRPr="003C1C6C" w:rsidRDefault="001B2792" w:rsidP="001B2792">
      <w:pPr>
        <w:spacing w:after="120"/>
        <w:ind w:firstLine="720"/>
        <w:jc w:val="both"/>
        <w:rPr>
          <w:i/>
          <w:szCs w:val="20"/>
          <w:lang w:eastAsia="en-US"/>
        </w:rPr>
      </w:pPr>
      <w:r w:rsidRPr="003C1C6C">
        <w:rPr>
          <w:szCs w:val="20"/>
          <w:lang w:eastAsia="en-US"/>
        </w:rPr>
        <w:t>Във връзка с уреждане на задължения по годишната преоценка на дяловото участие в национална валута на Република България в Международния валутен фонд бе извършено плащане в размер на 0,4 млн. лв.</w:t>
      </w:r>
    </w:p>
    <w:p w14:paraId="0E83C176" w14:textId="77777777" w:rsidR="001B2792" w:rsidRPr="00AD444D" w:rsidRDefault="001B2792" w:rsidP="001B2792">
      <w:pPr>
        <w:numPr>
          <w:ilvl w:val="0"/>
          <w:numId w:val="32"/>
        </w:numPr>
        <w:tabs>
          <w:tab w:val="left" w:pos="1276"/>
        </w:tabs>
        <w:spacing w:after="120" w:line="360" w:lineRule="auto"/>
        <w:ind w:right="74"/>
        <w:contextualSpacing/>
        <w:jc w:val="both"/>
        <w:rPr>
          <w:i/>
          <w:szCs w:val="20"/>
          <w:lang w:eastAsia="en-US"/>
        </w:rPr>
      </w:pPr>
      <w:r w:rsidRPr="00AD444D">
        <w:rPr>
          <w:i/>
          <w:szCs w:val="20"/>
          <w:lang w:eastAsia="en-US"/>
        </w:rPr>
        <w:t xml:space="preserve">Дялови участия в организации от групата на Световната банка </w:t>
      </w:r>
    </w:p>
    <w:p w14:paraId="6FA1870F" w14:textId="77777777" w:rsidR="001B2792" w:rsidRPr="00AD444D" w:rsidRDefault="001B2792" w:rsidP="0042546F">
      <w:pPr>
        <w:ind w:firstLine="855"/>
        <w:jc w:val="both"/>
        <w:rPr>
          <w:szCs w:val="20"/>
          <w:lang w:eastAsia="en-US"/>
        </w:rPr>
      </w:pPr>
      <w:r w:rsidRPr="00AD444D">
        <w:rPr>
          <w:szCs w:val="20"/>
          <w:lang w:eastAsia="en-US"/>
        </w:rPr>
        <w:t>През 2022 г. бе направен разход за уреждане на задължения по съществуващото дялово участие на Република България в Международната банка за възстановяване и развитие в размер на 1,4 млн. лв. за инкасиране на издадена левова полица с цел покриване на административни разходи на Банката в национална валута.</w:t>
      </w:r>
    </w:p>
    <w:p w14:paraId="22C73752" w14:textId="77777777" w:rsidR="001B2792" w:rsidRPr="00AD444D" w:rsidRDefault="001B2792" w:rsidP="0042546F">
      <w:pPr>
        <w:ind w:firstLine="855"/>
        <w:jc w:val="both"/>
        <w:rPr>
          <w:szCs w:val="20"/>
          <w:lang w:eastAsia="en-US"/>
        </w:rPr>
      </w:pPr>
      <w:r w:rsidRPr="00AD444D">
        <w:rPr>
          <w:szCs w:val="20"/>
          <w:lang w:eastAsia="en-US"/>
        </w:rPr>
        <w:t>В изпълнение на ангажиментите по Споразумение за безвъзмездна финансова помощ между правителството на Република България и Международната асоциация за развитие (МАР) относно деветнадесетото захранване на ресурсите на МАР, сключено чрез размяна на писма от 1 и 2 ноември 2021 г., бяха осъществени плащания на две вноски с общ размер от 5,3 млн. лева.</w:t>
      </w:r>
    </w:p>
    <w:p w14:paraId="4FA21BC8" w14:textId="15A1F6FB" w:rsidR="001B2792" w:rsidRPr="00F92621" w:rsidRDefault="001B2792" w:rsidP="0042546F">
      <w:pPr>
        <w:ind w:right="74" w:firstLine="709"/>
        <w:jc w:val="both"/>
        <w:rPr>
          <w:szCs w:val="20"/>
          <w:lang w:eastAsia="en-US"/>
        </w:rPr>
      </w:pPr>
      <w:r w:rsidRPr="003C1C6C">
        <w:rPr>
          <w:szCs w:val="20"/>
          <w:lang w:eastAsia="en-US"/>
        </w:rPr>
        <w:t xml:space="preserve">Изразходваните средства за придобиване на дялове, акции и съучастия (нето) по бюджетите на министерствата и ведомствата през 2022 г. са в размер на 195,5 млн. лв., от които </w:t>
      </w:r>
      <w:r>
        <w:rPr>
          <w:szCs w:val="20"/>
          <w:lang w:eastAsia="en-US"/>
        </w:rPr>
        <w:t xml:space="preserve">50,0 млн. лв. за </w:t>
      </w:r>
      <w:r w:rsidRPr="00FB70F2">
        <w:rPr>
          <w:szCs w:val="20"/>
          <w:lang w:eastAsia="en-US"/>
        </w:rPr>
        <w:t>увелич</w:t>
      </w:r>
      <w:r>
        <w:rPr>
          <w:szCs w:val="20"/>
          <w:lang w:eastAsia="en-US"/>
        </w:rPr>
        <w:t>аване</w:t>
      </w:r>
      <w:r w:rsidRPr="00FB70F2">
        <w:rPr>
          <w:szCs w:val="20"/>
          <w:lang w:eastAsia="en-US"/>
        </w:rPr>
        <w:t xml:space="preserve"> дела на държавата като едноличен собственик на капитала на „Фонд ФЛАГ“ ЕАД</w:t>
      </w:r>
      <w:r>
        <w:rPr>
          <w:szCs w:val="20"/>
          <w:lang w:eastAsia="en-US"/>
        </w:rPr>
        <w:t>, 46,0 млн. лв. за увеличаване на капитала на „Български пощи“ ЕАД, 20,0</w:t>
      </w:r>
      <w:r w:rsidRPr="007B48E9">
        <w:rPr>
          <w:color w:val="0070C0"/>
          <w:szCs w:val="20"/>
          <w:lang w:eastAsia="en-US"/>
        </w:rPr>
        <w:t xml:space="preserve"> </w:t>
      </w:r>
      <w:r w:rsidRPr="00471479">
        <w:rPr>
          <w:szCs w:val="20"/>
          <w:lang w:eastAsia="en-US"/>
        </w:rPr>
        <w:t xml:space="preserve">млн. лв. за увеличаване капитала на „Здравна инвестиционна компания за детска болница“ ЕАД, </w:t>
      </w:r>
      <w:r>
        <w:rPr>
          <w:szCs w:val="20"/>
          <w:lang w:eastAsia="en-US"/>
        </w:rPr>
        <w:t>28</w:t>
      </w:r>
      <w:r w:rsidRPr="00471479">
        <w:rPr>
          <w:szCs w:val="20"/>
          <w:lang w:eastAsia="en-US"/>
        </w:rPr>
        <w:t xml:space="preserve">,5 млн. лв. за придобиване на акции при увеличаване капитала на МБАЛ </w:t>
      </w:r>
      <w:r w:rsidR="0098595D">
        <w:rPr>
          <w:szCs w:val="20"/>
          <w:lang w:eastAsia="en-US"/>
        </w:rPr>
        <w:t>„</w:t>
      </w:r>
      <w:r w:rsidRPr="00471479">
        <w:rPr>
          <w:szCs w:val="20"/>
          <w:lang w:eastAsia="en-US"/>
        </w:rPr>
        <w:t>Свети Пантелеймон</w:t>
      </w:r>
      <w:r w:rsidR="0098595D">
        <w:rPr>
          <w:szCs w:val="20"/>
          <w:lang w:eastAsia="en-US"/>
        </w:rPr>
        <w:t>“</w:t>
      </w:r>
      <w:r w:rsidRPr="00471479">
        <w:rPr>
          <w:szCs w:val="20"/>
          <w:lang w:eastAsia="en-US"/>
        </w:rPr>
        <w:t>, гр. Ямбол</w:t>
      </w:r>
      <w:r>
        <w:rPr>
          <w:szCs w:val="20"/>
          <w:lang w:eastAsia="en-US"/>
        </w:rPr>
        <w:t xml:space="preserve"> и 15,0 млн. лв. за УМБАЛ „Лозенец</w:t>
      </w:r>
      <w:r w:rsidRPr="00F92621">
        <w:rPr>
          <w:szCs w:val="20"/>
          <w:lang w:eastAsia="en-US"/>
        </w:rPr>
        <w:t>“. За увеличаване акционерното участие на държавата в капитала на „Бул био-НЦЗПБ“ ЕООД бе внесена парична вноска от страна на държавата в размер 7,6 млн. лв., на „Национална спортна база“ ЕАД – 6,0 млн. лв., на „Академика 2011“ ЕАД – 6,0 млн. лв., на „София Тех Парк“ АД, гр. София - 3,8 млн. лв. и други.</w:t>
      </w:r>
    </w:p>
    <w:p w14:paraId="19109D14" w14:textId="77777777" w:rsidR="001B2792" w:rsidRPr="003C1C6C" w:rsidRDefault="001B2792" w:rsidP="0042546F">
      <w:pPr>
        <w:ind w:right="74" w:firstLine="709"/>
        <w:jc w:val="both"/>
        <w:rPr>
          <w:szCs w:val="20"/>
          <w:lang w:eastAsia="en-US"/>
        </w:rPr>
      </w:pPr>
      <w:r w:rsidRPr="003C1C6C">
        <w:rPr>
          <w:szCs w:val="20"/>
          <w:lang w:eastAsia="en-US"/>
        </w:rPr>
        <w:t>Изразходваните средства за придобиване на дялове, акции и съучастия по общинските бюджети (нето) през 2022 г. са в размер на (- 11,0) млн. лева.</w:t>
      </w:r>
    </w:p>
    <w:p w14:paraId="2D66BE71" w14:textId="77777777" w:rsidR="001B2792" w:rsidRPr="007B48E9" w:rsidRDefault="001B2792" w:rsidP="001B2792">
      <w:pPr>
        <w:spacing w:before="240"/>
        <w:ind w:right="74" w:firstLine="720"/>
        <w:jc w:val="both"/>
        <w:rPr>
          <w:i/>
          <w:color w:val="0070C0"/>
          <w:szCs w:val="20"/>
          <w:lang w:eastAsia="en-US"/>
        </w:rPr>
      </w:pPr>
      <w:r w:rsidRPr="00F92621">
        <w:rPr>
          <w:b/>
          <w:i/>
          <w:szCs w:val="20"/>
          <w:lang w:eastAsia="en-US"/>
        </w:rPr>
        <w:t>Финансови операции по прилагане на Общата селскостопанска политика</w:t>
      </w:r>
      <w:bookmarkEnd w:id="404"/>
      <w:bookmarkEnd w:id="405"/>
      <w:bookmarkEnd w:id="406"/>
      <w:bookmarkEnd w:id="407"/>
      <w:bookmarkEnd w:id="408"/>
      <w:r w:rsidRPr="00F92621">
        <w:rPr>
          <w:b/>
          <w:i/>
          <w:szCs w:val="20"/>
          <w:lang w:eastAsia="en-US"/>
        </w:rPr>
        <w:t xml:space="preserve"> на ЕС</w:t>
      </w:r>
    </w:p>
    <w:p w14:paraId="59A4B50A" w14:textId="77777777" w:rsidR="001B2792" w:rsidRPr="00F92621" w:rsidRDefault="001B2792" w:rsidP="0042546F">
      <w:pPr>
        <w:ind w:firstLine="720"/>
        <w:jc w:val="both"/>
      </w:pPr>
      <w:bookmarkStart w:id="410" w:name="_Toc136597754"/>
      <w:bookmarkStart w:id="411" w:name="_Toc136601657"/>
      <w:bookmarkStart w:id="412" w:name="_Toc136836517"/>
      <w:bookmarkStart w:id="413" w:name="_Toc136923091"/>
      <w:bookmarkStart w:id="414" w:name="_Toc230007081"/>
      <w:bookmarkStart w:id="415" w:name="_Toc324863435"/>
      <w:bookmarkStart w:id="416" w:name="_Toc326315927"/>
      <w:bookmarkStart w:id="417" w:name="_Toc357527112"/>
      <w:bookmarkStart w:id="418" w:name="_Toc393728086"/>
      <w:r w:rsidRPr="00F92621">
        <w:t>Нетните операции по прилагане на Общата селскостопанска политика на ЕС към 31.12.2022 г. са в отрицателен размер на 117,6 млн. лв., в т.ч. плащания за сметка на ЕС в размер на 1 874,0 млн. лв. и възстановени средства от ЕС в размер на 1 756,4 млн. лева.</w:t>
      </w:r>
    </w:p>
    <w:p w14:paraId="1EC21F1F" w14:textId="77777777" w:rsidR="001B2792" w:rsidRPr="00F92621" w:rsidRDefault="001B2792" w:rsidP="0042546F">
      <w:pPr>
        <w:ind w:firstLine="720"/>
        <w:jc w:val="both"/>
      </w:pPr>
      <w:r w:rsidRPr="00F92621">
        <w:t xml:space="preserve">Финансовото подпомагане на селското стопанство със средства от ЕС се осъществява в следните направления: директни плащания и пазарна подкрепа. </w:t>
      </w:r>
    </w:p>
    <w:p w14:paraId="18309D9D" w14:textId="77777777" w:rsidR="001B2792" w:rsidRPr="00F92621" w:rsidRDefault="001B2792" w:rsidP="0042546F">
      <w:pPr>
        <w:ind w:right="-108" w:firstLine="720"/>
        <w:jc w:val="both"/>
        <w:rPr>
          <w:bCs/>
        </w:rPr>
      </w:pPr>
      <w:r w:rsidRPr="00F92621">
        <w:t xml:space="preserve">Схемите за директни плащания са основната форма за субсидиране на аграрното производство със средства от ЕС, като у нас се прилага схемата за единно плащане на площ (СЕПП). Средствата за тези схеми се предоставят от Европейския фонд за гарантиране на земеделието (ЕФГЗ). През 2022 г. изплатените средства за отчетния период възлизат на 1 556,7 млн. лв. или </w:t>
      </w:r>
      <w:r w:rsidRPr="008F7FBB">
        <w:t xml:space="preserve">96,8 % изпълнение спрямо планираните разчети. </w:t>
      </w:r>
      <w:r w:rsidRPr="00F92621">
        <w:t>Сумата на възстановените от ЕС средства за 2022 г. е 1 518,2 млн. лева.</w:t>
      </w:r>
    </w:p>
    <w:p w14:paraId="1C1B501A" w14:textId="77777777" w:rsidR="001B2792" w:rsidRPr="00F92621" w:rsidRDefault="001B2792" w:rsidP="0042546F">
      <w:pPr>
        <w:ind w:right="-108" w:firstLine="720"/>
        <w:jc w:val="both"/>
      </w:pPr>
      <w:r w:rsidRPr="00F92621">
        <w:t xml:space="preserve">През изминалата година средствата от Европейския земеделски фонд за развитие на селските райони </w:t>
      </w:r>
      <w:r w:rsidRPr="00F92621">
        <w:rPr>
          <w:lang w:val="ru-RU"/>
        </w:rPr>
        <w:t>(</w:t>
      </w:r>
      <w:r w:rsidRPr="00F92621">
        <w:t>ЕЗФРСР</w:t>
      </w:r>
      <w:r w:rsidRPr="00F92621">
        <w:rPr>
          <w:lang w:val="ru-RU"/>
        </w:rPr>
        <w:t>)</w:t>
      </w:r>
      <w:r w:rsidRPr="00F92621">
        <w:t xml:space="preserve">, които бяха насочени към преките плащания, са в размер на 267,0 млн. лв., а размерът на възстановените от ЕС средства е 182,7 млн. лева. </w:t>
      </w:r>
    </w:p>
    <w:p w14:paraId="5EDCB489" w14:textId="77777777" w:rsidR="001B2792" w:rsidRPr="00F92621" w:rsidRDefault="001B2792" w:rsidP="0042546F">
      <w:pPr>
        <w:ind w:firstLine="720"/>
        <w:jc w:val="both"/>
      </w:pPr>
      <w:r w:rsidRPr="00F92621">
        <w:t>Предвидените средства за пазарна подкрепа включват средства, които биха се получавали при интервенция в сектори като зърнени култури, месо, мляко, плодове и зеленчуци; експортни субсидии в повечето сектори; помощи за повишаване консумацията на някои продукти; и подкрепа на организации на производители на плодове и зеленчуци. В тези сектори средствата за пазарна подкрепа се отпускат в зависимост от пазарната ситуация и след решение от страна на Европейската комисия. Размерът на усвоените средства в края на годината е 39,7 млн. лв., при възстановени от ЕС – 36,4 млн. лева.</w:t>
      </w:r>
    </w:p>
    <w:p w14:paraId="5406C35C" w14:textId="77777777" w:rsidR="001B2792" w:rsidRPr="00F92621" w:rsidRDefault="001B2792" w:rsidP="001B2792">
      <w:pPr>
        <w:ind w:firstLine="720"/>
        <w:jc w:val="both"/>
      </w:pPr>
      <w:r w:rsidRPr="00F92621">
        <w:t>През 2022 г. са усвоени 10,7 млн. лв. за преструктуриране, при възстановени от ЕС 19,1 млн. лева.</w:t>
      </w:r>
    </w:p>
    <w:p w14:paraId="2281873A" w14:textId="77777777" w:rsidR="001B2792" w:rsidRPr="00F92621" w:rsidRDefault="001B2792" w:rsidP="001B2792">
      <w:pPr>
        <w:pStyle w:val="Heading3"/>
        <w:numPr>
          <w:ilvl w:val="2"/>
          <w:numId w:val="7"/>
        </w:numPr>
        <w:rPr>
          <w:rFonts w:ascii="Times New Roman" w:hAnsi="Times New Roman"/>
          <w:sz w:val="24"/>
          <w:lang w:val="bg-BG"/>
        </w:rPr>
      </w:pPr>
      <w:bookmarkStart w:id="419" w:name="_Toc462146134"/>
      <w:bookmarkStart w:id="420" w:name="_Toc515375466"/>
      <w:bookmarkStart w:id="421" w:name="_Toc11323356"/>
      <w:bookmarkStart w:id="422" w:name="_Toc18316966"/>
      <w:bookmarkStart w:id="423" w:name="_Toc51339845"/>
      <w:bookmarkStart w:id="424" w:name="_Toc106208181"/>
      <w:bookmarkStart w:id="425" w:name="_Toc137034004"/>
      <w:bookmarkStart w:id="426" w:name="_Toc146037921"/>
      <w:r w:rsidRPr="00F92621">
        <w:rPr>
          <w:rFonts w:ascii="Times New Roman" w:hAnsi="Times New Roman"/>
          <w:sz w:val="24"/>
          <w:lang w:val="bg-BG"/>
        </w:rPr>
        <w:t>Приватизация</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5E2D77A3" w14:textId="134D6D46" w:rsidR="001B2792" w:rsidRPr="00A54AB3" w:rsidRDefault="001B2792" w:rsidP="001B2792">
      <w:pPr>
        <w:ind w:firstLine="709"/>
        <w:jc w:val="both"/>
      </w:pPr>
      <w:r w:rsidRPr="00F92621">
        <w:t xml:space="preserve">Общият размер на постъпленията от приватизация за 2022 г. на консолидирана база възлиза на 8,0 млн. лв., като 0,1 млн. лв. са средства, постъпили  по държавния бюджет, а останалите средства са от приватизация на общински </w:t>
      </w:r>
      <w:r w:rsidRPr="00A54AB3">
        <w:t>предприятия. През 2022 г. в централния бюджет са постъпили 0,1 млн. лв., които представляват изплатени суми по изпълнителни дела във връзка с продажба на 68% от капитала на „Мусала“ ЕАД, гр. Самоков, с купувач „Мусала 2000“ АД, възстановени средства от КТБ за продажбата на 100% от капитала на „Техноекспортстрой“ ЕАД, с купувач „АТ Инженеринг 2000“ ООД, както и остатък по доверителна сметка за обект „Топлофикация Русе“ ЕАД.</w:t>
      </w:r>
    </w:p>
    <w:p w14:paraId="5BD8B298" w14:textId="73CC05E3" w:rsidR="00D154AB" w:rsidRPr="00950CE0" w:rsidRDefault="00D154AB" w:rsidP="004D74B5">
      <w:pPr>
        <w:pStyle w:val="Heading3"/>
        <w:numPr>
          <w:ilvl w:val="2"/>
          <w:numId w:val="7"/>
        </w:numPr>
        <w:rPr>
          <w:rFonts w:ascii="Times New Roman" w:hAnsi="Times New Roman"/>
          <w:sz w:val="24"/>
          <w:lang w:val="bg-BG"/>
        </w:rPr>
      </w:pPr>
      <w:bookmarkStart w:id="427" w:name="_Toc146037922"/>
      <w:r w:rsidRPr="00950CE0">
        <w:rPr>
          <w:rFonts w:ascii="Times New Roman" w:hAnsi="Times New Roman"/>
          <w:sz w:val="24"/>
          <w:lang w:val="bg-BG"/>
        </w:rPr>
        <w:t>Средства, акумулирани по сметка на Държавния фонд за гарантиране  устойчивост на държавната пенсионна система</w:t>
      </w:r>
      <w:bookmarkEnd w:id="390"/>
      <w:bookmarkEnd w:id="427"/>
    </w:p>
    <w:p w14:paraId="347A38FA" w14:textId="5C617C4C" w:rsidR="000C72DA" w:rsidRPr="00950CE0" w:rsidRDefault="000C72DA" w:rsidP="000C72DA">
      <w:pPr>
        <w:widowControl w:val="0"/>
        <w:autoSpaceDE w:val="0"/>
        <w:autoSpaceDN w:val="0"/>
        <w:adjustRightInd w:val="0"/>
        <w:ind w:firstLine="708"/>
        <w:jc w:val="both"/>
      </w:pPr>
      <w:r w:rsidRPr="00950CE0">
        <w:t>Общият паричен ресурс към 31.12.202</w:t>
      </w:r>
      <w:r w:rsidR="00950CE0" w:rsidRPr="004D5FFC">
        <w:rPr>
          <w:lang w:val="ru-RU"/>
        </w:rPr>
        <w:t>2</w:t>
      </w:r>
      <w:r w:rsidRPr="00950CE0">
        <w:t xml:space="preserve"> г. по сметка на Държавния фонд за гарантиране устойчивост на държавната пенсионна система в Българска народна банка е в размер на </w:t>
      </w:r>
      <w:r w:rsidRPr="00950CE0">
        <w:rPr>
          <w:b/>
        </w:rPr>
        <w:t>3</w:t>
      </w:r>
      <w:r w:rsidRPr="00950CE0">
        <w:rPr>
          <w:b/>
          <w:lang w:val="en-US"/>
        </w:rPr>
        <w:t> </w:t>
      </w:r>
      <w:r w:rsidR="00950CE0" w:rsidRPr="004D5FFC">
        <w:rPr>
          <w:b/>
          <w:lang w:val="ru-RU"/>
        </w:rPr>
        <w:t>695</w:t>
      </w:r>
      <w:r w:rsidRPr="00950CE0">
        <w:rPr>
          <w:b/>
        </w:rPr>
        <w:t>,</w:t>
      </w:r>
      <w:r w:rsidR="00950CE0" w:rsidRPr="004D5FFC">
        <w:rPr>
          <w:b/>
          <w:lang w:val="ru-RU"/>
        </w:rPr>
        <w:t>9</w:t>
      </w:r>
      <w:r w:rsidRPr="00950CE0">
        <w:rPr>
          <w:b/>
        </w:rPr>
        <w:t xml:space="preserve"> млн. лв.</w:t>
      </w:r>
      <w:r w:rsidRPr="00950CE0">
        <w:t xml:space="preserve">, от който 3 </w:t>
      </w:r>
      <w:r w:rsidR="00950CE0" w:rsidRPr="004D5FFC">
        <w:rPr>
          <w:lang w:val="ru-RU"/>
        </w:rPr>
        <w:t>691</w:t>
      </w:r>
      <w:r w:rsidRPr="00950CE0">
        <w:t>,</w:t>
      </w:r>
      <w:r w:rsidR="00950CE0" w:rsidRPr="004D5FFC">
        <w:rPr>
          <w:lang w:val="ru-RU"/>
        </w:rPr>
        <w:t>3</w:t>
      </w:r>
      <w:r w:rsidRPr="00950CE0">
        <w:t xml:space="preserve"> млн. лв. са депозирани в отделна сметка. Общата наличност от 3 </w:t>
      </w:r>
      <w:r w:rsidR="00950CE0" w:rsidRPr="00950CE0">
        <w:rPr>
          <w:lang w:val="en-US"/>
        </w:rPr>
        <w:t>695</w:t>
      </w:r>
      <w:r w:rsidRPr="00950CE0">
        <w:t>,</w:t>
      </w:r>
      <w:r w:rsidR="00950CE0" w:rsidRPr="00950CE0">
        <w:rPr>
          <w:lang w:val="en-US"/>
        </w:rPr>
        <w:t>9</w:t>
      </w:r>
      <w:r w:rsidRPr="00950CE0">
        <w:rPr>
          <w:lang w:val="en-US"/>
        </w:rPr>
        <w:t> </w:t>
      </w:r>
      <w:r w:rsidRPr="00950CE0">
        <w:t>млн.</w:t>
      </w:r>
      <w:r w:rsidRPr="00950CE0">
        <w:rPr>
          <w:lang w:val="en-US"/>
        </w:rPr>
        <w:t> </w:t>
      </w:r>
      <w:r w:rsidRPr="00950CE0">
        <w:t>лв. включва:</w:t>
      </w:r>
    </w:p>
    <w:p w14:paraId="4FE8A031" w14:textId="0B5862A9" w:rsidR="000C72DA" w:rsidRPr="00950CE0" w:rsidRDefault="000C72DA" w:rsidP="00950CE0">
      <w:pPr>
        <w:widowControl w:val="0"/>
        <w:numPr>
          <w:ilvl w:val="0"/>
          <w:numId w:val="3"/>
        </w:numPr>
        <w:tabs>
          <w:tab w:val="clear" w:pos="1635"/>
          <w:tab w:val="num" w:pos="900"/>
        </w:tabs>
        <w:autoSpaceDE w:val="0"/>
        <w:autoSpaceDN w:val="0"/>
        <w:adjustRightInd w:val="0"/>
        <w:ind w:left="0" w:firstLine="720"/>
        <w:jc w:val="both"/>
      </w:pPr>
      <w:r w:rsidRPr="00950CE0">
        <w:t>наличност на 01.01.202</w:t>
      </w:r>
      <w:r w:rsidR="00950CE0" w:rsidRPr="004D5FFC">
        <w:rPr>
          <w:lang w:val="ru-RU"/>
        </w:rPr>
        <w:t>2</w:t>
      </w:r>
      <w:r w:rsidRPr="00950CE0">
        <w:t xml:space="preserve"> г. – </w:t>
      </w:r>
      <w:r w:rsidRPr="00950CE0">
        <w:rPr>
          <w:b/>
        </w:rPr>
        <w:t xml:space="preserve">3 </w:t>
      </w:r>
      <w:r w:rsidR="00950CE0" w:rsidRPr="004D5FFC">
        <w:rPr>
          <w:b/>
          <w:lang w:val="ru-RU"/>
        </w:rPr>
        <w:t>551</w:t>
      </w:r>
      <w:r w:rsidRPr="00950CE0">
        <w:rPr>
          <w:b/>
        </w:rPr>
        <w:t>,</w:t>
      </w:r>
      <w:r w:rsidR="00950CE0" w:rsidRPr="004D5FFC">
        <w:rPr>
          <w:b/>
          <w:lang w:val="ru-RU"/>
        </w:rPr>
        <w:t>3</w:t>
      </w:r>
      <w:r w:rsidRPr="00950CE0">
        <w:rPr>
          <w:b/>
        </w:rPr>
        <w:t xml:space="preserve"> млн. лв</w:t>
      </w:r>
      <w:r w:rsidRPr="00950CE0">
        <w:t>., от които: депозирани в отделна сметка - 3 </w:t>
      </w:r>
      <w:r w:rsidR="00950CE0" w:rsidRPr="004D5FFC">
        <w:rPr>
          <w:lang w:val="ru-RU"/>
        </w:rPr>
        <w:t>551</w:t>
      </w:r>
      <w:r w:rsidRPr="00950CE0">
        <w:t xml:space="preserve">,0 млн. лв. и по текуща банкова сметка – </w:t>
      </w:r>
      <w:r w:rsidR="00950CE0" w:rsidRPr="004D5FFC">
        <w:rPr>
          <w:lang w:val="ru-RU"/>
        </w:rPr>
        <w:t>0</w:t>
      </w:r>
      <w:r w:rsidRPr="00950CE0">
        <w:t>,</w:t>
      </w:r>
      <w:r w:rsidR="00950CE0" w:rsidRPr="004D5FFC">
        <w:rPr>
          <w:lang w:val="ru-RU"/>
        </w:rPr>
        <w:t>3</w:t>
      </w:r>
      <w:r w:rsidRPr="00950CE0">
        <w:t xml:space="preserve"> млн. лв.</w:t>
      </w:r>
    </w:p>
    <w:p w14:paraId="2A565BAF" w14:textId="7C4F6F68" w:rsidR="000C72DA" w:rsidRPr="00950CE0" w:rsidRDefault="000C72DA" w:rsidP="004D74B5">
      <w:pPr>
        <w:widowControl w:val="0"/>
        <w:numPr>
          <w:ilvl w:val="0"/>
          <w:numId w:val="3"/>
        </w:numPr>
        <w:tabs>
          <w:tab w:val="clear" w:pos="1635"/>
          <w:tab w:val="num" w:pos="900"/>
        </w:tabs>
        <w:autoSpaceDE w:val="0"/>
        <w:autoSpaceDN w:val="0"/>
        <w:adjustRightInd w:val="0"/>
        <w:ind w:hanging="915"/>
        <w:jc w:val="both"/>
      </w:pPr>
      <w:r w:rsidRPr="00950CE0">
        <w:t xml:space="preserve">трансфери от/за централния бюджет, в нетен размер на </w:t>
      </w:r>
      <w:r w:rsidR="00950CE0" w:rsidRPr="004D5FFC">
        <w:rPr>
          <w:b/>
          <w:lang w:val="ru-RU"/>
        </w:rPr>
        <w:t>133</w:t>
      </w:r>
      <w:r w:rsidRPr="00950CE0">
        <w:rPr>
          <w:b/>
        </w:rPr>
        <w:t>,</w:t>
      </w:r>
      <w:r w:rsidR="00950CE0" w:rsidRPr="004D5FFC">
        <w:rPr>
          <w:b/>
          <w:lang w:val="ru-RU"/>
        </w:rPr>
        <w:t>7</w:t>
      </w:r>
      <w:r w:rsidRPr="00950CE0">
        <w:rPr>
          <w:b/>
        </w:rPr>
        <w:t xml:space="preserve"> млн. лв.</w:t>
      </w:r>
      <w:r w:rsidRPr="00950CE0">
        <w:t>, от тях:</w:t>
      </w:r>
    </w:p>
    <w:p w14:paraId="4E0800EB" w14:textId="1DEA6ABD" w:rsidR="000C72DA" w:rsidRPr="00950CE0" w:rsidRDefault="000C72DA" w:rsidP="004D74B5">
      <w:pPr>
        <w:widowControl w:val="0"/>
        <w:numPr>
          <w:ilvl w:val="0"/>
          <w:numId w:val="12"/>
        </w:numPr>
        <w:autoSpaceDE w:val="0"/>
        <w:autoSpaceDN w:val="0"/>
        <w:adjustRightInd w:val="0"/>
        <w:ind w:left="1134" w:firstLine="0"/>
        <w:jc w:val="both"/>
      </w:pPr>
      <w:r w:rsidRPr="00950CE0">
        <w:rPr>
          <w:u w:val="single"/>
        </w:rPr>
        <w:t>Съгласно разпоредбата на чл. 11 от Закона за Държавния фонд за гарантиране устойчивост на държавната пенсионна система</w:t>
      </w:r>
      <w:r w:rsidRPr="00950CE0">
        <w:rPr>
          <w:b/>
          <w:lang w:val="en-US"/>
        </w:rPr>
        <w:t> </w:t>
      </w:r>
      <w:r w:rsidRPr="00950CE0">
        <w:rPr>
          <w:b/>
        </w:rPr>
        <w:t>–</w:t>
      </w:r>
      <w:r w:rsidRPr="00950CE0">
        <w:t xml:space="preserve"> </w:t>
      </w:r>
      <w:r w:rsidR="00950CE0" w:rsidRPr="00950CE0">
        <w:rPr>
          <w:b/>
        </w:rPr>
        <w:t>103</w:t>
      </w:r>
      <w:r w:rsidRPr="00950CE0">
        <w:rPr>
          <w:b/>
        </w:rPr>
        <w:t>,7</w:t>
      </w:r>
      <w:r w:rsidRPr="00950CE0">
        <w:rPr>
          <w:b/>
          <w:lang w:val="en-US"/>
        </w:rPr>
        <w:t> </w:t>
      </w:r>
      <w:r w:rsidRPr="00950CE0">
        <w:rPr>
          <w:b/>
        </w:rPr>
        <w:t>млн.</w:t>
      </w:r>
      <w:r w:rsidRPr="00950CE0">
        <w:rPr>
          <w:b/>
          <w:lang w:val="en-US"/>
        </w:rPr>
        <w:t> </w:t>
      </w:r>
      <w:r w:rsidRPr="00950CE0">
        <w:rPr>
          <w:b/>
        </w:rPr>
        <w:t>лв.</w:t>
      </w:r>
      <w:r w:rsidRPr="00950CE0">
        <w:t>, включващи:</w:t>
      </w:r>
    </w:p>
    <w:p w14:paraId="241827FE" w14:textId="53243611" w:rsidR="000C72DA" w:rsidRPr="00950CE0" w:rsidRDefault="00950CE0" w:rsidP="000C72DA">
      <w:pPr>
        <w:widowControl w:val="0"/>
        <w:autoSpaceDE w:val="0"/>
        <w:autoSpaceDN w:val="0"/>
        <w:adjustRightInd w:val="0"/>
        <w:spacing w:after="120"/>
        <w:ind w:firstLine="708"/>
        <w:jc w:val="both"/>
      </w:pPr>
      <w:r w:rsidRPr="004D5FFC">
        <w:rPr>
          <w:lang w:val="ru-RU"/>
        </w:rPr>
        <w:t>0</w:t>
      </w:r>
      <w:r w:rsidR="000C72DA" w:rsidRPr="00950CE0">
        <w:t>,</w:t>
      </w:r>
      <w:r w:rsidRPr="004D5FFC">
        <w:rPr>
          <w:lang w:val="ru-RU"/>
        </w:rPr>
        <w:t>6</w:t>
      </w:r>
      <w:r w:rsidR="000C72DA" w:rsidRPr="00950CE0">
        <w:t xml:space="preserve"> млн. лв. – парични постъпления от приватизация, отчетени по държавния бюджет за 202</w:t>
      </w:r>
      <w:r w:rsidRPr="004D5FFC">
        <w:rPr>
          <w:lang w:val="ru-RU"/>
        </w:rPr>
        <w:t>1</w:t>
      </w:r>
      <w:r w:rsidR="000C72DA" w:rsidRPr="00950CE0">
        <w:t xml:space="preserve"> г. (чл. 11, ал.1, т. 1 от</w:t>
      </w:r>
      <w:r w:rsidR="000C72DA" w:rsidRPr="00950CE0">
        <w:rPr>
          <w:lang w:val="ru-RU"/>
        </w:rPr>
        <w:t xml:space="preserve"> </w:t>
      </w:r>
      <w:r w:rsidR="000C72DA" w:rsidRPr="00950CE0">
        <w:t>Закона за Държавния фонд за гарантиране устойчивост на държавната пенсионна система);</w:t>
      </w:r>
    </w:p>
    <w:p w14:paraId="4DC2EEF9" w14:textId="481E25A2" w:rsidR="000C72DA" w:rsidRPr="00950CE0" w:rsidRDefault="000C72DA" w:rsidP="000C72DA">
      <w:pPr>
        <w:widowControl w:val="0"/>
        <w:autoSpaceDE w:val="0"/>
        <w:autoSpaceDN w:val="0"/>
        <w:adjustRightInd w:val="0"/>
        <w:spacing w:after="120"/>
        <w:ind w:firstLine="708"/>
        <w:jc w:val="both"/>
      </w:pPr>
      <w:r w:rsidRPr="00950CE0">
        <w:t>9</w:t>
      </w:r>
      <w:r w:rsidR="00950CE0" w:rsidRPr="004D5FFC">
        <w:rPr>
          <w:lang w:val="ru-RU"/>
        </w:rPr>
        <w:t>8</w:t>
      </w:r>
      <w:r w:rsidRPr="00950CE0">
        <w:t>,</w:t>
      </w:r>
      <w:r w:rsidR="00950CE0" w:rsidRPr="004D5FFC">
        <w:rPr>
          <w:lang w:val="ru-RU"/>
        </w:rPr>
        <w:t>0</w:t>
      </w:r>
      <w:r w:rsidRPr="00950CE0">
        <w:t xml:space="preserve"> млн. лв. - приходи от концесии, отчетени по държавния бюджет за 202</w:t>
      </w:r>
      <w:r w:rsidR="00950CE0" w:rsidRPr="004D5FFC">
        <w:rPr>
          <w:lang w:val="ru-RU"/>
        </w:rPr>
        <w:t>1</w:t>
      </w:r>
      <w:r w:rsidRPr="00950CE0">
        <w:t xml:space="preserve"> г. </w:t>
      </w:r>
      <w:r w:rsidRPr="00950CE0">
        <w:rPr>
          <w:lang w:val="ru-RU"/>
        </w:rPr>
        <w:t>(</w:t>
      </w:r>
      <w:r w:rsidRPr="00950CE0">
        <w:t>чл. 11, ал. 1, т. 3 от Закона за Държавния фонд за гарантиране устойчивост на държавната пенсионна система</w:t>
      </w:r>
      <w:r w:rsidRPr="00950CE0">
        <w:rPr>
          <w:lang w:val="ru-RU"/>
        </w:rPr>
        <w:t>)</w:t>
      </w:r>
      <w:r w:rsidRPr="00950CE0">
        <w:t>;</w:t>
      </w:r>
    </w:p>
    <w:p w14:paraId="4A56AD09" w14:textId="0D4954AE" w:rsidR="000C72DA" w:rsidRPr="00950CE0" w:rsidRDefault="00950CE0" w:rsidP="000C72DA">
      <w:pPr>
        <w:widowControl w:val="0"/>
        <w:autoSpaceDE w:val="0"/>
        <w:autoSpaceDN w:val="0"/>
        <w:adjustRightInd w:val="0"/>
        <w:spacing w:after="120"/>
        <w:ind w:firstLine="708"/>
        <w:jc w:val="both"/>
        <w:rPr>
          <w:lang w:val="ru-RU"/>
        </w:rPr>
      </w:pPr>
      <w:r w:rsidRPr="004D5FFC">
        <w:rPr>
          <w:lang w:val="ru-RU"/>
        </w:rPr>
        <w:t>5</w:t>
      </w:r>
      <w:r w:rsidR="000C72DA" w:rsidRPr="00950CE0">
        <w:t>,1 млн. лв. - приходи от други източници, определени със закон или с акт на Министерския съвет - средства от глоби, имуществени санкции и неустойки, свързани с приватизационния процес по реда на чл. 8, ал. 8, т. 2 и ал. 9 от Закона за приватизация и следприватизационен контрол (чл. 11, ал. 1, т. 4 от Закона за Държавния фонд за гарантиране устойчивост на държавната пенсионна система</w:t>
      </w:r>
      <w:r w:rsidR="000C72DA" w:rsidRPr="00950CE0">
        <w:rPr>
          <w:lang w:val="ru-RU"/>
        </w:rPr>
        <w:t>).</w:t>
      </w:r>
    </w:p>
    <w:p w14:paraId="7A38FF4B" w14:textId="43BF9D74" w:rsidR="000C72DA" w:rsidRPr="00950CE0" w:rsidRDefault="000C72DA" w:rsidP="004D74B5">
      <w:pPr>
        <w:widowControl w:val="0"/>
        <w:numPr>
          <w:ilvl w:val="0"/>
          <w:numId w:val="13"/>
        </w:numPr>
        <w:autoSpaceDE w:val="0"/>
        <w:autoSpaceDN w:val="0"/>
        <w:adjustRightInd w:val="0"/>
        <w:spacing w:after="120"/>
        <w:ind w:left="1134" w:firstLine="0"/>
        <w:jc w:val="both"/>
        <w:rPr>
          <w:lang w:val="ru-RU"/>
        </w:rPr>
      </w:pPr>
      <w:r w:rsidRPr="00950CE0">
        <w:rPr>
          <w:u w:val="single"/>
          <w:lang w:val="ru-RU"/>
        </w:rPr>
        <w:t xml:space="preserve">Съгласно разпоредбата на чл. 129, ал. 12 от Кодекса за социално осигуряване и чл. 1, ал. 4 от Закона за </w:t>
      </w:r>
      <w:r w:rsidRPr="00950CE0">
        <w:rPr>
          <w:u w:val="single"/>
        </w:rPr>
        <w:t>Държавния фонд за гарантиране устойчивост на държавната пенсионна система</w:t>
      </w:r>
      <w:r w:rsidRPr="00950CE0">
        <w:rPr>
          <w:lang w:val="ru-RU"/>
        </w:rPr>
        <w:t xml:space="preserve"> – </w:t>
      </w:r>
      <w:r w:rsidRPr="00950CE0">
        <w:t xml:space="preserve">увеличение от </w:t>
      </w:r>
      <w:r w:rsidR="00950CE0" w:rsidRPr="00950CE0">
        <w:rPr>
          <w:b/>
        </w:rPr>
        <w:t>137</w:t>
      </w:r>
      <w:r w:rsidRPr="00950CE0">
        <w:rPr>
          <w:b/>
        </w:rPr>
        <w:t>,4</w:t>
      </w:r>
      <w:r w:rsidRPr="00950CE0">
        <w:rPr>
          <w:b/>
          <w:lang w:val="ru-RU"/>
        </w:rPr>
        <w:t> млн. лв.</w:t>
      </w:r>
    </w:p>
    <w:p w14:paraId="77A6D5F5" w14:textId="647E062C" w:rsidR="000C72DA" w:rsidRPr="00950CE0" w:rsidRDefault="000C72DA" w:rsidP="004D74B5">
      <w:pPr>
        <w:widowControl w:val="0"/>
        <w:numPr>
          <w:ilvl w:val="0"/>
          <w:numId w:val="13"/>
        </w:numPr>
        <w:autoSpaceDE w:val="0"/>
        <w:autoSpaceDN w:val="0"/>
        <w:adjustRightInd w:val="0"/>
        <w:spacing w:after="120"/>
        <w:ind w:left="1134" w:firstLine="0"/>
        <w:jc w:val="both"/>
        <w:rPr>
          <w:lang w:val="ru-RU"/>
        </w:rPr>
      </w:pPr>
      <w:r w:rsidRPr="00950CE0">
        <w:rPr>
          <w:u w:val="single"/>
          <w:lang w:val="ru-RU"/>
        </w:rPr>
        <w:t xml:space="preserve">Съгласно разпоредбата на чл. 129, ал. 15 от Кодекса за социално осигуряване и чл. 22, ал. 2 и ал. 3 от Закона за </w:t>
      </w:r>
      <w:r w:rsidRPr="00950CE0">
        <w:rPr>
          <w:u w:val="single"/>
        </w:rPr>
        <w:t>Държавния фонд за гарантиране устойчивост на държавната пенсионна система</w:t>
      </w:r>
      <w:r w:rsidRPr="00950CE0">
        <w:rPr>
          <w:lang w:val="ru-RU"/>
        </w:rPr>
        <w:t xml:space="preserve"> – намаление от </w:t>
      </w:r>
      <w:r w:rsidRPr="00950CE0">
        <w:rPr>
          <w:b/>
          <w:lang w:val="ru-RU"/>
        </w:rPr>
        <w:t>1</w:t>
      </w:r>
      <w:r w:rsidR="00950CE0" w:rsidRPr="004D5FFC">
        <w:rPr>
          <w:b/>
          <w:lang w:val="ru-RU"/>
        </w:rPr>
        <w:t>07</w:t>
      </w:r>
      <w:r w:rsidRPr="00950CE0">
        <w:rPr>
          <w:b/>
        </w:rPr>
        <w:t>,</w:t>
      </w:r>
      <w:r w:rsidR="00950CE0" w:rsidRPr="004D5FFC">
        <w:rPr>
          <w:b/>
          <w:lang w:val="ru-RU"/>
        </w:rPr>
        <w:t>4</w:t>
      </w:r>
      <w:r w:rsidRPr="00950CE0">
        <w:rPr>
          <w:b/>
          <w:lang w:val="ru-RU"/>
        </w:rPr>
        <w:t xml:space="preserve"> млн. лв.</w:t>
      </w:r>
    </w:p>
    <w:p w14:paraId="51BFBEB1" w14:textId="4CC153EC" w:rsidR="00950CE0" w:rsidRPr="00950CE0" w:rsidRDefault="00950CE0" w:rsidP="00950CE0">
      <w:pPr>
        <w:widowControl w:val="0"/>
        <w:numPr>
          <w:ilvl w:val="0"/>
          <w:numId w:val="3"/>
        </w:numPr>
        <w:tabs>
          <w:tab w:val="clear" w:pos="1635"/>
          <w:tab w:val="num" w:pos="900"/>
        </w:tabs>
        <w:autoSpaceDE w:val="0"/>
        <w:autoSpaceDN w:val="0"/>
        <w:adjustRightInd w:val="0"/>
        <w:spacing w:after="120"/>
        <w:ind w:hanging="915"/>
        <w:jc w:val="both"/>
        <w:rPr>
          <w:b/>
          <w:lang w:val="ru-RU"/>
        </w:rPr>
      </w:pPr>
      <w:r w:rsidRPr="00950CE0">
        <w:t xml:space="preserve">приходи от лихви – </w:t>
      </w:r>
      <w:r w:rsidRPr="00950CE0">
        <w:rPr>
          <w:b/>
        </w:rPr>
        <w:t>10,9 млн. лв.</w:t>
      </w:r>
    </w:p>
    <w:p w14:paraId="61DDA56B" w14:textId="1E0FF093" w:rsidR="000C72DA" w:rsidRPr="00950CE0" w:rsidRDefault="000C72DA" w:rsidP="00950CE0">
      <w:pPr>
        <w:widowControl w:val="0"/>
        <w:autoSpaceDE w:val="0"/>
        <w:autoSpaceDN w:val="0"/>
        <w:adjustRightInd w:val="0"/>
        <w:spacing w:after="120"/>
        <w:ind w:firstLine="708"/>
        <w:jc w:val="both"/>
      </w:pPr>
      <w:r w:rsidRPr="00950CE0">
        <w:t>Отчетът за касовото изпълнение на фонда за периода 01.01.202</w:t>
      </w:r>
      <w:r w:rsidR="00950CE0" w:rsidRPr="00950CE0">
        <w:t>2</w:t>
      </w:r>
      <w:r w:rsidRPr="00950CE0">
        <w:t xml:space="preserve"> г. – 31.12.202</w:t>
      </w:r>
      <w:r w:rsidR="00950CE0" w:rsidRPr="00950CE0">
        <w:t>2</w:t>
      </w:r>
      <w:r w:rsidRPr="00950CE0">
        <w:t xml:space="preserve"> г. е представен в следната таблица:</w:t>
      </w:r>
    </w:p>
    <w:p w14:paraId="27118C32" w14:textId="5EA9F3DE" w:rsidR="00640007" w:rsidRPr="007B48E9" w:rsidRDefault="00640007" w:rsidP="00D3017C">
      <w:pPr>
        <w:widowControl w:val="0"/>
        <w:autoSpaceDE w:val="0"/>
        <w:autoSpaceDN w:val="0"/>
        <w:adjustRightInd w:val="0"/>
        <w:ind w:right="-682"/>
        <w:jc w:val="both"/>
        <w:rPr>
          <w:color w:val="0070C0"/>
        </w:rPr>
      </w:pPr>
    </w:p>
    <w:p w14:paraId="184E38E0" w14:textId="77777777" w:rsidR="00640007" w:rsidRPr="007B48E9" w:rsidRDefault="00640007" w:rsidP="000C72DA">
      <w:pPr>
        <w:widowControl w:val="0"/>
        <w:autoSpaceDE w:val="0"/>
        <w:autoSpaceDN w:val="0"/>
        <w:adjustRightInd w:val="0"/>
        <w:ind w:firstLine="708"/>
        <w:jc w:val="both"/>
        <w:rPr>
          <w:color w:val="0070C0"/>
        </w:rPr>
      </w:pPr>
    </w:p>
    <w:p w14:paraId="0F1FE339" w14:textId="57D25DF8" w:rsidR="000C72DA" w:rsidRPr="007B48E9" w:rsidRDefault="000C72DA" w:rsidP="00640007">
      <w:pPr>
        <w:widowControl w:val="0"/>
        <w:autoSpaceDE w:val="0"/>
        <w:autoSpaceDN w:val="0"/>
        <w:adjustRightInd w:val="0"/>
        <w:ind w:firstLine="142"/>
        <w:jc w:val="both"/>
        <w:rPr>
          <w:color w:val="0070C0"/>
        </w:rPr>
      </w:pPr>
    </w:p>
    <w:p w14:paraId="0B8AA697" w14:textId="5D4B717E" w:rsidR="00640007" w:rsidRPr="007B48E9" w:rsidRDefault="002B69B6" w:rsidP="0012726F">
      <w:pPr>
        <w:widowControl w:val="0"/>
        <w:autoSpaceDE w:val="0"/>
        <w:autoSpaceDN w:val="0"/>
        <w:adjustRightInd w:val="0"/>
        <w:ind w:hanging="142"/>
        <w:jc w:val="both"/>
        <w:rPr>
          <w:color w:val="0070C0"/>
        </w:rPr>
      </w:pPr>
      <w:r w:rsidRPr="00627076">
        <w:rPr>
          <w:noProof/>
        </w:rPr>
        <w:drawing>
          <wp:inline distT="0" distB="0" distL="0" distR="0" wp14:anchorId="247929A6" wp14:editId="76D16308">
            <wp:extent cx="6475730" cy="4152517"/>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93612" cy="4163984"/>
                    </a:xfrm>
                    <a:prstGeom prst="rect">
                      <a:avLst/>
                    </a:prstGeom>
                    <a:noFill/>
                    <a:ln>
                      <a:noFill/>
                    </a:ln>
                  </pic:spPr>
                </pic:pic>
              </a:graphicData>
            </a:graphic>
          </wp:inline>
        </w:drawing>
      </w:r>
    </w:p>
    <w:p w14:paraId="1FC1E7BB" w14:textId="77777777" w:rsidR="00640007" w:rsidRPr="007B48E9" w:rsidRDefault="00640007" w:rsidP="000C72DA">
      <w:pPr>
        <w:widowControl w:val="0"/>
        <w:autoSpaceDE w:val="0"/>
        <w:autoSpaceDN w:val="0"/>
        <w:adjustRightInd w:val="0"/>
        <w:ind w:firstLine="708"/>
        <w:jc w:val="both"/>
        <w:rPr>
          <w:color w:val="0070C0"/>
        </w:rPr>
      </w:pPr>
    </w:p>
    <w:p w14:paraId="555CC405" w14:textId="4AF93797" w:rsidR="000C72DA" w:rsidRPr="007B48E9" w:rsidRDefault="000C72DA" w:rsidP="000C72DA">
      <w:pPr>
        <w:widowControl w:val="0"/>
        <w:autoSpaceDE w:val="0"/>
        <w:autoSpaceDN w:val="0"/>
        <w:adjustRightInd w:val="0"/>
        <w:spacing w:after="120"/>
        <w:jc w:val="both"/>
        <w:rPr>
          <w:color w:val="0070C0"/>
          <w:lang w:val="en-US"/>
        </w:rPr>
      </w:pPr>
    </w:p>
    <w:p w14:paraId="644DCE62" w14:textId="77777777" w:rsidR="00D154AB" w:rsidRPr="007B48E9" w:rsidRDefault="00D154AB" w:rsidP="00D93DC6">
      <w:pPr>
        <w:widowControl w:val="0"/>
        <w:autoSpaceDE w:val="0"/>
        <w:autoSpaceDN w:val="0"/>
        <w:adjustRightInd w:val="0"/>
        <w:ind w:firstLine="708"/>
        <w:jc w:val="both"/>
        <w:rPr>
          <w:color w:val="0070C0"/>
          <w:lang w:val="ru-RU"/>
        </w:rPr>
      </w:pPr>
    </w:p>
    <w:p w14:paraId="1737A31B" w14:textId="2D7784F8" w:rsidR="007B14AF" w:rsidRPr="007B48E9" w:rsidRDefault="007B14AF" w:rsidP="005D6A13">
      <w:pPr>
        <w:widowControl w:val="0"/>
        <w:autoSpaceDE w:val="0"/>
        <w:autoSpaceDN w:val="0"/>
        <w:adjustRightInd w:val="0"/>
        <w:jc w:val="both"/>
        <w:rPr>
          <w:color w:val="0070C0"/>
        </w:rPr>
      </w:pPr>
    </w:p>
    <w:p w14:paraId="4C7901D3" w14:textId="64F21CFA" w:rsidR="000B364A" w:rsidRPr="007B48E9" w:rsidRDefault="000B364A" w:rsidP="007B14AF">
      <w:pPr>
        <w:widowControl w:val="0"/>
        <w:autoSpaceDE w:val="0"/>
        <w:autoSpaceDN w:val="0"/>
        <w:adjustRightInd w:val="0"/>
        <w:jc w:val="both"/>
        <w:rPr>
          <w:color w:val="0070C0"/>
        </w:rPr>
      </w:pPr>
    </w:p>
    <w:p w14:paraId="71127C5E" w14:textId="77777777" w:rsidR="00666D9F" w:rsidRPr="008911C1" w:rsidRDefault="00666D9F" w:rsidP="00EC1776">
      <w:pPr>
        <w:keepNext/>
        <w:jc w:val="center"/>
        <w:outlineLvl w:val="0"/>
        <w:rPr>
          <w:b/>
        </w:rPr>
      </w:pPr>
      <w:bookmarkStart w:id="428" w:name="_Toc136597755"/>
      <w:bookmarkStart w:id="429" w:name="_Toc136601658"/>
      <w:bookmarkStart w:id="430" w:name="_Toc167181042"/>
      <w:bookmarkStart w:id="431" w:name="_Toc324863437"/>
      <w:r w:rsidRPr="007B48E9">
        <w:rPr>
          <w:color w:val="0070C0"/>
        </w:rPr>
        <w:br w:type="page"/>
      </w:r>
      <w:bookmarkStart w:id="432" w:name="_Toc146037923"/>
      <w:r w:rsidRPr="008911C1">
        <w:rPr>
          <w:b/>
        </w:rPr>
        <w:t xml:space="preserve">III. </w:t>
      </w:r>
      <w:r w:rsidR="00666737" w:rsidRPr="008911C1">
        <w:rPr>
          <w:b/>
        </w:rPr>
        <w:t>ДЪРЖАВЕН БЮДЖЕТ, БЮДЖЕТИ НА ОБЩИНИТЕ</w:t>
      </w:r>
      <w:r w:rsidR="00EC1776" w:rsidRPr="008911C1">
        <w:rPr>
          <w:b/>
        </w:rPr>
        <w:t>, НА СОЦИАЛНООСИГУРИТЕЛНИТЕ ФОНДОВЕ</w:t>
      </w:r>
      <w:r w:rsidR="00666737" w:rsidRPr="008911C1">
        <w:rPr>
          <w:b/>
        </w:rPr>
        <w:t xml:space="preserve"> И БЮДЖЕТИ ПО </w:t>
      </w:r>
      <w:r w:rsidR="001E76AA" w:rsidRPr="008911C1">
        <w:rPr>
          <w:b/>
        </w:rPr>
        <w:t>ЧЛ</w:t>
      </w:r>
      <w:r w:rsidR="00666737" w:rsidRPr="008911C1">
        <w:rPr>
          <w:b/>
        </w:rPr>
        <w:t xml:space="preserve">. 13, </w:t>
      </w:r>
      <w:r w:rsidR="001E76AA" w:rsidRPr="008911C1">
        <w:rPr>
          <w:b/>
        </w:rPr>
        <w:t>АЛ</w:t>
      </w:r>
      <w:r w:rsidR="00666737" w:rsidRPr="008911C1">
        <w:rPr>
          <w:b/>
        </w:rPr>
        <w:t xml:space="preserve">. 3 и </w:t>
      </w:r>
      <w:r w:rsidR="001E76AA" w:rsidRPr="008911C1">
        <w:rPr>
          <w:b/>
        </w:rPr>
        <w:t>АЛ</w:t>
      </w:r>
      <w:r w:rsidR="00666737" w:rsidRPr="008911C1">
        <w:rPr>
          <w:b/>
        </w:rPr>
        <w:t xml:space="preserve">. 4 </w:t>
      </w:r>
      <w:r w:rsidR="001D636B" w:rsidRPr="008911C1">
        <w:rPr>
          <w:b/>
        </w:rPr>
        <w:t>ОТ</w:t>
      </w:r>
      <w:r w:rsidR="00666737" w:rsidRPr="008911C1">
        <w:rPr>
          <w:b/>
        </w:rPr>
        <w:t xml:space="preserve"> ЗАКОНА ЗА ПУБЛИЧНИТЕ ФИНАНСИ</w:t>
      </w:r>
      <w:bookmarkEnd w:id="428"/>
      <w:bookmarkEnd w:id="429"/>
      <w:bookmarkEnd w:id="430"/>
      <w:bookmarkEnd w:id="431"/>
      <w:bookmarkEnd w:id="432"/>
    </w:p>
    <w:p w14:paraId="6D3A1875" w14:textId="77777777" w:rsidR="00666D9F" w:rsidRPr="008911C1" w:rsidRDefault="00666D9F" w:rsidP="00FB2174">
      <w:pPr>
        <w:pStyle w:val="Header"/>
        <w:tabs>
          <w:tab w:val="clear" w:pos="4153"/>
          <w:tab w:val="clear" w:pos="8306"/>
          <w:tab w:val="left" w:pos="720"/>
          <w:tab w:val="left" w:pos="969"/>
        </w:tabs>
        <w:ind w:right="57" w:firstLine="540"/>
        <w:jc w:val="both"/>
      </w:pPr>
    </w:p>
    <w:p w14:paraId="68C93983" w14:textId="77777777" w:rsidR="00621B56" w:rsidRPr="008911C1" w:rsidRDefault="00621B56" w:rsidP="004D74B5">
      <w:pPr>
        <w:pStyle w:val="Heading2"/>
        <w:numPr>
          <w:ilvl w:val="1"/>
          <w:numId w:val="4"/>
        </w:numPr>
        <w:rPr>
          <w:rFonts w:ascii="Times New Roman" w:hAnsi="Times New Roman" w:cs="Times New Roman"/>
          <w:i w:val="0"/>
          <w:iCs w:val="0"/>
          <w:sz w:val="24"/>
        </w:rPr>
      </w:pPr>
      <w:bookmarkStart w:id="433" w:name="_Toc393728089"/>
      <w:bookmarkStart w:id="434" w:name="_Toc146037924"/>
      <w:r w:rsidRPr="008911C1">
        <w:rPr>
          <w:rFonts w:ascii="Times New Roman" w:hAnsi="Times New Roman" w:cs="Times New Roman"/>
          <w:i w:val="0"/>
          <w:iCs w:val="0"/>
          <w:sz w:val="24"/>
        </w:rPr>
        <w:t>Държавен бюджет</w:t>
      </w:r>
      <w:bookmarkEnd w:id="433"/>
      <w:bookmarkEnd w:id="434"/>
    </w:p>
    <w:p w14:paraId="0AB03DEB" w14:textId="77777777" w:rsidR="00621B56" w:rsidRPr="008911C1" w:rsidRDefault="00621B56" w:rsidP="00621B56">
      <w:pPr>
        <w:rPr>
          <w:b/>
          <w:sz w:val="12"/>
          <w:szCs w:val="12"/>
        </w:rPr>
      </w:pPr>
    </w:p>
    <w:p w14:paraId="4EFB89E1" w14:textId="6EC8AB00" w:rsidR="00D12E19" w:rsidRPr="008911C1" w:rsidRDefault="00D12E19" w:rsidP="00D12E19">
      <w:pPr>
        <w:numPr>
          <w:ilvl w:val="0"/>
          <w:numId w:val="1"/>
        </w:numPr>
        <w:rPr>
          <w:b/>
        </w:rPr>
      </w:pPr>
      <w:bookmarkStart w:id="435" w:name="_Toc462146138"/>
      <w:bookmarkStart w:id="436" w:name="_Toc515375470"/>
      <w:bookmarkStart w:id="437" w:name="_Toc11324740"/>
      <w:bookmarkStart w:id="438" w:name="_Toc18316970"/>
      <w:bookmarkStart w:id="439" w:name="_Toc462146139"/>
      <w:bookmarkStart w:id="440" w:name="_Toc136597758"/>
      <w:bookmarkStart w:id="441" w:name="_Toc136601661"/>
      <w:bookmarkStart w:id="442" w:name="_Toc136597763"/>
      <w:bookmarkStart w:id="443" w:name="_Toc136601666"/>
      <w:r w:rsidRPr="008911C1">
        <w:rPr>
          <w:b/>
        </w:rPr>
        <w:t>Основни параметри на изпълнението на държавния бюджет за 202</w:t>
      </w:r>
      <w:r w:rsidR="008911C1" w:rsidRPr="004D5FFC">
        <w:rPr>
          <w:b/>
          <w:lang w:val="ru-RU"/>
        </w:rPr>
        <w:t>2</w:t>
      </w:r>
      <w:r w:rsidRPr="008911C1">
        <w:rPr>
          <w:b/>
        </w:rPr>
        <w:t xml:space="preserve"> г.</w:t>
      </w:r>
    </w:p>
    <w:p w14:paraId="22E557DA" w14:textId="77777777" w:rsidR="00D12E19" w:rsidRPr="007B48E9" w:rsidRDefault="00D12E19" w:rsidP="00D12E19">
      <w:pPr>
        <w:rPr>
          <w:b/>
          <w:color w:val="0070C0"/>
        </w:rPr>
      </w:pPr>
    </w:p>
    <w:p w14:paraId="3BB87A0E" w14:textId="77777777" w:rsidR="008911C1" w:rsidRPr="00EA3DC7" w:rsidRDefault="008911C1" w:rsidP="008911C1">
      <w:pPr>
        <w:ind w:firstLine="709"/>
      </w:pPr>
      <w:bookmarkStart w:id="444" w:name="_Toc324863439"/>
      <w:bookmarkStart w:id="445" w:name="_Toc83045513"/>
      <w:r w:rsidRPr="00EA3DC7">
        <w:t>Изпълнението на основните показатели на държавния бюджет на база на отчета за касовото изпълнение към 31.12.202</w:t>
      </w:r>
      <w:r w:rsidRPr="004D5FFC">
        <w:rPr>
          <w:lang w:val="ru-RU"/>
        </w:rPr>
        <w:t>2</w:t>
      </w:r>
      <w:r w:rsidRPr="00EA3DC7">
        <w:t xml:space="preserve"> г., съпоставено с предходната година и програмата, е както следва:</w:t>
      </w:r>
    </w:p>
    <w:p w14:paraId="2F2F47EC" w14:textId="77777777" w:rsidR="008911C1" w:rsidRPr="00EA3DC7" w:rsidRDefault="008911C1" w:rsidP="008911C1">
      <w:pPr>
        <w:rPr>
          <w:color w:val="0070C0"/>
          <w:sz w:val="16"/>
          <w:szCs w:val="16"/>
        </w:rPr>
      </w:pPr>
    </w:p>
    <w:p w14:paraId="43E70499" w14:textId="77777777" w:rsidR="008911C1" w:rsidRPr="0067703F" w:rsidRDefault="008911C1" w:rsidP="008911C1">
      <w:pPr>
        <w:ind w:firstLine="540"/>
        <w:jc w:val="center"/>
        <w:rPr>
          <w:b/>
          <w:i/>
        </w:rPr>
      </w:pPr>
      <w:r w:rsidRPr="000E314C">
        <w:rPr>
          <w:b/>
          <w:i/>
        </w:rPr>
        <w:t>Изпълнение на държавния бюджет за 202</w:t>
      </w:r>
      <w:r w:rsidRPr="004D5FFC">
        <w:rPr>
          <w:b/>
          <w:i/>
          <w:lang w:val="ru-RU"/>
        </w:rPr>
        <w:t>1</w:t>
      </w:r>
      <w:r w:rsidRPr="000E314C">
        <w:rPr>
          <w:b/>
          <w:i/>
        </w:rPr>
        <w:t xml:space="preserve"> г. и 202</w:t>
      </w:r>
      <w:r w:rsidRPr="004D5FFC">
        <w:rPr>
          <w:b/>
          <w:i/>
          <w:lang w:val="ru-RU"/>
        </w:rPr>
        <w:t>2</w:t>
      </w:r>
      <w:r w:rsidRPr="000E314C">
        <w:rPr>
          <w:b/>
          <w:i/>
        </w:rPr>
        <w:t xml:space="preserve"> г. и изпълнение на параметрите по ЗДБРБ за 202</w:t>
      </w:r>
      <w:r w:rsidRPr="004D5FFC">
        <w:rPr>
          <w:b/>
          <w:i/>
          <w:lang w:val="ru-RU"/>
        </w:rPr>
        <w:t>2</w:t>
      </w:r>
      <w:r w:rsidRPr="000E314C">
        <w:rPr>
          <w:b/>
          <w:i/>
        </w:rPr>
        <w:t xml:space="preserve"> г.</w:t>
      </w:r>
    </w:p>
    <w:p w14:paraId="10A82F96" w14:textId="77777777" w:rsidR="008911C1" w:rsidRPr="0067703F" w:rsidRDefault="008911C1" w:rsidP="008911C1">
      <w:pPr>
        <w:rPr>
          <w:b/>
          <w:sz w:val="18"/>
          <w:szCs w:val="18"/>
        </w:rPr>
      </w:pP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i/>
          <w:sz w:val="16"/>
          <w:szCs w:val="16"/>
        </w:rPr>
        <w:tab/>
      </w:r>
      <w:r w:rsidRPr="0067703F">
        <w:rPr>
          <w:b/>
          <w:sz w:val="18"/>
          <w:szCs w:val="18"/>
        </w:rPr>
        <w:t>(млн. лв.)</w:t>
      </w:r>
    </w:p>
    <w:tbl>
      <w:tblPr>
        <w:tblW w:w="9051" w:type="dxa"/>
        <w:tblInd w:w="-72" w:type="dxa"/>
        <w:tblCellMar>
          <w:left w:w="70" w:type="dxa"/>
          <w:right w:w="70" w:type="dxa"/>
        </w:tblCellMar>
        <w:tblLook w:val="04A0" w:firstRow="1" w:lastRow="0" w:firstColumn="1" w:lastColumn="0" w:noHBand="0" w:noVBand="1"/>
      </w:tblPr>
      <w:tblGrid>
        <w:gridCol w:w="3970"/>
        <w:gridCol w:w="1053"/>
        <w:gridCol w:w="1073"/>
        <w:gridCol w:w="1015"/>
        <w:gridCol w:w="882"/>
        <w:gridCol w:w="1058"/>
      </w:tblGrid>
      <w:tr w:rsidR="008911C1" w:rsidRPr="00EA3DC7" w14:paraId="25F00FAD" w14:textId="77777777" w:rsidTr="00D337DB">
        <w:trPr>
          <w:trHeight w:val="735"/>
        </w:trPr>
        <w:tc>
          <w:tcPr>
            <w:tcW w:w="3970" w:type="dxa"/>
            <w:tcBorders>
              <w:top w:val="double" w:sz="6" w:space="0" w:color="800000"/>
              <w:left w:val="double" w:sz="6" w:space="0" w:color="800000"/>
              <w:bottom w:val="single" w:sz="8" w:space="0" w:color="FFFFFF"/>
              <w:right w:val="single" w:sz="8" w:space="0" w:color="FFFFFF"/>
            </w:tcBorders>
            <w:shd w:val="clear" w:color="auto" w:fill="800000"/>
            <w:vAlign w:val="center"/>
            <w:hideMark/>
          </w:tcPr>
          <w:p w14:paraId="1F364458" w14:textId="77777777" w:rsidR="008911C1" w:rsidRPr="000E314C" w:rsidRDefault="008911C1" w:rsidP="00D337DB">
            <w:pPr>
              <w:jc w:val="center"/>
              <w:rPr>
                <w:b/>
                <w:bCs/>
                <w:sz w:val="20"/>
              </w:rPr>
            </w:pPr>
            <w:r w:rsidRPr="000E314C">
              <w:rPr>
                <w:b/>
                <w:bCs/>
                <w:sz w:val="20"/>
              </w:rPr>
              <w:t>ДЪРЖАВЕН БЮДЖЕТ</w:t>
            </w:r>
          </w:p>
        </w:tc>
        <w:tc>
          <w:tcPr>
            <w:tcW w:w="1053" w:type="dxa"/>
            <w:tcBorders>
              <w:top w:val="double" w:sz="6" w:space="0" w:color="800000"/>
              <w:left w:val="nil"/>
              <w:bottom w:val="single" w:sz="8" w:space="0" w:color="FFFFFF"/>
              <w:right w:val="nil"/>
            </w:tcBorders>
            <w:shd w:val="clear" w:color="auto" w:fill="800000"/>
            <w:noWrap/>
            <w:vAlign w:val="center"/>
            <w:hideMark/>
          </w:tcPr>
          <w:p w14:paraId="7FE895F1" w14:textId="77777777" w:rsidR="008911C1" w:rsidRPr="000E314C" w:rsidRDefault="008911C1" w:rsidP="00D337DB">
            <w:pPr>
              <w:jc w:val="center"/>
              <w:rPr>
                <w:b/>
                <w:bCs/>
                <w:sz w:val="20"/>
              </w:rPr>
            </w:pPr>
            <w:r w:rsidRPr="000E314C">
              <w:rPr>
                <w:b/>
                <w:bCs/>
                <w:sz w:val="20"/>
              </w:rPr>
              <w:t>ОТЧЕТ</w:t>
            </w:r>
          </w:p>
          <w:p w14:paraId="18CD44AD" w14:textId="77777777" w:rsidR="008911C1" w:rsidRPr="000E314C" w:rsidRDefault="008911C1" w:rsidP="00D337DB">
            <w:pPr>
              <w:jc w:val="center"/>
              <w:rPr>
                <w:b/>
                <w:bCs/>
                <w:sz w:val="20"/>
              </w:rPr>
            </w:pPr>
            <w:r w:rsidRPr="000E314C">
              <w:rPr>
                <w:b/>
                <w:bCs/>
                <w:sz w:val="20"/>
              </w:rPr>
              <w:t>20</w:t>
            </w:r>
            <w:r w:rsidRPr="000E314C">
              <w:rPr>
                <w:b/>
                <w:bCs/>
                <w:sz w:val="20"/>
                <w:lang w:val="en-US"/>
              </w:rPr>
              <w:t>21</w:t>
            </w:r>
            <w:r w:rsidRPr="000E314C">
              <w:rPr>
                <w:b/>
                <w:bCs/>
                <w:sz w:val="20"/>
              </w:rPr>
              <w:t>  г.</w:t>
            </w:r>
          </w:p>
        </w:tc>
        <w:tc>
          <w:tcPr>
            <w:tcW w:w="1073" w:type="dxa"/>
            <w:tcBorders>
              <w:top w:val="double" w:sz="6" w:space="0" w:color="800000"/>
              <w:left w:val="single" w:sz="8" w:space="0" w:color="FFFFFF"/>
              <w:bottom w:val="single" w:sz="8" w:space="0" w:color="FFFFFF"/>
              <w:right w:val="nil"/>
            </w:tcBorders>
            <w:shd w:val="clear" w:color="auto" w:fill="800000"/>
            <w:noWrap/>
            <w:vAlign w:val="center"/>
            <w:hideMark/>
          </w:tcPr>
          <w:p w14:paraId="15D059B9" w14:textId="77777777" w:rsidR="008911C1" w:rsidRPr="000E314C" w:rsidRDefault="008911C1" w:rsidP="00D337DB">
            <w:pPr>
              <w:rPr>
                <w:b/>
                <w:bCs/>
                <w:sz w:val="20"/>
              </w:rPr>
            </w:pPr>
            <w:r w:rsidRPr="000E314C">
              <w:rPr>
                <w:b/>
                <w:bCs/>
                <w:sz w:val="20"/>
              </w:rPr>
              <w:t xml:space="preserve">  ЗДБРБ</w:t>
            </w:r>
          </w:p>
          <w:p w14:paraId="750EBC83" w14:textId="77777777" w:rsidR="008911C1" w:rsidRPr="000E314C" w:rsidRDefault="008911C1" w:rsidP="00D337DB">
            <w:pPr>
              <w:jc w:val="center"/>
              <w:rPr>
                <w:b/>
                <w:bCs/>
                <w:sz w:val="20"/>
              </w:rPr>
            </w:pPr>
            <w:r w:rsidRPr="000E314C">
              <w:rPr>
                <w:b/>
                <w:bCs/>
                <w:sz w:val="20"/>
              </w:rPr>
              <w:t>20</w:t>
            </w:r>
            <w:r w:rsidRPr="000E314C">
              <w:rPr>
                <w:b/>
                <w:bCs/>
                <w:sz w:val="20"/>
                <w:lang w:val="en-US"/>
              </w:rPr>
              <w:t>22</w:t>
            </w:r>
            <w:r w:rsidRPr="000E314C">
              <w:rPr>
                <w:b/>
                <w:bCs/>
                <w:sz w:val="20"/>
              </w:rPr>
              <w:t xml:space="preserve"> г.</w:t>
            </w:r>
            <w:r w:rsidRPr="000E314C">
              <w:rPr>
                <w:b/>
                <w:bCs/>
                <w:vertAlign w:val="superscript"/>
              </w:rPr>
              <w:t xml:space="preserve"> </w:t>
            </w:r>
            <w:r w:rsidRPr="000E314C">
              <w:rPr>
                <w:b/>
                <w:bCs/>
                <w:vertAlign w:val="superscript"/>
              </w:rPr>
              <w:footnoteReference w:id="25"/>
            </w:r>
            <w:r w:rsidRPr="000E314C">
              <w:rPr>
                <w:vertAlign w:val="superscript"/>
              </w:rPr>
              <w:t xml:space="preserve"> </w:t>
            </w:r>
          </w:p>
        </w:tc>
        <w:tc>
          <w:tcPr>
            <w:tcW w:w="1015" w:type="dxa"/>
            <w:tcBorders>
              <w:top w:val="double" w:sz="6" w:space="0" w:color="800000"/>
              <w:left w:val="single" w:sz="8" w:space="0" w:color="FFFFFF"/>
              <w:bottom w:val="single" w:sz="8" w:space="0" w:color="FFFFFF"/>
              <w:right w:val="nil"/>
            </w:tcBorders>
            <w:shd w:val="clear" w:color="auto" w:fill="800000"/>
            <w:noWrap/>
            <w:vAlign w:val="center"/>
            <w:hideMark/>
          </w:tcPr>
          <w:p w14:paraId="5162D12B" w14:textId="77777777" w:rsidR="008911C1" w:rsidRPr="000E314C" w:rsidRDefault="008911C1" w:rsidP="00D337DB">
            <w:pPr>
              <w:jc w:val="center"/>
              <w:rPr>
                <w:b/>
                <w:bCs/>
                <w:sz w:val="20"/>
              </w:rPr>
            </w:pPr>
            <w:r w:rsidRPr="000E314C">
              <w:rPr>
                <w:b/>
                <w:bCs/>
                <w:sz w:val="20"/>
              </w:rPr>
              <w:t>ОТЧЕТ</w:t>
            </w:r>
          </w:p>
          <w:p w14:paraId="56FF47E5" w14:textId="77777777" w:rsidR="008911C1" w:rsidRPr="000E314C" w:rsidRDefault="008911C1" w:rsidP="00D337DB">
            <w:pPr>
              <w:jc w:val="center"/>
              <w:rPr>
                <w:b/>
                <w:bCs/>
                <w:sz w:val="20"/>
              </w:rPr>
            </w:pPr>
            <w:r w:rsidRPr="000E314C">
              <w:rPr>
                <w:b/>
                <w:bCs/>
                <w:sz w:val="20"/>
              </w:rPr>
              <w:t>20</w:t>
            </w:r>
            <w:r w:rsidRPr="000E314C">
              <w:rPr>
                <w:b/>
                <w:bCs/>
                <w:sz w:val="20"/>
                <w:lang w:val="en-US"/>
              </w:rPr>
              <w:t>22</w:t>
            </w:r>
            <w:r w:rsidRPr="000E314C">
              <w:rPr>
                <w:b/>
                <w:bCs/>
                <w:sz w:val="20"/>
              </w:rPr>
              <w:t xml:space="preserve"> г.</w:t>
            </w:r>
          </w:p>
        </w:tc>
        <w:tc>
          <w:tcPr>
            <w:tcW w:w="882" w:type="dxa"/>
            <w:tcBorders>
              <w:top w:val="double" w:sz="6" w:space="0" w:color="800000"/>
              <w:left w:val="single" w:sz="8" w:space="0" w:color="FFFFFF"/>
              <w:bottom w:val="single" w:sz="8" w:space="0" w:color="FFFFFF"/>
              <w:right w:val="nil"/>
            </w:tcBorders>
            <w:shd w:val="clear" w:color="auto" w:fill="800000"/>
            <w:vAlign w:val="center"/>
            <w:hideMark/>
          </w:tcPr>
          <w:p w14:paraId="1A75FDE7" w14:textId="77777777" w:rsidR="008911C1" w:rsidRPr="000E314C" w:rsidRDefault="008911C1" w:rsidP="00D337DB">
            <w:pPr>
              <w:jc w:val="center"/>
              <w:rPr>
                <w:b/>
                <w:bCs/>
                <w:sz w:val="20"/>
              </w:rPr>
            </w:pPr>
            <w:r w:rsidRPr="000E314C">
              <w:rPr>
                <w:b/>
                <w:bCs/>
                <w:sz w:val="20"/>
              </w:rPr>
              <w:t>Отчет 20</w:t>
            </w:r>
            <w:r w:rsidRPr="000E314C">
              <w:rPr>
                <w:b/>
                <w:bCs/>
                <w:sz w:val="20"/>
                <w:lang w:val="en-US"/>
              </w:rPr>
              <w:t>22</w:t>
            </w:r>
            <w:r w:rsidRPr="000E314C">
              <w:rPr>
                <w:b/>
                <w:bCs/>
                <w:sz w:val="20"/>
              </w:rPr>
              <w:br/>
              <w:t>към  ЗДБРБ</w:t>
            </w:r>
          </w:p>
        </w:tc>
        <w:tc>
          <w:tcPr>
            <w:tcW w:w="1058" w:type="dxa"/>
            <w:tcBorders>
              <w:top w:val="double" w:sz="6" w:space="0" w:color="800000"/>
              <w:left w:val="single" w:sz="8" w:space="0" w:color="FFFFFF"/>
              <w:bottom w:val="single" w:sz="8" w:space="0" w:color="FFFFFF"/>
              <w:right w:val="double" w:sz="6" w:space="0" w:color="800000"/>
            </w:tcBorders>
            <w:shd w:val="clear" w:color="auto" w:fill="800000"/>
            <w:vAlign w:val="center"/>
            <w:hideMark/>
          </w:tcPr>
          <w:p w14:paraId="3B9A3500" w14:textId="77777777" w:rsidR="008911C1" w:rsidRPr="000E314C" w:rsidRDefault="008911C1" w:rsidP="00D337DB">
            <w:pPr>
              <w:jc w:val="center"/>
              <w:rPr>
                <w:b/>
                <w:bCs/>
                <w:sz w:val="20"/>
                <w:lang w:val="en-US"/>
              </w:rPr>
            </w:pPr>
            <w:r w:rsidRPr="000E314C">
              <w:rPr>
                <w:b/>
                <w:bCs/>
                <w:sz w:val="20"/>
              </w:rPr>
              <w:t>Отчет 20</w:t>
            </w:r>
            <w:r w:rsidRPr="000E314C">
              <w:rPr>
                <w:b/>
                <w:bCs/>
                <w:sz w:val="20"/>
                <w:lang w:val="en-US"/>
              </w:rPr>
              <w:t>22</w:t>
            </w:r>
            <w:r w:rsidRPr="000E314C">
              <w:rPr>
                <w:b/>
                <w:bCs/>
                <w:sz w:val="20"/>
              </w:rPr>
              <w:br/>
              <w:t>към 20</w:t>
            </w:r>
            <w:r w:rsidRPr="000E314C">
              <w:rPr>
                <w:b/>
                <w:bCs/>
                <w:sz w:val="20"/>
                <w:lang w:val="en-US"/>
              </w:rPr>
              <w:t>21</w:t>
            </w:r>
          </w:p>
        </w:tc>
      </w:tr>
      <w:tr w:rsidR="008911C1" w:rsidRPr="000E314C" w14:paraId="2ADDCE99" w14:textId="77777777" w:rsidTr="00D337DB">
        <w:trPr>
          <w:trHeight w:val="186"/>
        </w:trPr>
        <w:tc>
          <w:tcPr>
            <w:tcW w:w="3970" w:type="dxa"/>
            <w:tcBorders>
              <w:top w:val="nil"/>
              <w:left w:val="double" w:sz="6" w:space="0" w:color="800000"/>
              <w:bottom w:val="double" w:sz="6" w:space="0" w:color="800000"/>
              <w:right w:val="single" w:sz="8" w:space="0" w:color="FFFFFF"/>
            </w:tcBorders>
            <w:shd w:val="clear" w:color="auto" w:fill="800000"/>
            <w:noWrap/>
            <w:vAlign w:val="bottom"/>
            <w:hideMark/>
          </w:tcPr>
          <w:p w14:paraId="05962F0D" w14:textId="77777777" w:rsidR="008911C1" w:rsidRPr="000E314C" w:rsidRDefault="008911C1" w:rsidP="00D337DB">
            <w:pPr>
              <w:jc w:val="center"/>
              <w:rPr>
                <w:b/>
                <w:bCs/>
                <w:sz w:val="14"/>
                <w:szCs w:val="14"/>
              </w:rPr>
            </w:pPr>
            <w:r w:rsidRPr="000E314C">
              <w:rPr>
                <w:b/>
                <w:bCs/>
                <w:sz w:val="14"/>
                <w:szCs w:val="14"/>
              </w:rPr>
              <w:t>К. 1</w:t>
            </w:r>
          </w:p>
        </w:tc>
        <w:tc>
          <w:tcPr>
            <w:tcW w:w="1053" w:type="dxa"/>
            <w:tcBorders>
              <w:top w:val="single" w:sz="8" w:space="0" w:color="FFFFFF"/>
              <w:left w:val="nil"/>
              <w:bottom w:val="nil"/>
              <w:right w:val="nil"/>
            </w:tcBorders>
            <w:shd w:val="clear" w:color="auto" w:fill="800000"/>
            <w:noWrap/>
            <w:vAlign w:val="bottom"/>
            <w:hideMark/>
          </w:tcPr>
          <w:p w14:paraId="6D97B8F9" w14:textId="77777777" w:rsidR="008911C1" w:rsidRPr="000E314C" w:rsidRDefault="008911C1" w:rsidP="00D337DB">
            <w:pPr>
              <w:jc w:val="center"/>
              <w:rPr>
                <w:b/>
                <w:bCs/>
                <w:sz w:val="14"/>
                <w:szCs w:val="14"/>
              </w:rPr>
            </w:pPr>
            <w:r w:rsidRPr="000E314C">
              <w:rPr>
                <w:b/>
                <w:bCs/>
                <w:sz w:val="14"/>
                <w:szCs w:val="14"/>
              </w:rPr>
              <w:t>К. 2</w:t>
            </w:r>
          </w:p>
        </w:tc>
        <w:tc>
          <w:tcPr>
            <w:tcW w:w="1073" w:type="dxa"/>
            <w:tcBorders>
              <w:top w:val="single" w:sz="8" w:space="0" w:color="FFFFFF"/>
              <w:left w:val="single" w:sz="8" w:space="0" w:color="FFFFFF"/>
              <w:bottom w:val="nil"/>
              <w:right w:val="single" w:sz="8" w:space="0" w:color="FFFFFF"/>
            </w:tcBorders>
            <w:shd w:val="clear" w:color="auto" w:fill="800000"/>
            <w:noWrap/>
            <w:vAlign w:val="bottom"/>
            <w:hideMark/>
          </w:tcPr>
          <w:p w14:paraId="70A00B96" w14:textId="77777777" w:rsidR="008911C1" w:rsidRPr="000E314C" w:rsidRDefault="008911C1" w:rsidP="00D337DB">
            <w:pPr>
              <w:jc w:val="center"/>
              <w:rPr>
                <w:b/>
                <w:bCs/>
                <w:sz w:val="14"/>
                <w:szCs w:val="14"/>
              </w:rPr>
            </w:pPr>
            <w:r w:rsidRPr="000E314C">
              <w:rPr>
                <w:b/>
                <w:bCs/>
                <w:sz w:val="14"/>
                <w:szCs w:val="14"/>
              </w:rPr>
              <w:t>К. 3</w:t>
            </w:r>
          </w:p>
        </w:tc>
        <w:tc>
          <w:tcPr>
            <w:tcW w:w="1015" w:type="dxa"/>
            <w:tcBorders>
              <w:top w:val="single" w:sz="8" w:space="0" w:color="FFFFFF"/>
              <w:left w:val="nil"/>
              <w:bottom w:val="nil"/>
              <w:right w:val="nil"/>
            </w:tcBorders>
            <w:shd w:val="clear" w:color="auto" w:fill="800000"/>
            <w:noWrap/>
            <w:vAlign w:val="bottom"/>
            <w:hideMark/>
          </w:tcPr>
          <w:p w14:paraId="46E95F52" w14:textId="77777777" w:rsidR="008911C1" w:rsidRPr="000E314C" w:rsidRDefault="008911C1" w:rsidP="00D337DB">
            <w:pPr>
              <w:jc w:val="center"/>
              <w:rPr>
                <w:b/>
                <w:bCs/>
                <w:sz w:val="14"/>
                <w:szCs w:val="14"/>
              </w:rPr>
            </w:pPr>
            <w:r w:rsidRPr="000E314C">
              <w:rPr>
                <w:b/>
                <w:bCs/>
                <w:sz w:val="14"/>
                <w:szCs w:val="14"/>
              </w:rPr>
              <w:t>К. 4</w:t>
            </w:r>
          </w:p>
        </w:tc>
        <w:tc>
          <w:tcPr>
            <w:tcW w:w="882" w:type="dxa"/>
            <w:tcBorders>
              <w:top w:val="single" w:sz="8" w:space="0" w:color="FFFFFF"/>
              <w:left w:val="single" w:sz="8" w:space="0" w:color="FFFFFF"/>
              <w:bottom w:val="nil"/>
              <w:right w:val="nil"/>
            </w:tcBorders>
            <w:shd w:val="clear" w:color="auto" w:fill="800000"/>
            <w:noWrap/>
            <w:vAlign w:val="bottom"/>
            <w:hideMark/>
          </w:tcPr>
          <w:p w14:paraId="01FAA0F0" w14:textId="77777777" w:rsidR="008911C1" w:rsidRPr="000E314C" w:rsidRDefault="008911C1" w:rsidP="00D337DB">
            <w:pPr>
              <w:jc w:val="center"/>
              <w:rPr>
                <w:b/>
                <w:bCs/>
                <w:sz w:val="14"/>
                <w:szCs w:val="14"/>
              </w:rPr>
            </w:pPr>
            <w:r w:rsidRPr="000E314C">
              <w:rPr>
                <w:b/>
                <w:bCs/>
                <w:sz w:val="14"/>
                <w:szCs w:val="14"/>
              </w:rPr>
              <w:t>К. 5=</w:t>
            </w:r>
            <w:r w:rsidRPr="000E314C">
              <w:rPr>
                <w:b/>
                <w:bCs/>
                <w:sz w:val="20"/>
              </w:rPr>
              <w:t xml:space="preserve"> к.4:к.3</w:t>
            </w:r>
          </w:p>
        </w:tc>
        <w:tc>
          <w:tcPr>
            <w:tcW w:w="1058" w:type="dxa"/>
            <w:tcBorders>
              <w:top w:val="single" w:sz="8" w:space="0" w:color="FFFFFF"/>
              <w:left w:val="single" w:sz="8" w:space="0" w:color="FFFFFF"/>
              <w:bottom w:val="nil"/>
              <w:right w:val="double" w:sz="6" w:space="0" w:color="800000"/>
            </w:tcBorders>
            <w:shd w:val="clear" w:color="auto" w:fill="800000"/>
            <w:noWrap/>
            <w:vAlign w:val="bottom"/>
            <w:hideMark/>
          </w:tcPr>
          <w:p w14:paraId="06FCC9FE" w14:textId="77777777" w:rsidR="008911C1" w:rsidRPr="000E314C" w:rsidRDefault="008911C1" w:rsidP="00D337DB">
            <w:pPr>
              <w:jc w:val="center"/>
              <w:rPr>
                <w:b/>
                <w:bCs/>
                <w:sz w:val="14"/>
                <w:szCs w:val="14"/>
              </w:rPr>
            </w:pPr>
            <w:r w:rsidRPr="000E314C">
              <w:rPr>
                <w:b/>
                <w:bCs/>
                <w:sz w:val="14"/>
                <w:szCs w:val="14"/>
              </w:rPr>
              <w:t>К. 6=</w:t>
            </w:r>
            <w:r w:rsidRPr="000E314C">
              <w:rPr>
                <w:b/>
                <w:bCs/>
                <w:sz w:val="20"/>
              </w:rPr>
              <w:t xml:space="preserve"> к.4:к.2</w:t>
            </w:r>
          </w:p>
        </w:tc>
      </w:tr>
      <w:tr w:rsidR="008911C1" w:rsidRPr="000A1F3B" w14:paraId="7FC20CD1" w14:textId="77777777" w:rsidTr="00D337DB">
        <w:trPr>
          <w:trHeight w:val="241"/>
        </w:trPr>
        <w:tc>
          <w:tcPr>
            <w:tcW w:w="3970" w:type="dxa"/>
            <w:tcBorders>
              <w:top w:val="nil"/>
              <w:left w:val="double" w:sz="6" w:space="0" w:color="800000"/>
              <w:bottom w:val="nil"/>
              <w:right w:val="single" w:sz="8" w:space="0" w:color="800000"/>
            </w:tcBorders>
            <w:shd w:val="clear" w:color="auto" w:fill="FFFFCC"/>
            <w:noWrap/>
            <w:vAlign w:val="bottom"/>
            <w:hideMark/>
          </w:tcPr>
          <w:p w14:paraId="1A4B8C55" w14:textId="77777777" w:rsidR="008911C1" w:rsidRPr="000E314C" w:rsidRDefault="008911C1" w:rsidP="00D337DB">
            <w:pPr>
              <w:rPr>
                <w:b/>
                <w:bCs/>
                <w:sz w:val="18"/>
                <w:szCs w:val="18"/>
              </w:rPr>
            </w:pPr>
            <w:r w:rsidRPr="000E314C">
              <w:rPr>
                <w:b/>
                <w:bCs/>
                <w:sz w:val="18"/>
                <w:szCs w:val="18"/>
              </w:rPr>
              <w:t xml:space="preserve">   ПРИХОДИ, ПОМОЩИ И ДАРЕНИЯ</w:t>
            </w:r>
          </w:p>
        </w:tc>
        <w:tc>
          <w:tcPr>
            <w:tcW w:w="1053" w:type="dxa"/>
            <w:tcBorders>
              <w:top w:val="double" w:sz="6" w:space="0" w:color="800000"/>
              <w:left w:val="nil"/>
              <w:bottom w:val="nil"/>
              <w:right w:val="single" w:sz="8" w:space="0" w:color="800000"/>
            </w:tcBorders>
            <w:shd w:val="clear" w:color="auto" w:fill="FFFFCC"/>
            <w:noWrap/>
          </w:tcPr>
          <w:p w14:paraId="5F534B6B" w14:textId="77777777" w:rsidR="008911C1" w:rsidRPr="000A1F3B" w:rsidRDefault="008911C1" w:rsidP="00D337DB">
            <w:pPr>
              <w:jc w:val="right"/>
              <w:rPr>
                <w:b/>
                <w:bCs/>
                <w:sz w:val="18"/>
                <w:szCs w:val="18"/>
              </w:rPr>
            </w:pPr>
            <w:r w:rsidRPr="000A1F3B">
              <w:rPr>
                <w:b/>
                <w:bCs/>
                <w:sz w:val="18"/>
                <w:szCs w:val="18"/>
              </w:rPr>
              <w:t>30 921,1</w:t>
            </w:r>
          </w:p>
        </w:tc>
        <w:tc>
          <w:tcPr>
            <w:tcW w:w="1073" w:type="dxa"/>
            <w:tcBorders>
              <w:top w:val="double" w:sz="6" w:space="0" w:color="800000"/>
              <w:left w:val="nil"/>
              <w:bottom w:val="nil"/>
              <w:right w:val="single" w:sz="8" w:space="0" w:color="800000"/>
            </w:tcBorders>
            <w:shd w:val="clear" w:color="auto" w:fill="FFFFCC"/>
            <w:noWrap/>
          </w:tcPr>
          <w:p w14:paraId="1981225A" w14:textId="77777777" w:rsidR="008911C1" w:rsidRPr="000A1F3B" w:rsidRDefault="008911C1" w:rsidP="00D337DB">
            <w:pPr>
              <w:jc w:val="right"/>
              <w:rPr>
                <w:b/>
                <w:bCs/>
                <w:sz w:val="18"/>
                <w:szCs w:val="18"/>
              </w:rPr>
            </w:pPr>
            <w:r w:rsidRPr="000A1F3B">
              <w:rPr>
                <w:b/>
                <w:bCs/>
                <w:sz w:val="18"/>
                <w:szCs w:val="18"/>
              </w:rPr>
              <w:t>34 112,5</w:t>
            </w:r>
          </w:p>
        </w:tc>
        <w:tc>
          <w:tcPr>
            <w:tcW w:w="1015" w:type="dxa"/>
            <w:tcBorders>
              <w:top w:val="double" w:sz="6" w:space="0" w:color="800000"/>
              <w:left w:val="nil"/>
              <w:bottom w:val="nil"/>
              <w:right w:val="single" w:sz="8" w:space="0" w:color="800000"/>
            </w:tcBorders>
            <w:shd w:val="clear" w:color="auto" w:fill="FFFFCC"/>
            <w:noWrap/>
          </w:tcPr>
          <w:p w14:paraId="0A0F83A8" w14:textId="77777777" w:rsidR="008911C1" w:rsidRPr="000A1F3B" w:rsidRDefault="008911C1" w:rsidP="00D337DB">
            <w:pPr>
              <w:jc w:val="right"/>
              <w:rPr>
                <w:b/>
                <w:bCs/>
                <w:sz w:val="18"/>
                <w:szCs w:val="18"/>
              </w:rPr>
            </w:pPr>
            <w:r w:rsidRPr="000A1F3B">
              <w:rPr>
                <w:b/>
                <w:bCs/>
                <w:sz w:val="18"/>
                <w:szCs w:val="18"/>
              </w:rPr>
              <w:t>34 945,4</w:t>
            </w:r>
          </w:p>
        </w:tc>
        <w:tc>
          <w:tcPr>
            <w:tcW w:w="882" w:type="dxa"/>
            <w:tcBorders>
              <w:top w:val="double" w:sz="6" w:space="0" w:color="800000"/>
              <w:left w:val="nil"/>
              <w:bottom w:val="nil"/>
              <w:right w:val="single" w:sz="8" w:space="0" w:color="800000"/>
            </w:tcBorders>
            <w:shd w:val="clear" w:color="auto" w:fill="FFFFCC"/>
            <w:noWrap/>
          </w:tcPr>
          <w:p w14:paraId="103A76E9" w14:textId="77777777" w:rsidR="008911C1" w:rsidRPr="000A1F3B" w:rsidRDefault="008911C1" w:rsidP="00D337DB">
            <w:pPr>
              <w:jc w:val="right"/>
              <w:rPr>
                <w:b/>
                <w:bCs/>
                <w:sz w:val="18"/>
                <w:szCs w:val="18"/>
              </w:rPr>
            </w:pPr>
            <w:r w:rsidRPr="000A1F3B">
              <w:rPr>
                <w:b/>
                <w:bCs/>
                <w:sz w:val="18"/>
                <w:szCs w:val="18"/>
              </w:rPr>
              <w:t>102,4%</w:t>
            </w:r>
          </w:p>
        </w:tc>
        <w:tc>
          <w:tcPr>
            <w:tcW w:w="1058" w:type="dxa"/>
            <w:tcBorders>
              <w:top w:val="double" w:sz="6" w:space="0" w:color="800000"/>
              <w:left w:val="nil"/>
              <w:bottom w:val="nil"/>
              <w:right w:val="double" w:sz="6" w:space="0" w:color="800000"/>
            </w:tcBorders>
            <w:shd w:val="clear" w:color="auto" w:fill="FFFFCC"/>
            <w:noWrap/>
          </w:tcPr>
          <w:p w14:paraId="2DF088EF" w14:textId="77777777" w:rsidR="008911C1" w:rsidRPr="000A1F3B" w:rsidRDefault="008911C1" w:rsidP="00D337DB">
            <w:pPr>
              <w:jc w:val="right"/>
              <w:rPr>
                <w:b/>
                <w:bCs/>
                <w:sz w:val="18"/>
                <w:szCs w:val="18"/>
              </w:rPr>
            </w:pPr>
            <w:r w:rsidRPr="000A1F3B">
              <w:rPr>
                <w:b/>
                <w:bCs/>
                <w:sz w:val="18"/>
                <w:szCs w:val="18"/>
              </w:rPr>
              <w:t>113,0%</w:t>
            </w:r>
          </w:p>
        </w:tc>
      </w:tr>
      <w:tr w:rsidR="008911C1" w:rsidRPr="00EA3DC7" w14:paraId="68D77B6C" w14:textId="77777777" w:rsidTr="00D337DB">
        <w:trPr>
          <w:trHeight w:val="115"/>
        </w:trPr>
        <w:tc>
          <w:tcPr>
            <w:tcW w:w="3970" w:type="dxa"/>
            <w:tcBorders>
              <w:top w:val="nil"/>
              <w:left w:val="double" w:sz="6" w:space="0" w:color="800000"/>
              <w:bottom w:val="nil"/>
              <w:right w:val="single" w:sz="8" w:space="0" w:color="800000"/>
            </w:tcBorders>
            <w:shd w:val="clear" w:color="auto" w:fill="FFFFCC"/>
            <w:noWrap/>
            <w:vAlign w:val="bottom"/>
            <w:hideMark/>
          </w:tcPr>
          <w:p w14:paraId="52729F84" w14:textId="77777777" w:rsidR="008911C1" w:rsidRPr="000E314C" w:rsidRDefault="008911C1" w:rsidP="00D337DB">
            <w:pPr>
              <w:rPr>
                <w:sz w:val="18"/>
                <w:szCs w:val="18"/>
              </w:rPr>
            </w:pPr>
            <w:r w:rsidRPr="000E314C">
              <w:rPr>
                <w:sz w:val="18"/>
                <w:szCs w:val="18"/>
              </w:rPr>
              <w:t xml:space="preserve">     Данъчни приходи</w:t>
            </w:r>
          </w:p>
        </w:tc>
        <w:tc>
          <w:tcPr>
            <w:tcW w:w="1053" w:type="dxa"/>
            <w:shd w:val="clear" w:color="auto" w:fill="FFFFCC"/>
            <w:noWrap/>
          </w:tcPr>
          <w:p w14:paraId="125E72E2" w14:textId="77777777" w:rsidR="008911C1" w:rsidRPr="000A1F3B" w:rsidRDefault="008911C1" w:rsidP="00D337DB">
            <w:pPr>
              <w:jc w:val="right"/>
              <w:rPr>
                <w:bCs/>
                <w:sz w:val="18"/>
                <w:szCs w:val="18"/>
              </w:rPr>
            </w:pPr>
            <w:r w:rsidRPr="000A1F3B">
              <w:rPr>
                <w:bCs/>
                <w:sz w:val="18"/>
                <w:szCs w:val="18"/>
              </w:rPr>
              <w:t>27 336,5</w:t>
            </w:r>
          </w:p>
        </w:tc>
        <w:tc>
          <w:tcPr>
            <w:tcW w:w="1073" w:type="dxa"/>
            <w:tcBorders>
              <w:top w:val="nil"/>
              <w:left w:val="single" w:sz="8" w:space="0" w:color="800000"/>
              <w:bottom w:val="nil"/>
              <w:right w:val="nil"/>
            </w:tcBorders>
            <w:shd w:val="clear" w:color="auto" w:fill="FFFFCC"/>
            <w:noWrap/>
          </w:tcPr>
          <w:p w14:paraId="4C69F91B" w14:textId="77777777" w:rsidR="008911C1" w:rsidRPr="000A1F3B" w:rsidRDefault="008911C1" w:rsidP="00D337DB">
            <w:pPr>
              <w:jc w:val="right"/>
              <w:rPr>
                <w:bCs/>
                <w:sz w:val="18"/>
                <w:szCs w:val="18"/>
              </w:rPr>
            </w:pPr>
            <w:r w:rsidRPr="000A1F3B">
              <w:rPr>
                <w:bCs/>
                <w:sz w:val="18"/>
                <w:szCs w:val="18"/>
              </w:rPr>
              <w:t>31 460,1</w:t>
            </w:r>
          </w:p>
        </w:tc>
        <w:tc>
          <w:tcPr>
            <w:tcW w:w="1015" w:type="dxa"/>
            <w:tcBorders>
              <w:top w:val="nil"/>
              <w:left w:val="single" w:sz="8" w:space="0" w:color="800000"/>
              <w:bottom w:val="nil"/>
              <w:right w:val="nil"/>
            </w:tcBorders>
            <w:shd w:val="clear" w:color="auto" w:fill="FFFFCC"/>
            <w:noWrap/>
          </w:tcPr>
          <w:p w14:paraId="188652B5" w14:textId="77777777" w:rsidR="008911C1" w:rsidRPr="000A1F3B" w:rsidRDefault="008911C1" w:rsidP="00D337DB">
            <w:pPr>
              <w:jc w:val="right"/>
              <w:rPr>
                <w:bCs/>
                <w:sz w:val="18"/>
                <w:szCs w:val="18"/>
              </w:rPr>
            </w:pPr>
            <w:r w:rsidRPr="000A1F3B">
              <w:rPr>
                <w:bCs/>
                <w:sz w:val="18"/>
                <w:szCs w:val="18"/>
              </w:rPr>
              <w:t>31 679,3</w:t>
            </w:r>
          </w:p>
        </w:tc>
        <w:tc>
          <w:tcPr>
            <w:tcW w:w="882" w:type="dxa"/>
            <w:tcBorders>
              <w:top w:val="nil"/>
              <w:left w:val="single" w:sz="8" w:space="0" w:color="800000"/>
              <w:bottom w:val="nil"/>
              <w:right w:val="nil"/>
            </w:tcBorders>
            <w:shd w:val="clear" w:color="auto" w:fill="FFFFCC"/>
            <w:noWrap/>
          </w:tcPr>
          <w:p w14:paraId="741FB1AF" w14:textId="77777777" w:rsidR="008911C1" w:rsidRPr="000A1F3B" w:rsidRDefault="008911C1" w:rsidP="00D337DB">
            <w:pPr>
              <w:jc w:val="right"/>
              <w:rPr>
                <w:bCs/>
                <w:sz w:val="18"/>
                <w:szCs w:val="18"/>
              </w:rPr>
            </w:pPr>
            <w:r w:rsidRPr="000A1F3B">
              <w:rPr>
                <w:bCs/>
                <w:sz w:val="18"/>
                <w:szCs w:val="18"/>
              </w:rPr>
              <w:t>1</w:t>
            </w:r>
            <w:r w:rsidRPr="000A1F3B">
              <w:rPr>
                <w:bCs/>
                <w:sz w:val="18"/>
                <w:szCs w:val="18"/>
                <w:lang w:val="en-US"/>
              </w:rPr>
              <w:t>0</w:t>
            </w:r>
            <w:r w:rsidRPr="000A1F3B">
              <w:rPr>
                <w:bCs/>
                <w:sz w:val="18"/>
                <w:szCs w:val="18"/>
              </w:rPr>
              <w:t>0,7%</w:t>
            </w:r>
          </w:p>
        </w:tc>
        <w:tc>
          <w:tcPr>
            <w:tcW w:w="1058" w:type="dxa"/>
            <w:tcBorders>
              <w:top w:val="nil"/>
              <w:left w:val="single" w:sz="8" w:space="0" w:color="800000"/>
              <w:bottom w:val="nil"/>
              <w:right w:val="double" w:sz="6" w:space="0" w:color="800000"/>
            </w:tcBorders>
            <w:shd w:val="clear" w:color="auto" w:fill="FFFFCC"/>
            <w:noWrap/>
          </w:tcPr>
          <w:p w14:paraId="7EF06ECC" w14:textId="77777777" w:rsidR="008911C1" w:rsidRPr="000A1F3B" w:rsidRDefault="008911C1" w:rsidP="00D337DB">
            <w:pPr>
              <w:jc w:val="right"/>
              <w:rPr>
                <w:bCs/>
                <w:sz w:val="18"/>
                <w:szCs w:val="18"/>
              </w:rPr>
            </w:pPr>
            <w:r w:rsidRPr="000A1F3B">
              <w:rPr>
                <w:bCs/>
                <w:sz w:val="18"/>
                <w:szCs w:val="18"/>
              </w:rPr>
              <w:t>1</w:t>
            </w:r>
            <w:r w:rsidRPr="000A1F3B">
              <w:rPr>
                <w:bCs/>
                <w:sz w:val="18"/>
                <w:szCs w:val="18"/>
                <w:lang w:val="en-US"/>
              </w:rPr>
              <w:t>1</w:t>
            </w:r>
            <w:r w:rsidRPr="000A1F3B">
              <w:rPr>
                <w:bCs/>
                <w:sz w:val="18"/>
                <w:szCs w:val="18"/>
              </w:rPr>
              <w:t>5,9%</w:t>
            </w:r>
          </w:p>
        </w:tc>
      </w:tr>
      <w:tr w:rsidR="008911C1" w:rsidRPr="00EA3DC7" w14:paraId="7E87ED8C" w14:textId="77777777" w:rsidTr="00D337DB">
        <w:trPr>
          <w:trHeight w:val="80"/>
        </w:trPr>
        <w:tc>
          <w:tcPr>
            <w:tcW w:w="3970" w:type="dxa"/>
            <w:tcBorders>
              <w:top w:val="nil"/>
              <w:left w:val="double" w:sz="6" w:space="0" w:color="800000"/>
              <w:bottom w:val="nil"/>
              <w:right w:val="single" w:sz="8" w:space="0" w:color="800000"/>
            </w:tcBorders>
            <w:shd w:val="clear" w:color="auto" w:fill="FFFFCC"/>
            <w:noWrap/>
            <w:vAlign w:val="bottom"/>
            <w:hideMark/>
          </w:tcPr>
          <w:p w14:paraId="2DA6CD0E" w14:textId="77777777" w:rsidR="008911C1" w:rsidRPr="000E314C" w:rsidRDefault="008911C1" w:rsidP="00D337DB">
            <w:pPr>
              <w:rPr>
                <w:sz w:val="18"/>
                <w:szCs w:val="18"/>
              </w:rPr>
            </w:pPr>
            <w:r w:rsidRPr="000E314C">
              <w:rPr>
                <w:sz w:val="18"/>
                <w:szCs w:val="18"/>
              </w:rPr>
              <w:t xml:space="preserve">     Неданъчни приходи</w:t>
            </w:r>
          </w:p>
        </w:tc>
        <w:tc>
          <w:tcPr>
            <w:tcW w:w="1053" w:type="dxa"/>
            <w:shd w:val="clear" w:color="auto" w:fill="FFFFCC"/>
            <w:noWrap/>
          </w:tcPr>
          <w:p w14:paraId="73155E5C" w14:textId="77777777" w:rsidR="008911C1" w:rsidRPr="000A1F3B" w:rsidRDefault="008911C1" w:rsidP="00D337DB">
            <w:pPr>
              <w:jc w:val="right"/>
              <w:rPr>
                <w:bCs/>
                <w:sz w:val="18"/>
                <w:szCs w:val="18"/>
              </w:rPr>
            </w:pPr>
            <w:r w:rsidRPr="000A1F3B">
              <w:rPr>
                <w:bCs/>
                <w:sz w:val="18"/>
                <w:szCs w:val="18"/>
              </w:rPr>
              <w:t>3 130,8</w:t>
            </w:r>
          </w:p>
        </w:tc>
        <w:tc>
          <w:tcPr>
            <w:tcW w:w="1073" w:type="dxa"/>
            <w:tcBorders>
              <w:top w:val="nil"/>
              <w:left w:val="single" w:sz="8" w:space="0" w:color="800000"/>
              <w:bottom w:val="nil"/>
              <w:right w:val="single" w:sz="8" w:space="0" w:color="800000"/>
            </w:tcBorders>
            <w:shd w:val="clear" w:color="auto" w:fill="FFFFCC"/>
            <w:noWrap/>
          </w:tcPr>
          <w:p w14:paraId="15D1EC2E" w14:textId="77777777" w:rsidR="008911C1" w:rsidRPr="000A1F3B" w:rsidRDefault="008911C1" w:rsidP="00D337DB">
            <w:pPr>
              <w:jc w:val="right"/>
              <w:rPr>
                <w:bCs/>
                <w:sz w:val="18"/>
                <w:szCs w:val="18"/>
              </w:rPr>
            </w:pPr>
            <w:r w:rsidRPr="000A1F3B">
              <w:rPr>
                <w:bCs/>
                <w:sz w:val="18"/>
                <w:szCs w:val="18"/>
              </w:rPr>
              <w:t>2 652,4</w:t>
            </w:r>
          </w:p>
        </w:tc>
        <w:tc>
          <w:tcPr>
            <w:tcW w:w="1015" w:type="dxa"/>
            <w:shd w:val="clear" w:color="auto" w:fill="FFFFCC"/>
            <w:noWrap/>
          </w:tcPr>
          <w:p w14:paraId="315E64D2" w14:textId="77777777" w:rsidR="008911C1" w:rsidRPr="000A1F3B" w:rsidRDefault="008911C1" w:rsidP="00D337DB">
            <w:pPr>
              <w:jc w:val="right"/>
              <w:rPr>
                <w:bCs/>
                <w:sz w:val="18"/>
                <w:szCs w:val="18"/>
              </w:rPr>
            </w:pPr>
            <w:r w:rsidRPr="000A1F3B">
              <w:rPr>
                <w:bCs/>
                <w:sz w:val="18"/>
                <w:szCs w:val="18"/>
              </w:rPr>
              <w:t>3 260,6</w:t>
            </w:r>
          </w:p>
        </w:tc>
        <w:tc>
          <w:tcPr>
            <w:tcW w:w="882" w:type="dxa"/>
            <w:tcBorders>
              <w:top w:val="nil"/>
              <w:left w:val="single" w:sz="8" w:space="0" w:color="800000"/>
              <w:bottom w:val="nil"/>
              <w:right w:val="nil"/>
            </w:tcBorders>
            <w:shd w:val="clear" w:color="auto" w:fill="FFFFCC"/>
            <w:noWrap/>
          </w:tcPr>
          <w:p w14:paraId="0D4EAA67" w14:textId="77777777" w:rsidR="008911C1" w:rsidRPr="000A1F3B" w:rsidRDefault="008911C1" w:rsidP="00D337DB">
            <w:pPr>
              <w:jc w:val="right"/>
              <w:rPr>
                <w:bCs/>
                <w:sz w:val="18"/>
                <w:szCs w:val="18"/>
              </w:rPr>
            </w:pPr>
            <w:r w:rsidRPr="000A1F3B">
              <w:rPr>
                <w:bCs/>
                <w:sz w:val="18"/>
                <w:szCs w:val="18"/>
              </w:rPr>
              <w:t>122,9%</w:t>
            </w:r>
          </w:p>
        </w:tc>
        <w:tc>
          <w:tcPr>
            <w:tcW w:w="1058" w:type="dxa"/>
            <w:tcBorders>
              <w:top w:val="nil"/>
              <w:left w:val="single" w:sz="8" w:space="0" w:color="800000"/>
              <w:bottom w:val="nil"/>
              <w:right w:val="double" w:sz="6" w:space="0" w:color="800000"/>
            </w:tcBorders>
            <w:shd w:val="clear" w:color="auto" w:fill="FFFFCC"/>
            <w:noWrap/>
          </w:tcPr>
          <w:p w14:paraId="1DEBEA4A" w14:textId="77777777" w:rsidR="008911C1" w:rsidRPr="000A1F3B" w:rsidRDefault="008911C1" w:rsidP="00D337DB">
            <w:pPr>
              <w:jc w:val="right"/>
              <w:rPr>
                <w:bCs/>
                <w:sz w:val="18"/>
                <w:szCs w:val="18"/>
              </w:rPr>
            </w:pPr>
            <w:r w:rsidRPr="000A1F3B">
              <w:rPr>
                <w:bCs/>
                <w:sz w:val="18"/>
                <w:szCs w:val="18"/>
              </w:rPr>
              <w:t>104,1%</w:t>
            </w:r>
          </w:p>
        </w:tc>
      </w:tr>
      <w:tr w:rsidR="008911C1" w:rsidRPr="00EA3DC7" w14:paraId="39AAD4CB" w14:textId="77777777" w:rsidTr="00D337DB">
        <w:trPr>
          <w:trHeight w:val="80"/>
        </w:trPr>
        <w:tc>
          <w:tcPr>
            <w:tcW w:w="3970" w:type="dxa"/>
            <w:tcBorders>
              <w:top w:val="nil"/>
              <w:left w:val="double" w:sz="6" w:space="0" w:color="800000"/>
              <w:bottom w:val="nil"/>
              <w:right w:val="single" w:sz="8" w:space="0" w:color="800000"/>
            </w:tcBorders>
            <w:shd w:val="clear" w:color="auto" w:fill="FFFFCC"/>
            <w:noWrap/>
            <w:vAlign w:val="bottom"/>
            <w:hideMark/>
          </w:tcPr>
          <w:p w14:paraId="3FB11DCD" w14:textId="77777777" w:rsidR="008911C1" w:rsidRPr="000E314C" w:rsidRDefault="008911C1" w:rsidP="00D337DB">
            <w:pPr>
              <w:rPr>
                <w:sz w:val="18"/>
                <w:szCs w:val="18"/>
              </w:rPr>
            </w:pPr>
            <w:r w:rsidRPr="000E314C">
              <w:rPr>
                <w:sz w:val="18"/>
                <w:szCs w:val="18"/>
              </w:rPr>
              <w:t xml:space="preserve">     Помощи и дарения</w:t>
            </w:r>
          </w:p>
        </w:tc>
        <w:tc>
          <w:tcPr>
            <w:tcW w:w="1053" w:type="dxa"/>
            <w:shd w:val="clear" w:color="auto" w:fill="FFFFCC"/>
            <w:noWrap/>
          </w:tcPr>
          <w:p w14:paraId="08D12AC0" w14:textId="77777777" w:rsidR="008911C1" w:rsidRPr="000A1F3B" w:rsidRDefault="008911C1" w:rsidP="00D337DB">
            <w:pPr>
              <w:jc w:val="right"/>
              <w:rPr>
                <w:bCs/>
                <w:sz w:val="18"/>
                <w:szCs w:val="18"/>
              </w:rPr>
            </w:pPr>
            <w:r w:rsidRPr="000A1F3B">
              <w:rPr>
                <w:bCs/>
                <w:sz w:val="18"/>
                <w:szCs w:val="18"/>
              </w:rPr>
              <w:t>453,7</w:t>
            </w:r>
          </w:p>
        </w:tc>
        <w:tc>
          <w:tcPr>
            <w:tcW w:w="1073" w:type="dxa"/>
            <w:tcBorders>
              <w:top w:val="nil"/>
              <w:left w:val="single" w:sz="8" w:space="0" w:color="800000"/>
              <w:bottom w:val="nil"/>
              <w:right w:val="single" w:sz="8" w:space="0" w:color="800000"/>
            </w:tcBorders>
            <w:shd w:val="clear" w:color="auto" w:fill="FFFFCC"/>
            <w:noWrap/>
          </w:tcPr>
          <w:p w14:paraId="5B61C318" w14:textId="77777777" w:rsidR="008911C1" w:rsidRPr="000A1F3B" w:rsidRDefault="008911C1" w:rsidP="00D337DB">
            <w:pPr>
              <w:jc w:val="right"/>
              <w:rPr>
                <w:bCs/>
                <w:sz w:val="18"/>
                <w:szCs w:val="18"/>
              </w:rPr>
            </w:pPr>
            <w:r w:rsidRPr="000A1F3B">
              <w:rPr>
                <w:bCs/>
                <w:sz w:val="18"/>
                <w:szCs w:val="18"/>
              </w:rPr>
              <w:t>0,0</w:t>
            </w:r>
          </w:p>
        </w:tc>
        <w:tc>
          <w:tcPr>
            <w:tcW w:w="1015" w:type="dxa"/>
            <w:shd w:val="clear" w:color="auto" w:fill="FFFFCC"/>
            <w:noWrap/>
          </w:tcPr>
          <w:p w14:paraId="5086442A" w14:textId="77777777" w:rsidR="008911C1" w:rsidRPr="000A1F3B" w:rsidRDefault="008911C1" w:rsidP="00D337DB">
            <w:pPr>
              <w:jc w:val="right"/>
              <w:rPr>
                <w:bCs/>
                <w:sz w:val="18"/>
                <w:szCs w:val="18"/>
              </w:rPr>
            </w:pPr>
            <w:r w:rsidRPr="000A1F3B">
              <w:rPr>
                <w:bCs/>
                <w:sz w:val="18"/>
                <w:szCs w:val="18"/>
              </w:rPr>
              <w:t>5,5</w:t>
            </w:r>
          </w:p>
        </w:tc>
        <w:tc>
          <w:tcPr>
            <w:tcW w:w="882" w:type="dxa"/>
            <w:tcBorders>
              <w:top w:val="nil"/>
              <w:left w:val="single" w:sz="8" w:space="0" w:color="800000"/>
              <w:bottom w:val="nil"/>
              <w:right w:val="nil"/>
            </w:tcBorders>
            <w:shd w:val="clear" w:color="auto" w:fill="FFFFCC"/>
            <w:noWrap/>
            <w:vAlign w:val="bottom"/>
          </w:tcPr>
          <w:p w14:paraId="49F1CDEF" w14:textId="77777777" w:rsidR="008911C1" w:rsidRPr="000A1F3B" w:rsidRDefault="008911C1" w:rsidP="00D337DB">
            <w:pPr>
              <w:rPr>
                <w:sz w:val="20"/>
              </w:rPr>
            </w:pPr>
          </w:p>
        </w:tc>
        <w:tc>
          <w:tcPr>
            <w:tcW w:w="1058" w:type="dxa"/>
            <w:tcBorders>
              <w:top w:val="nil"/>
              <w:left w:val="single" w:sz="8" w:space="0" w:color="800000"/>
              <w:bottom w:val="nil"/>
              <w:right w:val="double" w:sz="6" w:space="0" w:color="800000"/>
            </w:tcBorders>
            <w:shd w:val="clear" w:color="auto" w:fill="FFFFCC"/>
            <w:noWrap/>
            <w:vAlign w:val="bottom"/>
          </w:tcPr>
          <w:p w14:paraId="5C761906" w14:textId="77777777" w:rsidR="008911C1" w:rsidRPr="00EA3DC7" w:rsidRDefault="008911C1" w:rsidP="00D337DB">
            <w:pPr>
              <w:jc w:val="right"/>
              <w:rPr>
                <w:color w:val="0070C0"/>
                <w:sz w:val="18"/>
                <w:szCs w:val="18"/>
              </w:rPr>
            </w:pPr>
          </w:p>
        </w:tc>
      </w:tr>
      <w:tr w:rsidR="008911C1" w:rsidRPr="00EA3DC7" w14:paraId="3E4D7B40" w14:textId="77777777" w:rsidTr="00D337DB">
        <w:trPr>
          <w:trHeight w:val="80"/>
        </w:trPr>
        <w:tc>
          <w:tcPr>
            <w:tcW w:w="3970" w:type="dxa"/>
            <w:tcBorders>
              <w:top w:val="nil"/>
              <w:left w:val="double" w:sz="6" w:space="0" w:color="800000"/>
              <w:bottom w:val="nil"/>
              <w:right w:val="single" w:sz="8" w:space="0" w:color="800000"/>
            </w:tcBorders>
            <w:shd w:val="clear" w:color="auto" w:fill="FFFFCC"/>
            <w:noWrap/>
            <w:vAlign w:val="bottom"/>
            <w:hideMark/>
          </w:tcPr>
          <w:p w14:paraId="69B252E0" w14:textId="77777777" w:rsidR="008911C1" w:rsidRPr="000E314C" w:rsidRDefault="008911C1" w:rsidP="00D337DB">
            <w:pPr>
              <w:rPr>
                <w:sz w:val="4"/>
                <w:szCs w:val="4"/>
              </w:rPr>
            </w:pPr>
            <w:r w:rsidRPr="000E314C">
              <w:rPr>
                <w:sz w:val="4"/>
                <w:szCs w:val="4"/>
              </w:rPr>
              <w:t> </w:t>
            </w:r>
          </w:p>
        </w:tc>
        <w:tc>
          <w:tcPr>
            <w:tcW w:w="1053" w:type="dxa"/>
            <w:shd w:val="clear" w:color="auto" w:fill="FFFFCC"/>
            <w:noWrap/>
            <w:vAlign w:val="bottom"/>
            <w:hideMark/>
          </w:tcPr>
          <w:p w14:paraId="79224120" w14:textId="77777777" w:rsidR="008911C1" w:rsidRPr="00EA3DC7" w:rsidRDefault="008911C1" w:rsidP="00D337DB">
            <w:pPr>
              <w:jc w:val="right"/>
              <w:rPr>
                <w:b/>
                <w:bCs/>
                <w:color w:val="0070C0"/>
                <w:sz w:val="18"/>
                <w:szCs w:val="18"/>
              </w:rPr>
            </w:pPr>
            <w:r w:rsidRPr="00EA3DC7">
              <w:rPr>
                <w:b/>
                <w:bCs/>
                <w:color w:val="0070C0"/>
                <w:sz w:val="18"/>
                <w:szCs w:val="18"/>
              </w:rPr>
              <w:t> </w:t>
            </w:r>
          </w:p>
        </w:tc>
        <w:tc>
          <w:tcPr>
            <w:tcW w:w="1073" w:type="dxa"/>
            <w:tcBorders>
              <w:top w:val="nil"/>
              <w:left w:val="single" w:sz="8" w:space="0" w:color="800000"/>
              <w:bottom w:val="nil"/>
              <w:right w:val="nil"/>
            </w:tcBorders>
            <w:shd w:val="clear" w:color="auto" w:fill="FFFFCC"/>
            <w:noWrap/>
            <w:vAlign w:val="bottom"/>
            <w:hideMark/>
          </w:tcPr>
          <w:p w14:paraId="32295C17" w14:textId="77777777" w:rsidR="008911C1" w:rsidRPr="00EA3DC7" w:rsidRDefault="008911C1" w:rsidP="00D337DB">
            <w:pPr>
              <w:rPr>
                <w:color w:val="0070C0"/>
                <w:sz w:val="18"/>
                <w:szCs w:val="18"/>
              </w:rPr>
            </w:pPr>
            <w:r w:rsidRPr="00EA3DC7">
              <w:rPr>
                <w:color w:val="0070C0"/>
                <w:sz w:val="18"/>
                <w:szCs w:val="18"/>
              </w:rPr>
              <w:t> </w:t>
            </w:r>
          </w:p>
        </w:tc>
        <w:tc>
          <w:tcPr>
            <w:tcW w:w="1015" w:type="dxa"/>
            <w:tcBorders>
              <w:top w:val="nil"/>
              <w:left w:val="single" w:sz="8" w:space="0" w:color="800000"/>
              <w:bottom w:val="nil"/>
              <w:right w:val="nil"/>
            </w:tcBorders>
            <w:shd w:val="clear" w:color="auto" w:fill="FFFFCC"/>
            <w:noWrap/>
            <w:vAlign w:val="bottom"/>
            <w:hideMark/>
          </w:tcPr>
          <w:p w14:paraId="77BEB4BF" w14:textId="77777777" w:rsidR="008911C1" w:rsidRPr="00EA3DC7" w:rsidRDefault="008911C1" w:rsidP="00D337DB">
            <w:pPr>
              <w:jc w:val="right"/>
              <w:rPr>
                <w:b/>
                <w:bCs/>
                <w:color w:val="0070C0"/>
                <w:sz w:val="18"/>
                <w:szCs w:val="18"/>
              </w:rPr>
            </w:pPr>
            <w:r w:rsidRPr="00EA3DC7">
              <w:rPr>
                <w:b/>
                <w:bCs/>
                <w:color w:val="0070C0"/>
                <w:sz w:val="18"/>
                <w:szCs w:val="18"/>
              </w:rPr>
              <w:t> </w:t>
            </w:r>
          </w:p>
        </w:tc>
        <w:tc>
          <w:tcPr>
            <w:tcW w:w="882" w:type="dxa"/>
            <w:tcBorders>
              <w:top w:val="nil"/>
              <w:left w:val="single" w:sz="8" w:space="0" w:color="800000"/>
              <w:bottom w:val="nil"/>
              <w:right w:val="nil"/>
            </w:tcBorders>
            <w:shd w:val="clear" w:color="auto" w:fill="FFFFCC"/>
            <w:noWrap/>
            <w:vAlign w:val="bottom"/>
            <w:hideMark/>
          </w:tcPr>
          <w:p w14:paraId="6A28EDC8" w14:textId="77777777" w:rsidR="008911C1" w:rsidRPr="00EA3DC7" w:rsidRDefault="008911C1" w:rsidP="00D337DB">
            <w:pPr>
              <w:rPr>
                <w:color w:val="0070C0"/>
                <w:sz w:val="18"/>
                <w:szCs w:val="18"/>
              </w:rPr>
            </w:pPr>
            <w:r w:rsidRPr="00EA3DC7">
              <w:rPr>
                <w:color w:val="0070C0"/>
                <w:sz w:val="18"/>
                <w:szCs w:val="18"/>
              </w:rPr>
              <w:t> </w:t>
            </w:r>
          </w:p>
        </w:tc>
        <w:tc>
          <w:tcPr>
            <w:tcW w:w="1058" w:type="dxa"/>
            <w:tcBorders>
              <w:top w:val="nil"/>
              <w:left w:val="single" w:sz="8" w:space="0" w:color="800000"/>
              <w:bottom w:val="nil"/>
              <w:right w:val="double" w:sz="6" w:space="0" w:color="800000"/>
            </w:tcBorders>
            <w:shd w:val="clear" w:color="auto" w:fill="FFFFCC"/>
            <w:noWrap/>
            <w:vAlign w:val="bottom"/>
            <w:hideMark/>
          </w:tcPr>
          <w:p w14:paraId="3F370F29" w14:textId="77777777" w:rsidR="008911C1" w:rsidRPr="00EA3DC7" w:rsidRDefault="008911C1" w:rsidP="00D337DB">
            <w:pPr>
              <w:rPr>
                <w:color w:val="0070C0"/>
                <w:sz w:val="18"/>
                <w:szCs w:val="18"/>
              </w:rPr>
            </w:pPr>
            <w:r w:rsidRPr="00EA3DC7">
              <w:rPr>
                <w:color w:val="0070C0"/>
                <w:sz w:val="18"/>
                <w:szCs w:val="18"/>
              </w:rPr>
              <w:t> </w:t>
            </w:r>
          </w:p>
        </w:tc>
      </w:tr>
      <w:tr w:rsidR="008911C1" w:rsidRPr="00EA3DC7" w14:paraId="132A4F11" w14:textId="77777777" w:rsidTr="00D337DB">
        <w:trPr>
          <w:trHeight w:val="255"/>
        </w:trPr>
        <w:tc>
          <w:tcPr>
            <w:tcW w:w="3970" w:type="dxa"/>
            <w:tcBorders>
              <w:top w:val="nil"/>
              <w:left w:val="double" w:sz="6" w:space="0" w:color="800000"/>
              <w:bottom w:val="nil"/>
              <w:right w:val="single" w:sz="8" w:space="0" w:color="800000"/>
            </w:tcBorders>
            <w:shd w:val="clear" w:color="auto" w:fill="FFFFCC"/>
            <w:noWrap/>
            <w:vAlign w:val="bottom"/>
            <w:hideMark/>
          </w:tcPr>
          <w:p w14:paraId="3D7E1A8B" w14:textId="77777777" w:rsidR="008911C1" w:rsidRPr="000E314C" w:rsidRDefault="008911C1" w:rsidP="00D337DB">
            <w:pPr>
              <w:ind w:left="133" w:hanging="133"/>
              <w:rPr>
                <w:b/>
                <w:bCs/>
                <w:sz w:val="18"/>
                <w:szCs w:val="18"/>
              </w:rPr>
            </w:pPr>
            <w:r w:rsidRPr="000E314C">
              <w:rPr>
                <w:b/>
                <w:bCs/>
                <w:sz w:val="18"/>
                <w:szCs w:val="18"/>
              </w:rPr>
              <w:t xml:space="preserve">   РАЗХОДИ, ТРАНСФЕРИ И ВНОСКА В   БЮДЖЕТА НА ЕС</w:t>
            </w:r>
          </w:p>
        </w:tc>
        <w:tc>
          <w:tcPr>
            <w:tcW w:w="1053" w:type="dxa"/>
            <w:shd w:val="clear" w:color="auto" w:fill="FFFFCC"/>
            <w:noWrap/>
            <w:vAlign w:val="bottom"/>
          </w:tcPr>
          <w:p w14:paraId="29CD2D99" w14:textId="77777777" w:rsidR="008911C1" w:rsidRPr="00050E27" w:rsidRDefault="008911C1" w:rsidP="00D337DB">
            <w:pPr>
              <w:jc w:val="right"/>
              <w:rPr>
                <w:b/>
                <w:bCs/>
                <w:sz w:val="18"/>
                <w:szCs w:val="18"/>
              </w:rPr>
            </w:pPr>
            <w:r w:rsidRPr="00050E27">
              <w:rPr>
                <w:b/>
                <w:bCs/>
                <w:sz w:val="18"/>
                <w:szCs w:val="18"/>
              </w:rPr>
              <w:t>35 191,5</w:t>
            </w:r>
          </w:p>
        </w:tc>
        <w:tc>
          <w:tcPr>
            <w:tcW w:w="1073" w:type="dxa"/>
            <w:tcBorders>
              <w:top w:val="nil"/>
              <w:left w:val="single" w:sz="8" w:space="0" w:color="800000"/>
              <w:bottom w:val="nil"/>
              <w:right w:val="single" w:sz="8" w:space="0" w:color="800000"/>
            </w:tcBorders>
            <w:shd w:val="clear" w:color="auto" w:fill="FFFFCC"/>
            <w:noWrap/>
            <w:vAlign w:val="bottom"/>
          </w:tcPr>
          <w:p w14:paraId="3F5B1E06" w14:textId="77777777" w:rsidR="008911C1" w:rsidRPr="005040F3" w:rsidRDefault="008911C1" w:rsidP="00D337DB">
            <w:pPr>
              <w:jc w:val="right"/>
              <w:rPr>
                <w:b/>
                <w:bCs/>
                <w:sz w:val="18"/>
                <w:szCs w:val="18"/>
                <w:lang w:val="en-US"/>
              </w:rPr>
            </w:pPr>
            <w:r w:rsidRPr="005040F3">
              <w:rPr>
                <w:b/>
                <w:bCs/>
                <w:sz w:val="18"/>
                <w:szCs w:val="18"/>
                <w:lang w:val="en-US"/>
              </w:rPr>
              <w:t>41 736,2</w:t>
            </w:r>
          </w:p>
        </w:tc>
        <w:tc>
          <w:tcPr>
            <w:tcW w:w="1015" w:type="dxa"/>
            <w:tcBorders>
              <w:top w:val="nil"/>
              <w:left w:val="nil"/>
              <w:bottom w:val="nil"/>
              <w:right w:val="single" w:sz="8" w:space="0" w:color="800000"/>
            </w:tcBorders>
            <w:shd w:val="clear" w:color="auto" w:fill="FFFFCC"/>
            <w:noWrap/>
            <w:vAlign w:val="bottom"/>
          </w:tcPr>
          <w:p w14:paraId="259BA50C" w14:textId="77777777" w:rsidR="008911C1" w:rsidRPr="005040F3" w:rsidRDefault="008911C1" w:rsidP="00D337DB">
            <w:pPr>
              <w:jc w:val="right"/>
              <w:rPr>
                <w:b/>
                <w:bCs/>
                <w:sz w:val="18"/>
                <w:szCs w:val="18"/>
                <w:lang w:val="en-US"/>
              </w:rPr>
            </w:pPr>
            <w:r w:rsidRPr="005040F3">
              <w:rPr>
                <w:b/>
                <w:bCs/>
                <w:sz w:val="18"/>
                <w:szCs w:val="18"/>
                <w:lang w:val="en-US"/>
              </w:rPr>
              <w:t>40 641,1</w:t>
            </w:r>
          </w:p>
        </w:tc>
        <w:tc>
          <w:tcPr>
            <w:tcW w:w="882" w:type="dxa"/>
            <w:shd w:val="clear" w:color="auto" w:fill="FFFFCC"/>
            <w:noWrap/>
            <w:vAlign w:val="bottom"/>
          </w:tcPr>
          <w:p w14:paraId="5F17812B" w14:textId="77777777" w:rsidR="008911C1" w:rsidRPr="007B1C99" w:rsidRDefault="008911C1" w:rsidP="00D337DB">
            <w:pPr>
              <w:jc w:val="right"/>
              <w:rPr>
                <w:b/>
                <w:bCs/>
                <w:sz w:val="18"/>
                <w:szCs w:val="18"/>
              </w:rPr>
            </w:pPr>
            <w:r w:rsidRPr="007B1C99">
              <w:rPr>
                <w:b/>
                <w:bCs/>
                <w:sz w:val="18"/>
                <w:szCs w:val="18"/>
                <w:lang w:val="en-US"/>
              </w:rPr>
              <w:t>97,4%</w:t>
            </w:r>
          </w:p>
        </w:tc>
        <w:tc>
          <w:tcPr>
            <w:tcW w:w="1058" w:type="dxa"/>
            <w:tcBorders>
              <w:top w:val="nil"/>
              <w:left w:val="single" w:sz="8" w:space="0" w:color="800000"/>
              <w:bottom w:val="nil"/>
              <w:right w:val="double" w:sz="6" w:space="0" w:color="800000"/>
            </w:tcBorders>
            <w:shd w:val="clear" w:color="auto" w:fill="FFFFCC"/>
            <w:noWrap/>
            <w:vAlign w:val="bottom"/>
          </w:tcPr>
          <w:p w14:paraId="23C33739" w14:textId="77777777" w:rsidR="008911C1" w:rsidRPr="007B1C99" w:rsidRDefault="008911C1" w:rsidP="00D337DB">
            <w:pPr>
              <w:jc w:val="right"/>
              <w:rPr>
                <w:b/>
                <w:bCs/>
                <w:sz w:val="18"/>
                <w:szCs w:val="18"/>
              </w:rPr>
            </w:pPr>
            <w:r w:rsidRPr="007B1C99">
              <w:rPr>
                <w:b/>
                <w:bCs/>
                <w:sz w:val="18"/>
                <w:szCs w:val="18"/>
              </w:rPr>
              <w:t>115,5%</w:t>
            </w:r>
          </w:p>
        </w:tc>
      </w:tr>
      <w:tr w:rsidR="008911C1" w:rsidRPr="00EA3DC7" w14:paraId="30735CA0" w14:textId="77777777" w:rsidTr="00D337DB">
        <w:trPr>
          <w:trHeight w:val="100"/>
        </w:trPr>
        <w:tc>
          <w:tcPr>
            <w:tcW w:w="3970" w:type="dxa"/>
            <w:tcBorders>
              <w:top w:val="nil"/>
              <w:left w:val="double" w:sz="6" w:space="0" w:color="800000"/>
              <w:bottom w:val="nil"/>
              <w:right w:val="single" w:sz="8" w:space="0" w:color="800000"/>
            </w:tcBorders>
            <w:shd w:val="clear" w:color="auto" w:fill="FFFFCC"/>
            <w:noWrap/>
            <w:vAlign w:val="bottom"/>
            <w:hideMark/>
          </w:tcPr>
          <w:p w14:paraId="5927EBFB" w14:textId="77777777" w:rsidR="008911C1" w:rsidRPr="000E314C" w:rsidRDefault="008911C1" w:rsidP="00D337DB">
            <w:pPr>
              <w:rPr>
                <w:b/>
                <w:bCs/>
                <w:sz w:val="18"/>
                <w:szCs w:val="18"/>
              </w:rPr>
            </w:pPr>
            <w:r w:rsidRPr="000E314C">
              <w:rPr>
                <w:b/>
                <w:bCs/>
                <w:sz w:val="18"/>
                <w:szCs w:val="18"/>
              </w:rPr>
              <w:t xml:space="preserve">    Разходи</w:t>
            </w:r>
          </w:p>
        </w:tc>
        <w:tc>
          <w:tcPr>
            <w:tcW w:w="1053" w:type="dxa"/>
            <w:shd w:val="clear" w:color="auto" w:fill="FFFFCC"/>
            <w:noWrap/>
          </w:tcPr>
          <w:p w14:paraId="6B94EDD9" w14:textId="77777777" w:rsidR="008911C1" w:rsidRPr="00050E27" w:rsidRDefault="008911C1" w:rsidP="00D337DB">
            <w:pPr>
              <w:jc w:val="right"/>
              <w:rPr>
                <w:b/>
                <w:bCs/>
                <w:sz w:val="18"/>
                <w:szCs w:val="18"/>
              </w:rPr>
            </w:pPr>
            <w:r w:rsidRPr="00050E27">
              <w:rPr>
                <w:b/>
                <w:bCs/>
                <w:sz w:val="18"/>
                <w:szCs w:val="18"/>
              </w:rPr>
              <w:t>15 003,2</w:t>
            </w:r>
          </w:p>
        </w:tc>
        <w:tc>
          <w:tcPr>
            <w:tcW w:w="1073" w:type="dxa"/>
            <w:tcBorders>
              <w:top w:val="nil"/>
              <w:left w:val="single" w:sz="8" w:space="0" w:color="800000"/>
              <w:bottom w:val="nil"/>
              <w:right w:val="single" w:sz="8" w:space="0" w:color="800000"/>
            </w:tcBorders>
            <w:shd w:val="clear" w:color="auto" w:fill="FFFFCC"/>
            <w:noWrap/>
          </w:tcPr>
          <w:p w14:paraId="4B758CBA" w14:textId="77777777" w:rsidR="008911C1" w:rsidRPr="005040F3" w:rsidRDefault="008911C1" w:rsidP="00D337DB">
            <w:pPr>
              <w:jc w:val="right"/>
              <w:rPr>
                <w:b/>
                <w:bCs/>
                <w:sz w:val="18"/>
                <w:szCs w:val="18"/>
              </w:rPr>
            </w:pPr>
            <w:r w:rsidRPr="005040F3">
              <w:rPr>
                <w:b/>
                <w:bCs/>
                <w:sz w:val="18"/>
                <w:szCs w:val="18"/>
              </w:rPr>
              <w:t>21 171,4</w:t>
            </w:r>
          </w:p>
        </w:tc>
        <w:tc>
          <w:tcPr>
            <w:tcW w:w="1015" w:type="dxa"/>
            <w:tcBorders>
              <w:top w:val="nil"/>
              <w:left w:val="nil"/>
              <w:bottom w:val="nil"/>
              <w:right w:val="single" w:sz="8" w:space="0" w:color="800000"/>
            </w:tcBorders>
            <w:shd w:val="clear" w:color="auto" w:fill="FFFFCC"/>
            <w:noWrap/>
          </w:tcPr>
          <w:p w14:paraId="77A48ED0" w14:textId="77777777" w:rsidR="008911C1" w:rsidRPr="005040F3" w:rsidRDefault="008911C1" w:rsidP="00D337DB">
            <w:pPr>
              <w:jc w:val="right"/>
              <w:rPr>
                <w:b/>
                <w:bCs/>
                <w:sz w:val="18"/>
                <w:szCs w:val="18"/>
              </w:rPr>
            </w:pPr>
            <w:r w:rsidRPr="005040F3">
              <w:rPr>
                <w:b/>
                <w:bCs/>
                <w:sz w:val="18"/>
                <w:szCs w:val="18"/>
              </w:rPr>
              <w:t>18 452,0</w:t>
            </w:r>
          </w:p>
        </w:tc>
        <w:tc>
          <w:tcPr>
            <w:tcW w:w="882" w:type="dxa"/>
            <w:shd w:val="clear" w:color="auto" w:fill="FFFFCC"/>
            <w:noWrap/>
          </w:tcPr>
          <w:p w14:paraId="7F07BA32" w14:textId="77777777" w:rsidR="008911C1" w:rsidRPr="007B1C99" w:rsidRDefault="008911C1" w:rsidP="00D337DB">
            <w:pPr>
              <w:jc w:val="right"/>
              <w:rPr>
                <w:b/>
                <w:bCs/>
                <w:sz w:val="18"/>
                <w:szCs w:val="18"/>
              </w:rPr>
            </w:pPr>
            <w:r w:rsidRPr="007B1C99">
              <w:rPr>
                <w:b/>
                <w:bCs/>
                <w:sz w:val="18"/>
                <w:szCs w:val="18"/>
              </w:rPr>
              <w:t>87,2%</w:t>
            </w:r>
          </w:p>
        </w:tc>
        <w:tc>
          <w:tcPr>
            <w:tcW w:w="1058" w:type="dxa"/>
            <w:tcBorders>
              <w:top w:val="nil"/>
              <w:left w:val="single" w:sz="8" w:space="0" w:color="800000"/>
              <w:bottom w:val="nil"/>
              <w:right w:val="double" w:sz="6" w:space="0" w:color="800000"/>
            </w:tcBorders>
            <w:shd w:val="clear" w:color="auto" w:fill="FFFFCC"/>
            <w:noWrap/>
          </w:tcPr>
          <w:p w14:paraId="667EFB16" w14:textId="77777777" w:rsidR="008911C1" w:rsidRPr="007B1C99" w:rsidRDefault="008911C1" w:rsidP="00D337DB">
            <w:pPr>
              <w:jc w:val="right"/>
              <w:rPr>
                <w:b/>
                <w:bCs/>
                <w:sz w:val="18"/>
                <w:szCs w:val="18"/>
              </w:rPr>
            </w:pPr>
            <w:r w:rsidRPr="007B1C99">
              <w:rPr>
                <w:b/>
                <w:bCs/>
                <w:sz w:val="18"/>
                <w:szCs w:val="18"/>
              </w:rPr>
              <w:t>123,0%</w:t>
            </w:r>
          </w:p>
        </w:tc>
      </w:tr>
      <w:tr w:rsidR="008911C1" w:rsidRPr="00EA3DC7" w14:paraId="70721DE1" w14:textId="77777777" w:rsidTr="00D337DB">
        <w:trPr>
          <w:trHeight w:val="208"/>
        </w:trPr>
        <w:tc>
          <w:tcPr>
            <w:tcW w:w="3970" w:type="dxa"/>
            <w:tcBorders>
              <w:top w:val="nil"/>
              <w:left w:val="double" w:sz="6" w:space="0" w:color="800000"/>
              <w:bottom w:val="nil"/>
              <w:right w:val="single" w:sz="8" w:space="0" w:color="800000"/>
            </w:tcBorders>
            <w:shd w:val="clear" w:color="auto" w:fill="FFFFCC"/>
            <w:noWrap/>
            <w:vAlign w:val="bottom"/>
            <w:hideMark/>
          </w:tcPr>
          <w:p w14:paraId="54B5339A" w14:textId="77777777" w:rsidR="008911C1" w:rsidRPr="000E314C" w:rsidRDefault="008911C1" w:rsidP="00D337DB">
            <w:pPr>
              <w:rPr>
                <w:sz w:val="18"/>
                <w:szCs w:val="18"/>
              </w:rPr>
            </w:pPr>
            <w:r w:rsidRPr="000E314C">
              <w:rPr>
                <w:sz w:val="18"/>
                <w:szCs w:val="18"/>
              </w:rPr>
              <w:t xml:space="preserve">     Текущи нелихвени разходи</w:t>
            </w:r>
          </w:p>
        </w:tc>
        <w:tc>
          <w:tcPr>
            <w:tcW w:w="1053" w:type="dxa"/>
            <w:shd w:val="clear" w:color="auto" w:fill="FFFFCC"/>
            <w:noWrap/>
            <w:hideMark/>
          </w:tcPr>
          <w:p w14:paraId="46896DBE" w14:textId="77777777" w:rsidR="008911C1" w:rsidRPr="00050E27" w:rsidRDefault="008911C1" w:rsidP="00D337DB">
            <w:pPr>
              <w:jc w:val="right"/>
              <w:rPr>
                <w:bCs/>
                <w:sz w:val="18"/>
                <w:szCs w:val="18"/>
              </w:rPr>
            </w:pPr>
            <w:r w:rsidRPr="00050E27">
              <w:rPr>
                <w:bCs/>
                <w:sz w:val="18"/>
                <w:szCs w:val="18"/>
              </w:rPr>
              <w:t>13 601,9</w:t>
            </w:r>
          </w:p>
        </w:tc>
        <w:tc>
          <w:tcPr>
            <w:tcW w:w="1073" w:type="dxa"/>
            <w:tcBorders>
              <w:top w:val="nil"/>
              <w:left w:val="single" w:sz="8" w:space="0" w:color="800000"/>
              <w:bottom w:val="nil"/>
              <w:right w:val="nil"/>
            </w:tcBorders>
            <w:shd w:val="clear" w:color="auto" w:fill="FFFFCC"/>
            <w:noWrap/>
          </w:tcPr>
          <w:p w14:paraId="2143E0DA" w14:textId="77777777" w:rsidR="008911C1" w:rsidRPr="005040F3" w:rsidRDefault="008911C1" w:rsidP="00D337DB">
            <w:pPr>
              <w:jc w:val="right"/>
              <w:rPr>
                <w:bCs/>
                <w:sz w:val="18"/>
                <w:szCs w:val="18"/>
              </w:rPr>
            </w:pPr>
            <w:r w:rsidRPr="005040F3">
              <w:rPr>
                <w:bCs/>
                <w:sz w:val="18"/>
                <w:szCs w:val="18"/>
              </w:rPr>
              <w:t>17 298,5</w:t>
            </w:r>
          </w:p>
        </w:tc>
        <w:tc>
          <w:tcPr>
            <w:tcW w:w="1015" w:type="dxa"/>
            <w:tcBorders>
              <w:top w:val="nil"/>
              <w:left w:val="single" w:sz="8" w:space="0" w:color="800000"/>
              <w:bottom w:val="nil"/>
              <w:right w:val="nil"/>
            </w:tcBorders>
            <w:shd w:val="clear" w:color="auto" w:fill="FFFFCC"/>
            <w:noWrap/>
          </w:tcPr>
          <w:p w14:paraId="4415C1F8" w14:textId="77777777" w:rsidR="008911C1" w:rsidRPr="005040F3" w:rsidRDefault="008911C1" w:rsidP="00D337DB">
            <w:pPr>
              <w:jc w:val="right"/>
              <w:rPr>
                <w:bCs/>
                <w:sz w:val="18"/>
                <w:szCs w:val="18"/>
              </w:rPr>
            </w:pPr>
            <w:r w:rsidRPr="005040F3">
              <w:rPr>
                <w:bCs/>
                <w:sz w:val="18"/>
                <w:szCs w:val="18"/>
              </w:rPr>
              <w:t>15 386,7</w:t>
            </w:r>
          </w:p>
        </w:tc>
        <w:tc>
          <w:tcPr>
            <w:tcW w:w="882" w:type="dxa"/>
            <w:tcBorders>
              <w:top w:val="nil"/>
              <w:left w:val="single" w:sz="8" w:space="0" w:color="800000"/>
              <w:bottom w:val="nil"/>
              <w:right w:val="nil"/>
            </w:tcBorders>
            <w:shd w:val="clear" w:color="auto" w:fill="FFFFCC"/>
            <w:noWrap/>
          </w:tcPr>
          <w:p w14:paraId="11BF1878" w14:textId="77777777" w:rsidR="008911C1" w:rsidRPr="007B1C99" w:rsidRDefault="008911C1" w:rsidP="00D337DB">
            <w:pPr>
              <w:jc w:val="right"/>
              <w:rPr>
                <w:bCs/>
                <w:sz w:val="18"/>
                <w:szCs w:val="18"/>
              </w:rPr>
            </w:pPr>
            <w:r w:rsidRPr="007B1C99">
              <w:rPr>
                <w:bCs/>
                <w:sz w:val="18"/>
                <w:szCs w:val="18"/>
              </w:rPr>
              <w:t>88,9%</w:t>
            </w:r>
          </w:p>
        </w:tc>
        <w:tc>
          <w:tcPr>
            <w:tcW w:w="1058" w:type="dxa"/>
            <w:tcBorders>
              <w:top w:val="nil"/>
              <w:left w:val="single" w:sz="8" w:space="0" w:color="800000"/>
              <w:bottom w:val="nil"/>
              <w:right w:val="double" w:sz="6" w:space="0" w:color="800000"/>
            </w:tcBorders>
            <w:shd w:val="clear" w:color="auto" w:fill="FFFFCC"/>
            <w:noWrap/>
          </w:tcPr>
          <w:p w14:paraId="6B1A711C" w14:textId="77777777" w:rsidR="008911C1" w:rsidRPr="007B1C99" w:rsidRDefault="008911C1" w:rsidP="00D337DB">
            <w:pPr>
              <w:jc w:val="right"/>
              <w:rPr>
                <w:bCs/>
                <w:sz w:val="18"/>
                <w:szCs w:val="18"/>
              </w:rPr>
            </w:pPr>
            <w:r w:rsidRPr="007B1C99">
              <w:rPr>
                <w:bCs/>
                <w:sz w:val="18"/>
                <w:szCs w:val="18"/>
              </w:rPr>
              <w:t>113,1%</w:t>
            </w:r>
          </w:p>
        </w:tc>
      </w:tr>
      <w:tr w:rsidR="008911C1" w:rsidRPr="00EA3DC7" w14:paraId="1CE55290" w14:textId="77777777" w:rsidTr="00D337DB">
        <w:trPr>
          <w:trHeight w:val="179"/>
        </w:trPr>
        <w:tc>
          <w:tcPr>
            <w:tcW w:w="3970" w:type="dxa"/>
            <w:tcBorders>
              <w:top w:val="nil"/>
              <w:left w:val="double" w:sz="6" w:space="0" w:color="800000"/>
              <w:bottom w:val="nil"/>
              <w:right w:val="nil"/>
            </w:tcBorders>
            <w:shd w:val="clear" w:color="auto" w:fill="FFFFCC"/>
            <w:noWrap/>
            <w:vAlign w:val="bottom"/>
            <w:hideMark/>
          </w:tcPr>
          <w:p w14:paraId="64F1315B" w14:textId="77777777" w:rsidR="008911C1" w:rsidRPr="000E314C" w:rsidRDefault="008911C1" w:rsidP="00D337DB">
            <w:pPr>
              <w:rPr>
                <w:sz w:val="18"/>
                <w:szCs w:val="18"/>
              </w:rPr>
            </w:pPr>
            <w:r w:rsidRPr="000E314C">
              <w:rPr>
                <w:sz w:val="18"/>
                <w:szCs w:val="18"/>
              </w:rPr>
              <w:t xml:space="preserve">     Капиталови разходи</w:t>
            </w:r>
          </w:p>
        </w:tc>
        <w:tc>
          <w:tcPr>
            <w:tcW w:w="1053" w:type="dxa"/>
            <w:tcBorders>
              <w:top w:val="nil"/>
              <w:left w:val="single" w:sz="8" w:space="0" w:color="800000"/>
              <w:bottom w:val="nil"/>
              <w:right w:val="nil"/>
            </w:tcBorders>
            <w:shd w:val="clear" w:color="auto" w:fill="FFFFCC"/>
            <w:noWrap/>
          </w:tcPr>
          <w:p w14:paraId="13FF4A33" w14:textId="77777777" w:rsidR="008911C1" w:rsidRPr="00050E27" w:rsidRDefault="008911C1" w:rsidP="00D337DB">
            <w:pPr>
              <w:jc w:val="right"/>
              <w:rPr>
                <w:bCs/>
                <w:sz w:val="18"/>
                <w:szCs w:val="18"/>
              </w:rPr>
            </w:pPr>
            <w:r w:rsidRPr="00050E27">
              <w:rPr>
                <w:bCs/>
                <w:sz w:val="18"/>
                <w:szCs w:val="18"/>
              </w:rPr>
              <w:t>800,7</w:t>
            </w:r>
          </w:p>
        </w:tc>
        <w:tc>
          <w:tcPr>
            <w:tcW w:w="1073" w:type="dxa"/>
            <w:tcBorders>
              <w:top w:val="nil"/>
              <w:left w:val="single" w:sz="8" w:space="0" w:color="800000"/>
              <w:bottom w:val="nil"/>
              <w:right w:val="nil"/>
            </w:tcBorders>
            <w:shd w:val="clear" w:color="auto" w:fill="FFFFCC"/>
            <w:noWrap/>
          </w:tcPr>
          <w:p w14:paraId="43CE4DB6" w14:textId="77777777" w:rsidR="008911C1" w:rsidRPr="005040F3" w:rsidRDefault="008911C1" w:rsidP="00D337DB">
            <w:pPr>
              <w:jc w:val="right"/>
              <w:rPr>
                <w:bCs/>
                <w:sz w:val="18"/>
                <w:szCs w:val="18"/>
              </w:rPr>
            </w:pPr>
            <w:r w:rsidRPr="005040F3">
              <w:rPr>
                <w:bCs/>
                <w:sz w:val="18"/>
                <w:szCs w:val="18"/>
              </w:rPr>
              <w:t>3 224,1</w:t>
            </w:r>
          </w:p>
        </w:tc>
        <w:tc>
          <w:tcPr>
            <w:tcW w:w="1015" w:type="dxa"/>
            <w:tcBorders>
              <w:top w:val="nil"/>
              <w:left w:val="single" w:sz="8" w:space="0" w:color="800000"/>
              <w:bottom w:val="nil"/>
              <w:right w:val="nil"/>
            </w:tcBorders>
            <w:shd w:val="clear" w:color="auto" w:fill="FFFFCC"/>
            <w:noWrap/>
          </w:tcPr>
          <w:p w14:paraId="5C880805" w14:textId="77777777" w:rsidR="008911C1" w:rsidRPr="005040F3" w:rsidRDefault="008911C1" w:rsidP="00D337DB">
            <w:pPr>
              <w:jc w:val="right"/>
              <w:rPr>
                <w:bCs/>
                <w:sz w:val="18"/>
                <w:szCs w:val="18"/>
              </w:rPr>
            </w:pPr>
            <w:r w:rsidRPr="005040F3">
              <w:rPr>
                <w:bCs/>
                <w:sz w:val="18"/>
                <w:szCs w:val="18"/>
              </w:rPr>
              <w:t>2 430,3</w:t>
            </w:r>
          </w:p>
        </w:tc>
        <w:tc>
          <w:tcPr>
            <w:tcW w:w="882" w:type="dxa"/>
            <w:tcBorders>
              <w:top w:val="nil"/>
              <w:left w:val="single" w:sz="8" w:space="0" w:color="800000"/>
              <w:bottom w:val="nil"/>
              <w:right w:val="nil"/>
            </w:tcBorders>
            <w:shd w:val="clear" w:color="auto" w:fill="FFFFCC"/>
            <w:noWrap/>
          </w:tcPr>
          <w:p w14:paraId="69A89DE7" w14:textId="77777777" w:rsidR="008911C1" w:rsidRPr="007B1C99" w:rsidRDefault="008911C1" w:rsidP="00D337DB">
            <w:pPr>
              <w:jc w:val="right"/>
              <w:rPr>
                <w:bCs/>
                <w:sz w:val="18"/>
                <w:szCs w:val="18"/>
              </w:rPr>
            </w:pPr>
            <w:r w:rsidRPr="007B1C99">
              <w:rPr>
                <w:bCs/>
                <w:sz w:val="18"/>
                <w:szCs w:val="18"/>
              </w:rPr>
              <w:t>75,4%</w:t>
            </w:r>
          </w:p>
        </w:tc>
        <w:tc>
          <w:tcPr>
            <w:tcW w:w="1058" w:type="dxa"/>
            <w:tcBorders>
              <w:top w:val="nil"/>
              <w:left w:val="single" w:sz="8" w:space="0" w:color="800000"/>
              <w:bottom w:val="nil"/>
              <w:right w:val="double" w:sz="6" w:space="0" w:color="800000"/>
            </w:tcBorders>
            <w:shd w:val="clear" w:color="auto" w:fill="FFFFCC"/>
            <w:noWrap/>
          </w:tcPr>
          <w:p w14:paraId="04BE8AF4" w14:textId="77777777" w:rsidR="008911C1" w:rsidRPr="007B1C99" w:rsidRDefault="008911C1" w:rsidP="00D337DB">
            <w:pPr>
              <w:jc w:val="right"/>
              <w:rPr>
                <w:bCs/>
                <w:sz w:val="18"/>
                <w:szCs w:val="18"/>
              </w:rPr>
            </w:pPr>
            <w:r w:rsidRPr="007B1C99">
              <w:rPr>
                <w:bCs/>
                <w:sz w:val="18"/>
                <w:szCs w:val="18"/>
              </w:rPr>
              <w:t>303,5%</w:t>
            </w:r>
          </w:p>
        </w:tc>
      </w:tr>
      <w:tr w:rsidR="008911C1" w:rsidRPr="00EA3DC7" w14:paraId="7431040E" w14:textId="77777777" w:rsidTr="00D337DB">
        <w:trPr>
          <w:trHeight w:val="92"/>
        </w:trPr>
        <w:tc>
          <w:tcPr>
            <w:tcW w:w="3970" w:type="dxa"/>
            <w:tcBorders>
              <w:top w:val="nil"/>
              <w:left w:val="double" w:sz="6" w:space="0" w:color="800000"/>
              <w:bottom w:val="nil"/>
              <w:right w:val="single" w:sz="8" w:space="0" w:color="800000"/>
            </w:tcBorders>
            <w:shd w:val="clear" w:color="auto" w:fill="FFFFCC"/>
            <w:noWrap/>
            <w:vAlign w:val="bottom"/>
          </w:tcPr>
          <w:p w14:paraId="249D2054" w14:textId="77777777" w:rsidR="008911C1" w:rsidRPr="000E314C" w:rsidRDefault="008911C1" w:rsidP="00D337DB">
            <w:pPr>
              <w:rPr>
                <w:sz w:val="18"/>
                <w:szCs w:val="18"/>
              </w:rPr>
            </w:pPr>
            <w:r w:rsidRPr="000E314C">
              <w:rPr>
                <w:sz w:val="18"/>
                <w:szCs w:val="18"/>
              </w:rPr>
              <w:t xml:space="preserve">     Предоставени текущи и капиталови</w:t>
            </w:r>
          </w:p>
          <w:p w14:paraId="3AEDEAF7" w14:textId="77777777" w:rsidR="008911C1" w:rsidRPr="000E314C" w:rsidRDefault="008911C1" w:rsidP="00D337DB">
            <w:pPr>
              <w:rPr>
                <w:sz w:val="18"/>
                <w:szCs w:val="18"/>
              </w:rPr>
            </w:pPr>
            <w:r w:rsidRPr="000E314C">
              <w:rPr>
                <w:sz w:val="18"/>
                <w:szCs w:val="18"/>
              </w:rPr>
              <w:t xml:space="preserve">     трансфери за чужбина </w:t>
            </w:r>
          </w:p>
        </w:tc>
        <w:tc>
          <w:tcPr>
            <w:tcW w:w="1053" w:type="dxa"/>
            <w:tcBorders>
              <w:top w:val="nil"/>
              <w:left w:val="nil"/>
              <w:bottom w:val="nil"/>
              <w:right w:val="single" w:sz="8" w:space="0" w:color="800000"/>
            </w:tcBorders>
            <w:shd w:val="clear" w:color="auto" w:fill="FFFFCC"/>
            <w:noWrap/>
          </w:tcPr>
          <w:p w14:paraId="545BE543" w14:textId="77777777" w:rsidR="008911C1" w:rsidRPr="00050E27" w:rsidRDefault="008911C1" w:rsidP="00D337DB">
            <w:pPr>
              <w:jc w:val="right"/>
              <w:rPr>
                <w:bCs/>
                <w:sz w:val="18"/>
                <w:szCs w:val="18"/>
              </w:rPr>
            </w:pPr>
            <w:r w:rsidRPr="00050E27">
              <w:rPr>
                <w:bCs/>
                <w:sz w:val="18"/>
                <w:szCs w:val="18"/>
              </w:rPr>
              <w:t>21,6</w:t>
            </w:r>
          </w:p>
        </w:tc>
        <w:tc>
          <w:tcPr>
            <w:tcW w:w="1073" w:type="dxa"/>
            <w:shd w:val="clear" w:color="auto" w:fill="FFFFCC"/>
            <w:noWrap/>
          </w:tcPr>
          <w:p w14:paraId="64772BE1" w14:textId="77777777" w:rsidR="008911C1" w:rsidRPr="005040F3" w:rsidRDefault="008911C1" w:rsidP="00D337DB">
            <w:pPr>
              <w:jc w:val="right"/>
              <w:rPr>
                <w:bCs/>
                <w:sz w:val="18"/>
                <w:szCs w:val="18"/>
              </w:rPr>
            </w:pPr>
            <w:r w:rsidRPr="005040F3">
              <w:rPr>
                <w:bCs/>
                <w:sz w:val="18"/>
                <w:szCs w:val="18"/>
              </w:rPr>
              <w:t>19,1</w:t>
            </w:r>
          </w:p>
        </w:tc>
        <w:tc>
          <w:tcPr>
            <w:tcW w:w="1015" w:type="dxa"/>
            <w:tcBorders>
              <w:top w:val="nil"/>
              <w:left w:val="single" w:sz="8" w:space="0" w:color="800000"/>
              <w:bottom w:val="nil"/>
              <w:right w:val="nil"/>
            </w:tcBorders>
            <w:shd w:val="clear" w:color="auto" w:fill="FFFFCC"/>
            <w:noWrap/>
          </w:tcPr>
          <w:p w14:paraId="4ADB5032" w14:textId="77777777" w:rsidR="008911C1" w:rsidRPr="005040F3" w:rsidRDefault="008911C1" w:rsidP="00D337DB">
            <w:pPr>
              <w:jc w:val="right"/>
              <w:rPr>
                <w:bCs/>
                <w:sz w:val="18"/>
                <w:szCs w:val="18"/>
              </w:rPr>
            </w:pPr>
            <w:r w:rsidRPr="005040F3">
              <w:rPr>
                <w:bCs/>
                <w:sz w:val="18"/>
                <w:szCs w:val="18"/>
              </w:rPr>
              <w:t>23,4</w:t>
            </w:r>
          </w:p>
        </w:tc>
        <w:tc>
          <w:tcPr>
            <w:tcW w:w="882" w:type="dxa"/>
            <w:tcBorders>
              <w:top w:val="nil"/>
              <w:left w:val="single" w:sz="8" w:space="0" w:color="800000"/>
              <w:bottom w:val="nil"/>
              <w:right w:val="nil"/>
            </w:tcBorders>
            <w:shd w:val="clear" w:color="auto" w:fill="FFFFCC"/>
            <w:noWrap/>
          </w:tcPr>
          <w:p w14:paraId="5AA078DC" w14:textId="77777777" w:rsidR="008911C1" w:rsidRPr="007B1C99" w:rsidRDefault="008911C1" w:rsidP="00D337DB">
            <w:pPr>
              <w:jc w:val="right"/>
              <w:rPr>
                <w:bCs/>
                <w:sz w:val="18"/>
                <w:szCs w:val="18"/>
              </w:rPr>
            </w:pPr>
            <w:r w:rsidRPr="007B1C99">
              <w:rPr>
                <w:bCs/>
                <w:sz w:val="18"/>
                <w:szCs w:val="18"/>
              </w:rPr>
              <w:t>122,7%</w:t>
            </w:r>
          </w:p>
        </w:tc>
        <w:tc>
          <w:tcPr>
            <w:tcW w:w="1058" w:type="dxa"/>
            <w:tcBorders>
              <w:top w:val="nil"/>
              <w:left w:val="single" w:sz="8" w:space="0" w:color="800000"/>
              <w:bottom w:val="nil"/>
              <w:right w:val="double" w:sz="6" w:space="0" w:color="800000"/>
            </w:tcBorders>
            <w:shd w:val="clear" w:color="auto" w:fill="FFFFCC"/>
            <w:noWrap/>
          </w:tcPr>
          <w:p w14:paraId="594982F0" w14:textId="77777777" w:rsidR="008911C1" w:rsidRPr="007B1C99" w:rsidRDefault="008911C1" w:rsidP="00D337DB">
            <w:pPr>
              <w:jc w:val="right"/>
              <w:rPr>
                <w:bCs/>
                <w:sz w:val="18"/>
                <w:szCs w:val="18"/>
              </w:rPr>
            </w:pPr>
            <w:r w:rsidRPr="007B1C99">
              <w:rPr>
                <w:bCs/>
                <w:sz w:val="18"/>
                <w:szCs w:val="18"/>
              </w:rPr>
              <w:t>108,2%</w:t>
            </w:r>
          </w:p>
        </w:tc>
      </w:tr>
      <w:tr w:rsidR="008911C1" w:rsidRPr="00EA3DC7" w14:paraId="2A91AF1D" w14:textId="77777777" w:rsidTr="00D337DB">
        <w:trPr>
          <w:trHeight w:val="272"/>
        </w:trPr>
        <w:tc>
          <w:tcPr>
            <w:tcW w:w="3970" w:type="dxa"/>
            <w:tcBorders>
              <w:top w:val="nil"/>
              <w:left w:val="double" w:sz="6" w:space="0" w:color="800000"/>
              <w:bottom w:val="nil"/>
              <w:right w:val="single" w:sz="8" w:space="0" w:color="800000"/>
            </w:tcBorders>
            <w:shd w:val="clear" w:color="auto" w:fill="FFFFCC"/>
            <w:noWrap/>
            <w:vAlign w:val="bottom"/>
            <w:hideMark/>
          </w:tcPr>
          <w:p w14:paraId="1775893F" w14:textId="77777777" w:rsidR="008911C1" w:rsidRPr="000E314C" w:rsidRDefault="008911C1" w:rsidP="00D337DB">
            <w:pPr>
              <w:rPr>
                <w:sz w:val="18"/>
                <w:szCs w:val="18"/>
              </w:rPr>
            </w:pPr>
            <w:r w:rsidRPr="000E314C">
              <w:rPr>
                <w:sz w:val="18"/>
                <w:szCs w:val="18"/>
              </w:rPr>
              <w:t xml:space="preserve">     Лихвени разходи</w:t>
            </w:r>
          </w:p>
        </w:tc>
        <w:tc>
          <w:tcPr>
            <w:tcW w:w="1053" w:type="dxa"/>
            <w:tcBorders>
              <w:top w:val="nil"/>
              <w:left w:val="nil"/>
              <w:bottom w:val="nil"/>
              <w:right w:val="single" w:sz="8" w:space="0" w:color="800000"/>
            </w:tcBorders>
            <w:shd w:val="clear" w:color="auto" w:fill="FFFFCC"/>
            <w:noWrap/>
          </w:tcPr>
          <w:p w14:paraId="131EE89E" w14:textId="77777777" w:rsidR="008911C1" w:rsidRPr="00050E27" w:rsidRDefault="008911C1" w:rsidP="00D337DB">
            <w:pPr>
              <w:jc w:val="right"/>
              <w:rPr>
                <w:bCs/>
                <w:sz w:val="18"/>
                <w:szCs w:val="18"/>
              </w:rPr>
            </w:pPr>
            <w:r w:rsidRPr="00050E27">
              <w:rPr>
                <w:bCs/>
                <w:sz w:val="18"/>
                <w:szCs w:val="18"/>
              </w:rPr>
              <w:t>579,0</w:t>
            </w:r>
          </w:p>
        </w:tc>
        <w:tc>
          <w:tcPr>
            <w:tcW w:w="1073" w:type="dxa"/>
            <w:shd w:val="clear" w:color="auto" w:fill="FFFFCC"/>
            <w:noWrap/>
          </w:tcPr>
          <w:p w14:paraId="23CEA7C1" w14:textId="77777777" w:rsidR="008911C1" w:rsidRPr="005040F3" w:rsidRDefault="008911C1" w:rsidP="00D337DB">
            <w:pPr>
              <w:jc w:val="right"/>
              <w:rPr>
                <w:bCs/>
                <w:sz w:val="18"/>
                <w:szCs w:val="18"/>
              </w:rPr>
            </w:pPr>
            <w:r w:rsidRPr="005040F3">
              <w:rPr>
                <w:bCs/>
                <w:sz w:val="18"/>
                <w:szCs w:val="18"/>
              </w:rPr>
              <w:t>629,8</w:t>
            </w:r>
          </w:p>
        </w:tc>
        <w:tc>
          <w:tcPr>
            <w:tcW w:w="1015" w:type="dxa"/>
            <w:tcBorders>
              <w:top w:val="nil"/>
              <w:left w:val="single" w:sz="8" w:space="0" w:color="800000"/>
              <w:bottom w:val="nil"/>
              <w:right w:val="nil"/>
            </w:tcBorders>
            <w:shd w:val="clear" w:color="auto" w:fill="FFFFCC"/>
            <w:noWrap/>
          </w:tcPr>
          <w:p w14:paraId="4A064CFD" w14:textId="77777777" w:rsidR="008911C1" w:rsidRPr="005040F3" w:rsidRDefault="008911C1" w:rsidP="00D337DB">
            <w:pPr>
              <w:jc w:val="right"/>
              <w:rPr>
                <w:bCs/>
                <w:sz w:val="18"/>
                <w:szCs w:val="18"/>
              </w:rPr>
            </w:pPr>
            <w:r w:rsidRPr="005040F3">
              <w:rPr>
                <w:bCs/>
                <w:sz w:val="18"/>
                <w:szCs w:val="18"/>
              </w:rPr>
              <w:t>611,6</w:t>
            </w:r>
          </w:p>
        </w:tc>
        <w:tc>
          <w:tcPr>
            <w:tcW w:w="882" w:type="dxa"/>
            <w:tcBorders>
              <w:top w:val="nil"/>
              <w:left w:val="single" w:sz="8" w:space="0" w:color="800000"/>
              <w:bottom w:val="nil"/>
              <w:right w:val="nil"/>
            </w:tcBorders>
            <w:shd w:val="clear" w:color="auto" w:fill="FFFFCC"/>
            <w:noWrap/>
          </w:tcPr>
          <w:p w14:paraId="6EC45063" w14:textId="77777777" w:rsidR="008911C1" w:rsidRPr="007B1C99" w:rsidRDefault="008911C1" w:rsidP="00D337DB">
            <w:pPr>
              <w:jc w:val="right"/>
              <w:rPr>
                <w:bCs/>
                <w:sz w:val="18"/>
                <w:szCs w:val="18"/>
              </w:rPr>
            </w:pPr>
            <w:r w:rsidRPr="007B1C99">
              <w:rPr>
                <w:bCs/>
                <w:sz w:val="18"/>
                <w:szCs w:val="18"/>
              </w:rPr>
              <w:t>97,1%</w:t>
            </w:r>
          </w:p>
        </w:tc>
        <w:tc>
          <w:tcPr>
            <w:tcW w:w="1058" w:type="dxa"/>
            <w:tcBorders>
              <w:top w:val="nil"/>
              <w:left w:val="single" w:sz="8" w:space="0" w:color="800000"/>
              <w:bottom w:val="nil"/>
              <w:right w:val="double" w:sz="6" w:space="0" w:color="800000"/>
            </w:tcBorders>
            <w:shd w:val="clear" w:color="auto" w:fill="FFFFCC"/>
            <w:noWrap/>
          </w:tcPr>
          <w:p w14:paraId="7C4CD4EE" w14:textId="77777777" w:rsidR="008911C1" w:rsidRPr="007B1C99" w:rsidRDefault="008911C1" w:rsidP="00D337DB">
            <w:pPr>
              <w:jc w:val="right"/>
              <w:rPr>
                <w:bCs/>
                <w:sz w:val="18"/>
                <w:szCs w:val="18"/>
              </w:rPr>
            </w:pPr>
            <w:r w:rsidRPr="007B1C99">
              <w:rPr>
                <w:bCs/>
                <w:sz w:val="18"/>
                <w:szCs w:val="18"/>
              </w:rPr>
              <w:t>105,6%</w:t>
            </w:r>
          </w:p>
        </w:tc>
      </w:tr>
      <w:tr w:rsidR="008911C1" w:rsidRPr="00EA3DC7" w14:paraId="75C998D3" w14:textId="77777777" w:rsidTr="00D337DB">
        <w:trPr>
          <w:trHeight w:val="80"/>
        </w:trPr>
        <w:tc>
          <w:tcPr>
            <w:tcW w:w="3970" w:type="dxa"/>
            <w:tcBorders>
              <w:top w:val="nil"/>
              <w:left w:val="double" w:sz="6" w:space="0" w:color="800000"/>
              <w:bottom w:val="nil"/>
              <w:right w:val="single" w:sz="8" w:space="0" w:color="800000"/>
            </w:tcBorders>
            <w:shd w:val="clear" w:color="auto" w:fill="FFFFCC"/>
            <w:noWrap/>
            <w:vAlign w:val="bottom"/>
            <w:hideMark/>
          </w:tcPr>
          <w:p w14:paraId="31F7C0BB" w14:textId="77777777" w:rsidR="008911C1" w:rsidRPr="000E314C" w:rsidRDefault="008911C1" w:rsidP="00D337DB">
            <w:pPr>
              <w:rPr>
                <w:b/>
                <w:bCs/>
                <w:sz w:val="18"/>
                <w:szCs w:val="18"/>
              </w:rPr>
            </w:pPr>
            <w:r w:rsidRPr="000E314C">
              <w:rPr>
                <w:b/>
                <w:bCs/>
                <w:sz w:val="18"/>
                <w:szCs w:val="18"/>
              </w:rPr>
              <w:t xml:space="preserve">    Трансфери</w:t>
            </w:r>
          </w:p>
        </w:tc>
        <w:tc>
          <w:tcPr>
            <w:tcW w:w="1053" w:type="dxa"/>
            <w:shd w:val="clear" w:color="auto" w:fill="FFFFCC"/>
            <w:noWrap/>
            <w:vAlign w:val="bottom"/>
          </w:tcPr>
          <w:p w14:paraId="08A98D92" w14:textId="77777777" w:rsidR="008911C1" w:rsidRPr="00050E27" w:rsidRDefault="008911C1" w:rsidP="00D337DB">
            <w:pPr>
              <w:jc w:val="right"/>
              <w:rPr>
                <w:b/>
                <w:bCs/>
                <w:sz w:val="18"/>
                <w:szCs w:val="18"/>
              </w:rPr>
            </w:pPr>
            <w:r w:rsidRPr="00050E27">
              <w:rPr>
                <w:b/>
                <w:bCs/>
                <w:sz w:val="18"/>
                <w:szCs w:val="18"/>
              </w:rPr>
              <w:t>18 507,3</w:t>
            </w:r>
          </w:p>
        </w:tc>
        <w:tc>
          <w:tcPr>
            <w:tcW w:w="1073" w:type="dxa"/>
            <w:tcBorders>
              <w:top w:val="nil"/>
              <w:left w:val="single" w:sz="8" w:space="0" w:color="800000"/>
              <w:bottom w:val="nil"/>
              <w:right w:val="nil"/>
            </w:tcBorders>
            <w:shd w:val="clear" w:color="auto" w:fill="FFFFCC"/>
            <w:noWrap/>
            <w:vAlign w:val="bottom"/>
          </w:tcPr>
          <w:p w14:paraId="6BA8C006" w14:textId="77777777" w:rsidR="008911C1" w:rsidRPr="005040F3" w:rsidRDefault="008911C1" w:rsidP="00D337DB">
            <w:pPr>
              <w:jc w:val="right"/>
              <w:rPr>
                <w:b/>
                <w:bCs/>
                <w:sz w:val="18"/>
                <w:szCs w:val="18"/>
                <w:lang w:val="en-US"/>
              </w:rPr>
            </w:pPr>
            <w:r w:rsidRPr="005040F3">
              <w:rPr>
                <w:b/>
                <w:bCs/>
                <w:sz w:val="18"/>
                <w:szCs w:val="18"/>
              </w:rPr>
              <w:t>18 724,9</w:t>
            </w:r>
          </w:p>
        </w:tc>
        <w:tc>
          <w:tcPr>
            <w:tcW w:w="1015" w:type="dxa"/>
            <w:tcBorders>
              <w:top w:val="nil"/>
              <w:left w:val="single" w:sz="8" w:space="0" w:color="800000"/>
              <w:bottom w:val="nil"/>
              <w:right w:val="single" w:sz="8" w:space="0" w:color="800000"/>
            </w:tcBorders>
            <w:shd w:val="clear" w:color="auto" w:fill="FFFFCC"/>
            <w:noWrap/>
            <w:vAlign w:val="bottom"/>
          </w:tcPr>
          <w:p w14:paraId="43DBA9E7" w14:textId="77777777" w:rsidR="008911C1" w:rsidRPr="005040F3" w:rsidRDefault="008911C1" w:rsidP="00D337DB">
            <w:pPr>
              <w:jc w:val="right"/>
              <w:rPr>
                <w:b/>
                <w:bCs/>
                <w:sz w:val="18"/>
                <w:szCs w:val="18"/>
                <w:lang w:val="en-US"/>
              </w:rPr>
            </w:pPr>
            <w:r w:rsidRPr="005040F3">
              <w:rPr>
                <w:b/>
                <w:bCs/>
                <w:sz w:val="18"/>
                <w:szCs w:val="18"/>
              </w:rPr>
              <w:t>20 484,1</w:t>
            </w:r>
          </w:p>
        </w:tc>
        <w:tc>
          <w:tcPr>
            <w:tcW w:w="882" w:type="dxa"/>
            <w:shd w:val="clear" w:color="auto" w:fill="FFFFCC"/>
            <w:noWrap/>
            <w:vAlign w:val="bottom"/>
          </w:tcPr>
          <w:p w14:paraId="5D11E958" w14:textId="77777777" w:rsidR="008911C1" w:rsidRPr="007B1C99" w:rsidRDefault="008911C1" w:rsidP="00D337DB">
            <w:pPr>
              <w:jc w:val="right"/>
              <w:rPr>
                <w:b/>
                <w:bCs/>
                <w:sz w:val="18"/>
                <w:szCs w:val="18"/>
              </w:rPr>
            </w:pPr>
            <w:r w:rsidRPr="007B1C99">
              <w:rPr>
                <w:b/>
                <w:bCs/>
                <w:sz w:val="18"/>
                <w:szCs w:val="18"/>
                <w:lang w:val="en-US"/>
              </w:rPr>
              <w:t>109,4%</w:t>
            </w:r>
          </w:p>
        </w:tc>
        <w:tc>
          <w:tcPr>
            <w:tcW w:w="1058" w:type="dxa"/>
            <w:tcBorders>
              <w:top w:val="nil"/>
              <w:left w:val="single" w:sz="8" w:space="0" w:color="800000"/>
              <w:bottom w:val="nil"/>
              <w:right w:val="double" w:sz="6" w:space="0" w:color="800000"/>
            </w:tcBorders>
            <w:shd w:val="clear" w:color="auto" w:fill="FFFFCC"/>
            <w:noWrap/>
            <w:vAlign w:val="bottom"/>
          </w:tcPr>
          <w:p w14:paraId="1331BA6D" w14:textId="77777777" w:rsidR="008911C1" w:rsidRPr="007B1C99" w:rsidRDefault="008911C1" w:rsidP="00D337DB">
            <w:pPr>
              <w:jc w:val="right"/>
              <w:rPr>
                <w:b/>
                <w:bCs/>
                <w:sz w:val="18"/>
                <w:szCs w:val="18"/>
              </w:rPr>
            </w:pPr>
            <w:r w:rsidRPr="007B1C99">
              <w:rPr>
                <w:b/>
                <w:bCs/>
                <w:sz w:val="18"/>
                <w:szCs w:val="18"/>
              </w:rPr>
              <w:t>110,7%</w:t>
            </w:r>
          </w:p>
        </w:tc>
      </w:tr>
      <w:tr w:rsidR="008911C1" w:rsidRPr="00EA3DC7" w14:paraId="7144E929" w14:textId="77777777" w:rsidTr="00D337DB">
        <w:trPr>
          <w:trHeight w:val="255"/>
        </w:trPr>
        <w:tc>
          <w:tcPr>
            <w:tcW w:w="3970" w:type="dxa"/>
            <w:tcBorders>
              <w:top w:val="nil"/>
              <w:left w:val="double" w:sz="6" w:space="0" w:color="800000"/>
              <w:bottom w:val="nil"/>
              <w:right w:val="single" w:sz="8" w:space="0" w:color="800000"/>
            </w:tcBorders>
            <w:shd w:val="clear" w:color="auto" w:fill="FFFFCC"/>
            <w:noWrap/>
            <w:vAlign w:val="bottom"/>
            <w:hideMark/>
          </w:tcPr>
          <w:p w14:paraId="51F8BD74" w14:textId="77777777" w:rsidR="008911C1" w:rsidRPr="000E314C" w:rsidRDefault="008911C1" w:rsidP="00D337DB">
            <w:pPr>
              <w:rPr>
                <w:b/>
                <w:bCs/>
                <w:sz w:val="18"/>
                <w:szCs w:val="18"/>
              </w:rPr>
            </w:pPr>
            <w:r w:rsidRPr="000E314C">
              <w:rPr>
                <w:b/>
                <w:bCs/>
                <w:sz w:val="18"/>
                <w:szCs w:val="18"/>
              </w:rPr>
              <w:t xml:space="preserve">    Вноска в бюджета на ЕС</w:t>
            </w:r>
          </w:p>
        </w:tc>
        <w:tc>
          <w:tcPr>
            <w:tcW w:w="1053" w:type="dxa"/>
            <w:shd w:val="clear" w:color="auto" w:fill="FFFFCC"/>
            <w:noWrap/>
            <w:vAlign w:val="bottom"/>
          </w:tcPr>
          <w:p w14:paraId="4E88ED12" w14:textId="77777777" w:rsidR="008911C1" w:rsidRPr="00050E27" w:rsidRDefault="008911C1" w:rsidP="00D337DB">
            <w:pPr>
              <w:jc w:val="right"/>
              <w:rPr>
                <w:b/>
                <w:bCs/>
                <w:sz w:val="18"/>
                <w:szCs w:val="18"/>
              </w:rPr>
            </w:pPr>
            <w:r w:rsidRPr="00050E27">
              <w:rPr>
                <w:b/>
                <w:bCs/>
                <w:sz w:val="18"/>
                <w:szCs w:val="18"/>
              </w:rPr>
              <w:t>1 681,0</w:t>
            </w:r>
          </w:p>
        </w:tc>
        <w:tc>
          <w:tcPr>
            <w:tcW w:w="1073" w:type="dxa"/>
            <w:tcBorders>
              <w:top w:val="nil"/>
              <w:left w:val="single" w:sz="8" w:space="0" w:color="800000"/>
              <w:bottom w:val="nil"/>
              <w:right w:val="nil"/>
            </w:tcBorders>
            <w:shd w:val="clear" w:color="auto" w:fill="FFFFCC"/>
            <w:noWrap/>
            <w:vAlign w:val="bottom"/>
          </w:tcPr>
          <w:p w14:paraId="75FBB4E3" w14:textId="77777777" w:rsidR="008911C1" w:rsidRPr="005040F3" w:rsidRDefault="008911C1" w:rsidP="00D337DB">
            <w:pPr>
              <w:jc w:val="right"/>
              <w:rPr>
                <w:b/>
                <w:bCs/>
                <w:sz w:val="18"/>
                <w:szCs w:val="18"/>
                <w:lang w:val="en-US"/>
              </w:rPr>
            </w:pPr>
            <w:r w:rsidRPr="005040F3">
              <w:rPr>
                <w:b/>
                <w:bCs/>
                <w:sz w:val="18"/>
                <w:szCs w:val="18"/>
              </w:rPr>
              <w:t>1 839,9</w:t>
            </w:r>
          </w:p>
        </w:tc>
        <w:tc>
          <w:tcPr>
            <w:tcW w:w="1015" w:type="dxa"/>
            <w:tcBorders>
              <w:top w:val="nil"/>
              <w:left w:val="single" w:sz="8" w:space="0" w:color="800000"/>
              <w:bottom w:val="nil"/>
              <w:right w:val="single" w:sz="8" w:space="0" w:color="800000"/>
            </w:tcBorders>
            <w:shd w:val="clear" w:color="auto" w:fill="FFFFCC"/>
            <w:noWrap/>
            <w:vAlign w:val="bottom"/>
          </w:tcPr>
          <w:p w14:paraId="54575124" w14:textId="77777777" w:rsidR="008911C1" w:rsidRPr="005040F3" w:rsidRDefault="008911C1" w:rsidP="00D337DB">
            <w:pPr>
              <w:jc w:val="right"/>
              <w:rPr>
                <w:b/>
                <w:bCs/>
                <w:sz w:val="18"/>
                <w:szCs w:val="18"/>
                <w:lang w:val="en-US"/>
              </w:rPr>
            </w:pPr>
            <w:r w:rsidRPr="005040F3">
              <w:rPr>
                <w:b/>
                <w:bCs/>
                <w:sz w:val="18"/>
                <w:szCs w:val="18"/>
              </w:rPr>
              <w:t>1 705,0</w:t>
            </w:r>
          </w:p>
        </w:tc>
        <w:tc>
          <w:tcPr>
            <w:tcW w:w="882" w:type="dxa"/>
            <w:shd w:val="clear" w:color="auto" w:fill="FFFFCC"/>
            <w:noWrap/>
            <w:vAlign w:val="bottom"/>
          </w:tcPr>
          <w:p w14:paraId="34D0A27A" w14:textId="77777777" w:rsidR="008911C1" w:rsidRPr="007B1C99" w:rsidRDefault="008911C1" w:rsidP="00D337DB">
            <w:pPr>
              <w:jc w:val="right"/>
              <w:rPr>
                <w:b/>
                <w:bCs/>
                <w:sz w:val="18"/>
                <w:szCs w:val="18"/>
              </w:rPr>
            </w:pPr>
            <w:r w:rsidRPr="007B1C99">
              <w:rPr>
                <w:b/>
                <w:bCs/>
                <w:sz w:val="18"/>
                <w:szCs w:val="18"/>
              </w:rPr>
              <w:t>92,7%</w:t>
            </w:r>
          </w:p>
        </w:tc>
        <w:tc>
          <w:tcPr>
            <w:tcW w:w="1058" w:type="dxa"/>
            <w:tcBorders>
              <w:top w:val="nil"/>
              <w:left w:val="single" w:sz="8" w:space="0" w:color="800000"/>
              <w:bottom w:val="nil"/>
              <w:right w:val="double" w:sz="6" w:space="0" w:color="800000"/>
            </w:tcBorders>
            <w:shd w:val="clear" w:color="auto" w:fill="FFFFCC"/>
            <w:noWrap/>
            <w:vAlign w:val="bottom"/>
          </w:tcPr>
          <w:p w14:paraId="42F5F857" w14:textId="77777777" w:rsidR="008911C1" w:rsidRPr="007B1C99" w:rsidRDefault="008911C1" w:rsidP="00D337DB">
            <w:pPr>
              <w:jc w:val="right"/>
              <w:rPr>
                <w:b/>
                <w:bCs/>
                <w:sz w:val="18"/>
                <w:szCs w:val="18"/>
              </w:rPr>
            </w:pPr>
            <w:r w:rsidRPr="007B1C99">
              <w:rPr>
                <w:b/>
                <w:bCs/>
                <w:sz w:val="18"/>
                <w:szCs w:val="18"/>
              </w:rPr>
              <w:t>101,4%</w:t>
            </w:r>
          </w:p>
        </w:tc>
      </w:tr>
      <w:tr w:rsidR="008911C1" w:rsidRPr="00EA3DC7" w14:paraId="78F9D7E7" w14:textId="77777777" w:rsidTr="00D337DB">
        <w:trPr>
          <w:trHeight w:val="80"/>
        </w:trPr>
        <w:tc>
          <w:tcPr>
            <w:tcW w:w="3970" w:type="dxa"/>
            <w:tcBorders>
              <w:top w:val="nil"/>
              <w:left w:val="double" w:sz="6" w:space="0" w:color="800000"/>
              <w:bottom w:val="nil"/>
              <w:right w:val="single" w:sz="8" w:space="0" w:color="800000"/>
            </w:tcBorders>
            <w:shd w:val="clear" w:color="auto" w:fill="FFFFCC"/>
            <w:noWrap/>
            <w:vAlign w:val="bottom"/>
            <w:hideMark/>
          </w:tcPr>
          <w:p w14:paraId="7BB1B5A3" w14:textId="77777777" w:rsidR="008911C1" w:rsidRPr="000E314C" w:rsidRDefault="008911C1" w:rsidP="00D337DB">
            <w:pPr>
              <w:rPr>
                <w:b/>
                <w:bCs/>
                <w:sz w:val="4"/>
                <w:szCs w:val="4"/>
              </w:rPr>
            </w:pPr>
            <w:r w:rsidRPr="000E314C">
              <w:rPr>
                <w:b/>
                <w:bCs/>
                <w:sz w:val="4"/>
                <w:szCs w:val="4"/>
              </w:rPr>
              <w:t> </w:t>
            </w:r>
          </w:p>
        </w:tc>
        <w:tc>
          <w:tcPr>
            <w:tcW w:w="1053" w:type="dxa"/>
            <w:shd w:val="clear" w:color="auto" w:fill="FFFFCC"/>
            <w:noWrap/>
            <w:vAlign w:val="bottom"/>
            <w:hideMark/>
          </w:tcPr>
          <w:p w14:paraId="6B923635" w14:textId="77777777" w:rsidR="008911C1" w:rsidRPr="00050E27" w:rsidRDefault="008911C1" w:rsidP="00D337DB">
            <w:pPr>
              <w:jc w:val="right"/>
              <w:rPr>
                <w:b/>
                <w:bCs/>
                <w:sz w:val="18"/>
                <w:szCs w:val="18"/>
              </w:rPr>
            </w:pPr>
            <w:r w:rsidRPr="00050E27">
              <w:rPr>
                <w:b/>
                <w:bCs/>
                <w:sz w:val="18"/>
                <w:szCs w:val="18"/>
              </w:rPr>
              <w:t> </w:t>
            </w:r>
          </w:p>
        </w:tc>
        <w:tc>
          <w:tcPr>
            <w:tcW w:w="1073" w:type="dxa"/>
            <w:tcBorders>
              <w:top w:val="nil"/>
              <w:left w:val="single" w:sz="8" w:space="0" w:color="800000"/>
              <w:bottom w:val="nil"/>
              <w:right w:val="nil"/>
            </w:tcBorders>
            <w:shd w:val="clear" w:color="auto" w:fill="FFFFCC"/>
            <w:noWrap/>
            <w:vAlign w:val="bottom"/>
            <w:hideMark/>
          </w:tcPr>
          <w:p w14:paraId="6336832B" w14:textId="77777777" w:rsidR="008911C1" w:rsidRPr="005040F3" w:rsidRDefault="008911C1" w:rsidP="00D337DB">
            <w:pPr>
              <w:rPr>
                <w:sz w:val="18"/>
                <w:szCs w:val="18"/>
              </w:rPr>
            </w:pPr>
            <w:r w:rsidRPr="005040F3">
              <w:rPr>
                <w:sz w:val="18"/>
                <w:szCs w:val="18"/>
              </w:rPr>
              <w:t> </w:t>
            </w:r>
          </w:p>
        </w:tc>
        <w:tc>
          <w:tcPr>
            <w:tcW w:w="1015" w:type="dxa"/>
            <w:tcBorders>
              <w:top w:val="nil"/>
              <w:left w:val="single" w:sz="8" w:space="0" w:color="800000"/>
              <w:bottom w:val="nil"/>
              <w:right w:val="nil"/>
            </w:tcBorders>
            <w:shd w:val="clear" w:color="auto" w:fill="FFFFCC"/>
            <w:noWrap/>
            <w:vAlign w:val="bottom"/>
            <w:hideMark/>
          </w:tcPr>
          <w:p w14:paraId="3D52E276" w14:textId="77777777" w:rsidR="008911C1" w:rsidRPr="005040F3" w:rsidRDefault="008911C1" w:rsidP="00D337DB">
            <w:pPr>
              <w:jc w:val="right"/>
              <w:rPr>
                <w:b/>
                <w:bCs/>
                <w:sz w:val="18"/>
                <w:szCs w:val="18"/>
              </w:rPr>
            </w:pPr>
            <w:r w:rsidRPr="005040F3">
              <w:rPr>
                <w:b/>
                <w:bCs/>
                <w:sz w:val="18"/>
                <w:szCs w:val="18"/>
              </w:rPr>
              <w:t> </w:t>
            </w:r>
          </w:p>
        </w:tc>
        <w:tc>
          <w:tcPr>
            <w:tcW w:w="882" w:type="dxa"/>
            <w:tcBorders>
              <w:top w:val="nil"/>
              <w:left w:val="single" w:sz="8" w:space="0" w:color="800000"/>
              <w:bottom w:val="nil"/>
              <w:right w:val="nil"/>
            </w:tcBorders>
            <w:shd w:val="clear" w:color="auto" w:fill="FFFFCC"/>
            <w:noWrap/>
            <w:vAlign w:val="bottom"/>
            <w:hideMark/>
          </w:tcPr>
          <w:p w14:paraId="2FC69A8A" w14:textId="77777777" w:rsidR="008911C1" w:rsidRPr="00EA3DC7" w:rsidRDefault="008911C1" w:rsidP="00D337DB">
            <w:pPr>
              <w:rPr>
                <w:color w:val="0070C0"/>
                <w:sz w:val="18"/>
                <w:szCs w:val="18"/>
              </w:rPr>
            </w:pPr>
            <w:r w:rsidRPr="00EA3DC7">
              <w:rPr>
                <w:color w:val="0070C0"/>
                <w:sz w:val="18"/>
                <w:szCs w:val="18"/>
              </w:rPr>
              <w:t> </w:t>
            </w:r>
          </w:p>
        </w:tc>
        <w:tc>
          <w:tcPr>
            <w:tcW w:w="1058" w:type="dxa"/>
            <w:tcBorders>
              <w:top w:val="nil"/>
              <w:left w:val="single" w:sz="8" w:space="0" w:color="800000"/>
              <w:bottom w:val="nil"/>
              <w:right w:val="double" w:sz="6" w:space="0" w:color="800000"/>
            </w:tcBorders>
            <w:shd w:val="clear" w:color="auto" w:fill="FFFFCC"/>
            <w:noWrap/>
            <w:vAlign w:val="bottom"/>
            <w:hideMark/>
          </w:tcPr>
          <w:p w14:paraId="71237985" w14:textId="77777777" w:rsidR="008911C1" w:rsidRPr="007B1C99" w:rsidRDefault="008911C1" w:rsidP="00D337DB">
            <w:pPr>
              <w:rPr>
                <w:b/>
                <w:bCs/>
                <w:sz w:val="18"/>
                <w:szCs w:val="18"/>
              </w:rPr>
            </w:pPr>
            <w:r w:rsidRPr="007B1C99">
              <w:rPr>
                <w:b/>
                <w:bCs/>
                <w:sz w:val="18"/>
                <w:szCs w:val="18"/>
              </w:rPr>
              <w:t> </w:t>
            </w:r>
          </w:p>
        </w:tc>
      </w:tr>
      <w:tr w:rsidR="008911C1" w:rsidRPr="00EA3DC7" w14:paraId="490E7237" w14:textId="77777777" w:rsidTr="00D337DB">
        <w:trPr>
          <w:trHeight w:val="270"/>
        </w:trPr>
        <w:tc>
          <w:tcPr>
            <w:tcW w:w="3970" w:type="dxa"/>
            <w:tcBorders>
              <w:top w:val="nil"/>
              <w:left w:val="double" w:sz="6" w:space="0" w:color="800000"/>
              <w:bottom w:val="double" w:sz="6" w:space="0" w:color="800000"/>
              <w:right w:val="single" w:sz="8" w:space="0" w:color="800000"/>
            </w:tcBorders>
            <w:shd w:val="clear" w:color="auto" w:fill="FFFFCC"/>
            <w:noWrap/>
            <w:vAlign w:val="bottom"/>
            <w:hideMark/>
          </w:tcPr>
          <w:p w14:paraId="23DCAB09" w14:textId="77777777" w:rsidR="008911C1" w:rsidRPr="000E314C" w:rsidRDefault="008911C1" w:rsidP="00D337DB">
            <w:pPr>
              <w:rPr>
                <w:b/>
                <w:bCs/>
                <w:sz w:val="20"/>
              </w:rPr>
            </w:pPr>
            <w:r w:rsidRPr="000E314C">
              <w:rPr>
                <w:b/>
                <w:bCs/>
                <w:sz w:val="20"/>
              </w:rPr>
              <w:t xml:space="preserve">   ДЕФИЦИТ (-)/ИЗЛИШЪК (+)</w:t>
            </w:r>
          </w:p>
        </w:tc>
        <w:tc>
          <w:tcPr>
            <w:tcW w:w="1053" w:type="dxa"/>
            <w:tcBorders>
              <w:top w:val="nil"/>
              <w:left w:val="nil"/>
              <w:bottom w:val="double" w:sz="6" w:space="0" w:color="800000"/>
              <w:right w:val="single" w:sz="8" w:space="0" w:color="800000"/>
            </w:tcBorders>
            <w:shd w:val="clear" w:color="auto" w:fill="FFFFCC"/>
            <w:noWrap/>
            <w:vAlign w:val="bottom"/>
          </w:tcPr>
          <w:p w14:paraId="639A4452" w14:textId="77777777" w:rsidR="008911C1" w:rsidRPr="00050E27" w:rsidRDefault="008911C1" w:rsidP="00D337DB">
            <w:pPr>
              <w:jc w:val="right"/>
              <w:rPr>
                <w:b/>
                <w:bCs/>
                <w:sz w:val="18"/>
                <w:szCs w:val="18"/>
              </w:rPr>
            </w:pPr>
            <w:r w:rsidRPr="00050E27">
              <w:rPr>
                <w:b/>
                <w:bCs/>
                <w:sz w:val="18"/>
                <w:szCs w:val="18"/>
              </w:rPr>
              <w:t>-4 270,4</w:t>
            </w:r>
          </w:p>
        </w:tc>
        <w:tc>
          <w:tcPr>
            <w:tcW w:w="1073" w:type="dxa"/>
            <w:tcBorders>
              <w:top w:val="nil"/>
              <w:left w:val="nil"/>
              <w:bottom w:val="double" w:sz="6" w:space="0" w:color="800000"/>
              <w:right w:val="single" w:sz="8" w:space="0" w:color="800000"/>
            </w:tcBorders>
            <w:shd w:val="clear" w:color="auto" w:fill="FFFFCC"/>
            <w:noWrap/>
            <w:vAlign w:val="bottom"/>
          </w:tcPr>
          <w:p w14:paraId="303BE5A4" w14:textId="77777777" w:rsidR="008911C1" w:rsidRPr="005040F3" w:rsidRDefault="008911C1" w:rsidP="00D337DB">
            <w:pPr>
              <w:jc w:val="right"/>
              <w:rPr>
                <w:b/>
                <w:bCs/>
                <w:sz w:val="18"/>
                <w:szCs w:val="18"/>
                <w:lang w:val="en-US"/>
              </w:rPr>
            </w:pPr>
            <w:r w:rsidRPr="005040F3">
              <w:rPr>
                <w:b/>
                <w:bCs/>
                <w:sz w:val="18"/>
                <w:szCs w:val="18"/>
              </w:rPr>
              <w:t>-7 623,6</w:t>
            </w:r>
          </w:p>
        </w:tc>
        <w:tc>
          <w:tcPr>
            <w:tcW w:w="1015" w:type="dxa"/>
            <w:tcBorders>
              <w:top w:val="nil"/>
              <w:left w:val="nil"/>
              <w:bottom w:val="double" w:sz="6" w:space="0" w:color="800000"/>
              <w:right w:val="single" w:sz="8" w:space="0" w:color="800000"/>
            </w:tcBorders>
            <w:shd w:val="clear" w:color="auto" w:fill="FFFFCC"/>
            <w:noWrap/>
            <w:vAlign w:val="bottom"/>
          </w:tcPr>
          <w:p w14:paraId="04E594FB" w14:textId="77777777" w:rsidR="008911C1" w:rsidRPr="005040F3" w:rsidRDefault="008911C1" w:rsidP="00D337DB">
            <w:pPr>
              <w:jc w:val="right"/>
              <w:rPr>
                <w:b/>
                <w:bCs/>
                <w:sz w:val="18"/>
                <w:szCs w:val="18"/>
                <w:lang w:val="en-US"/>
              </w:rPr>
            </w:pPr>
            <w:r w:rsidRPr="005040F3">
              <w:rPr>
                <w:b/>
                <w:bCs/>
                <w:sz w:val="18"/>
                <w:szCs w:val="18"/>
              </w:rPr>
              <w:t>-5 695,7</w:t>
            </w:r>
          </w:p>
        </w:tc>
        <w:tc>
          <w:tcPr>
            <w:tcW w:w="882" w:type="dxa"/>
            <w:tcBorders>
              <w:top w:val="nil"/>
              <w:left w:val="nil"/>
              <w:bottom w:val="double" w:sz="6" w:space="0" w:color="800000"/>
              <w:right w:val="single" w:sz="8" w:space="0" w:color="800000"/>
            </w:tcBorders>
            <w:shd w:val="clear" w:color="auto" w:fill="FFFFCC"/>
            <w:noWrap/>
            <w:vAlign w:val="bottom"/>
            <w:hideMark/>
          </w:tcPr>
          <w:p w14:paraId="769110D6" w14:textId="77777777" w:rsidR="008911C1" w:rsidRPr="00EA3DC7" w:rsidRDefault="008911C1" w:rsidP="00D337DB">
            <w:pPr>
              <w:rPr>
                <w:color w:val="0070C0"/>
                <w:sz w:val="18"/>
                <w:szCs w:val="18"/>
              </w:rPr>
            </w:pPr>
            <w:r w:rsidRPr="00EA3DC7">
              <w:rPr>
                <w:color w:val="0070C0"/>
                <w:sz w:val="18"/>
                <w:szCs w:val="18"/>
              </w:rPr>
              <w:t> </w:t>
            </w:r>
          </w:p>
        </w:tc>
        <w:tc>
          <w:tcPr>
            <w:tcW w:w="1058" w:type="dxa"/>
            <w:tcBorders>
              <w:top w:val="nil"/>
              <w:left w:val="nil"/>
              <w:bottom w:val="double" w:sz="6" w:space="0" w:color="800000"/>
              <w:right w:val="double" w:sz="6" w:space="0" w:color="800000"/>
            </w:tcBorders>
            <w:shd w:val="clear" w:color="auto" w:fill="FFFFCC"/>
            <w:noWrap/>
            <w:vAlign w:val="bottom"/>
            <w:hideMark/>
          </w:tcPr>
          <w:p w14:paraId="363FCFAA" w14:textId="77777777" w:rsidR="008911C1" w:rsidRPr="00EA3DC7" w:rsidRDefault="008911C1" w:rsidP="00D337DB">
            <w:pPr>
              <w:rPr>
                <w:color w:val="0070C0"/>
                <w:sz w:val="18"/>
                <w:szCs w:val="18"/>
              </w:rPr>
            </w:pPr>
            <w:r w:rsidRPr="00EA3DC7">
              <w:rPr>
                <w:color w:val="0070C0"/>
                <w:sz w:val="18"/>
                <w:szCs w:val="18"/>
              </w:rPr>
              <w:t> </w:t>
            </w:r>
          </w:p>
        </w:tc>
      </w:tr>
    </w:tbl>
    <w:p w14:paraId="4A40906E" w14:textId="77777777" w:rsidR="008911C1" w:rsidRPr="00EA3DC7" w:rsidRDefault="008911C1" w:rsidP="008911C1">
      <w:pPr>
        <w:rPr>
          <w:b/>
          <w:color w:val="0070C0"/>
          <w:sz w:val="18"/>
          <w:szCs w:val="18"/>
        </w:rPr>
      </w:pPr>
    </w:p>
    <w:p w14:paraId="29F1ADBE" w14:textId="77777777" w:rsidR="008911C1" w:rsidRPr="00EA3DC7" w:rsidRDefault="008911C1" w:rsidP="008911C1">
      <w:pPr>
        <w:rPr>
          <w:b/>
          <w:sz w:val="18"/>
          <w:szCs w:val="18"/>
        </w:rPr>
      </w:pPr>
    </w:p>
    <w:bookmarkEnd w:id="444"/>
    <w:p w14:paraId="37A32D70" w14:textId="77777777" w:rsidR="008911C1" w:rsidRPr="00EA3DC7" w:rsidRDefault="008911C1" w:rsidP="008911C1">
      <w:pPr>
        <w:ind w:firstLine="720"/>
        <w:jc w:val="both"/>
      </w:pPr>
      <w:r w:rsidRPr="00EA3DC7">
        <w:t>Разчетите към ЗДБРБ за 202</w:t>
      </w:r>
      <w:r w:rsidRPr="004D5FFC">
        <w:rPr>
          <w:lang w:val="ru-RU"/>
        </w:rPr>
        <w:t>2</w:t>
      </w:r>
      <w:r w:rsidRPr="00EA3DC7">
        <w:t xml:space="preserve"> г. предвиждат </w:t>
      </w:r>
      <w:r w:rsidRPr="00EA3DC7">
        <w:rPr>
          <w:b/>
        </w:rPr>
        <w:t>приходите, помощите и даренията</w:t>
      </w:r>
      <w:r w:rsidRPr="00EA3DC7">
        <w:t xml:space="preserve"> по държавния бюджет да са в размер на </w:t>
      </w:r>
      <w:r w:rsidRPr="004D5FFC">
        <w:rPr>
          <w:lang w:val="ru-RU"/>
        </w:rPr>
        <w:t>34</w:t>
      </w:r>
      <w:r w:rsidRPr="00EA3DC7">
        <w:t> </w:t>
      </w:r>
      <w:r w:rsidRPr="004D5FFC">
        <w:rPr>
          <w:lang w:val="ru-RU"/>
        </w:rPr>
        <w:t>112</w:t>
      </w:r>
      <w:r w:rsidRPr="00EA3DC7">
        <w:t>,</w:t>
      </w:r>
      <w:r w:rsidRPr="004D5FFC">
        <w:rPr>
          <w:lang w:val="ru-RU"/>
        </w:rPr>
        <w:t>5</w:t>
      </w:r>
      <w:r w:rsidRPr="00EA3DC7">
        <w:t xml:space="preserve"> млн. лв., като отчетените касови постъпления за 202</w:t>
      </w:r>
      <w:r w:rsidRPr="004D5FFC">
        <w:rPr>
          <w:lang w:val="ru-RU"/>
        </w:rPr>
        <w:t>2</w:t>
      </w:r>
      <w:r w:rsidRPr="00EA3DC7">
        <w:t xml:space="preserve"> г. са 3</w:t>
      </w:r>
      <w:r w:rsidRPr="004D5FFC">
        <w:rPr>
          <w:lang w:val="ru-RU"/>
        </w:rPr>
        <w:t>4</w:t>
      </w:r>
      <w:r w:rsidRPr="00EA3DC7">
        <w:t> 9</w:t>
      </w:r>
      <w:r w:rsidRPr="004D5FFC">
        <w:rPr>
          <w:lang w:val="ru-RU"/>
        </w:rPr>
        <w:t>45</w:t>
      </w:r>
      <w:r w:rsidRPr="00EA3DC7">
        <w:t>,</w:t>
      </w:r>
      <w:r w:rsidRPr="004D5FFC">
        <w:rPr>
          <w:lang w:val="ru-RU"/>
        </w:rPr>
        <w:t>4</w:t>
      </w:r>
      <w:r w:rsidRPr="00EA3DC7">
        <w:t xml:space="preserve"> млн. лв. или изпълнението на приходната част на държавния бюджет е 10</w:t>
      </w:r>
      <w:r w:rsidRPr="004D5FFC">
        <w:rPr>
          <w:lang w:val="ru-RU"/>
        </w:rPr>
        <w:t>2</w:t>
      </w:r>
      <w:r w:rsidRPr="00EA3DC7">
        <w:t>,</w:t>
      </w:r>
      <w:r w:rsidRPr="004D5FFC">
        <w:rPr>
          <w:lang w:val="ru-RU"/>
        </w:rPr>
        <w:t>4</w:t>
      </w:r>
      <w:r w:rsidRPr="00EA3DC7">
        <w:t xml:space="preserve"> % спрямо разчета. </w:t>
      </w:r>
    </w:p>
    <w:p w14:paraId="0A12EC3F" w14:textId="5C748584" w:rsidR="008911C1" w:rsidRPr="00EA3DC7" w:rsidRDefault="008911C1" w:rsidP="004C0845">
      <w:pPr>
        <w:ind w:right="-62" w:firstLine="720"/>
        <w:jc w:val="both"/>
        <w:rPr>
          <w:color w:val="0070C0"/>
        </w:rPr>
      </w:pPr>
      <w:r w:rsidRPr="00EA3DC7">
        <w:t xml:space="preserve">Постъпленията от </w:t>
      </w:r>
      <w:r w:rsidRPr="00EA3DC7">
        <w:rPr>
          <w:b/>
        </w:rPr>
        <w:t>данъци</w:t>
      </w:r>
      <w:r w:rsidRPr="00EA3DC7">
        <w:t xml:space="preserve"> по държавния бюджет за 202</w:t>
      </w:r>
      <w:r w:rsidRPr="004D5FFC">
        <w:rPr>
          <w:lang w:val="ru-RU"/>
        </w:rPr>
        <w:t>2</w:t>
      </w:r>
      <w:r w:rsidRPr="00EA3DC7">
        <w:t xml:space="preserve"> г. са в размер на</w:t>
      </w:r>
      <w:r w:rsidRPr="004D5FFC">
        <w:rPr>
          <w:lang w:val="ru-RU"/>
        </w:rPr>
        <w:t xml:space="preserve"> 31</w:t>
      </w:r>
      <w:r w:rsidRPr="00EA3DC7">
        <w:t> </w:t>
      </w:r>
      <w:r w:rsidRPr="004D5FFC">
        <w:rPr>
          <w:lang w:val="ru-RU"/>
        </w:rPr>
        <w:t>679</w:t>
      </w:r>
      <w:r w:rsidRPr="00EA3DC7">
        <w:t>,</w:t>
      </w:r>
      <w:r w:rsidRPr="004D5FFC">
        <w:rPr>
          <w:lang w:val="ru-RU"/>
        </w:rPr>
        <w:t>3</w:t>
      </w:r>
      <w:r w:rsidR="0050524C">
        <w:rPr>
          <w:lang w:val="en-US"/>
        </w:rPr>
        <w:t> </w:t>
      </w:r>
      <w:r w:rsidRPr="00EA3DC7">
        <w:t>млн. лв., което представлява изпълнение от 10</w:t>
      </w:r>
      <w:r w:rsidRPr="004D5FFC">
        <w:rPr>
          <w:lang w:val="ru-RU"/>
        </w:rPr>
        <w:t>0</w:t>
      </w:r>
      <w:r w:rsidRPr="00EA3DC7">
        <w:t>,</w:t>
      </w:r>
      <w:r w:rsidRPr="004D5FFC">
        <w:rPr>
          <w:lang w:val="ru-RU"/>
        </w:rPr>
        <w:t>7</w:t>
      </w:r>
      <w:r w:rsidRPr="00EA3DC7">
        <w:t xml:space="preserve"> % на планираните нива за 202</w:t>
      </w:r>
      <w:r w:rsidRPr="004D5FFC">
        <w:rPr>
          <w:lang w:val="ru-RU"/>
        </w:rPr>
        <w:t>2</w:t>
      </w:r>
      <w:r w:rsidRPr="00EA3DC7">
        <w:t xml:space="preserve"> г. В сравнение </w:t>
      </w:r>
      <w:r w:rsidRPr="00522F44">
        <w:t>с 202</w:t>
      </w:r>
      <w:r w:rsidRPr="004D5FFC">
        <w:rPr>
          <w:lang w:val="ru-RU"/>
        </w:rPr>
        <w:t>1</w:t>
      </w:r>
      <w:r w:rsidRPr="00522F44">
        <w:t xml:space="preserve"> г. постъпленията в групата нарастват чувствително – с </w:t>
      </w:r>
      <w:r w:rsidRPr="004D5FFC">
        <w:rPr>
          <w:lang w:val="ru-RU"/>
        </w:rPr>
        <w:t>4</w:t>
      </w:r>
      <w:r w:rsidRPr="00522F44">
        <w:t> </w:t>
      </w:r>
      <w:r w:rsidRPr="004D5FFC">
        <w:rPr>
          <w:lang w:val="ru-RU"/>
        </w:rPr>
        <w:t>342</w:t>
      </w:r>
      <w:r w:rsidRPr="00522F44">
        <w:t>,</w:t>
      </w:r>
      <w:r w:rsidRPr="004D5FFC">
        <w:rPr>
          <w:lang w:val="ru-RU"/>
        </w:rPr>
        <w:t>7</w:t>
      </w:r>
      <w:r w:rsidRPr="00522F44">
        <w:t xml:space="preserve"> млн. лв. или 15,</w:t>
      </w:r>
      <w:r w:rsidRPr="004D5FFC">
        <w:rPr>
          <w:lang w:val="ru-RU"/>
        </w:rPr>
        <w:t>9</w:t>
      </w:r>
      <w:r w:rsidRPr="00522F44">
        <w:t xml:space="preserve"> %</w:t>
      </w:r>
      <w:r w:rsidRPr="00522F44">
        <w:rPr>
          <w:bCs/>
        </w:rPr>
        <w:t>.</w:t>
      </w:r>
      <w:r w:rsidRPr="00522F44">
        <w:t xml:space="preserve"> Постъпленията от </w:t>
      </w:r>
      <w:r w:rsidRPr="00522F44">
        <w:rPr>
          <w:b/>
        </w:rPr>
        <w:t xml:space="preserve">косвени данъци </w:t>
      </w:r>
      <w:r w:rsidRPr="00522F44">
        <w:t>за 202</w:t>
      </w:r>
      <w:r w:rsidRPr="004D5FFC">
        <w:rPr>
          <w:lang w:val="ru-RU"/>
        </w:rPr>
        <w:t>2</w:t>
      </w:r>
      <w:r w:rsidRPr="00522F44">
        <w:t xml:space="preserve"> г. възлизат на </w:t>
      </w:r>
      <w:r w:rsidRPr="004D5FFC">
        <w:rPr>
          <w:lang w:val="ru-RU"/>
        </w:rPr>
        <w:t>21</w:t>
      </w:r>
      <w:r w:rsidRPr="00522F44">
        <w:t> </w:t>
      </w:r>
      <w:r w:rsidRPr="004D5FFC">
        <w:rPr>
          <w:lang w:val="ru-RU"/>
        </w:rPr>
        <w:t>541</w:t>
      </w:r>
      <w:r w:rsidRPr="00522F44">
        <w:t>,</w:t>
      </w:r>
      <w:r w:rsidRPr="004D5FFC">
        <w:rPr>
          <w:lang w:val="ru-RU"/>
        </w:rPr>
        <w:t>5</w:t>
      </w:r>
      <w:r w:rsidRPr="00522F44">
        <w:t xml:space="preserve"> млн. лв. или </w:t>
      </w:r>
      <w:r w:rsidRPr="004D5FFC">
        <w:rPr>
          <w:lang w:val="ru-RU"/>
        </w:rPr>
        <w:t>96</w:t>
      </w:r>
      <w:r w:rsidRPr="00522F44">
        <w:t>,</w:t>
      </w:r>
      <w:r w:rsidRPr="004D5FFC">
        <w:rPr>
          <w:lang w:val="ru-RU"/>
        </w:rPr>
        <w:t>7</w:t>
      </w:r>
      <w:r w:rsidRPr="00522F44">
        <w:t xml:space="preserve"> % </w:t>
      </w:r>
      <w:r w:rsidRPr="004D5FFC">
        <w:rPr>
          <w:lang w:val="ru-RU"/>
        </w:rPr>
        <w:t>от</w:t>
      </w:r>
      <w:r w:rsidRPr="00522F44">
        <w:t xml:space="preserve"> предвидените в ЗДБРБ за 202</w:t>
      </w:r>
      <w:r w:rsidRPr="004D5FFC">
        <w:rPr>
          <w:lang w:val="ru-RU"/>
        </w:rPr>
        <w:t>2</w:t>
      </w:r>
      <w:r w:rsidRPr="00522F44">
        <w:t> г. Съпоставени с 2021 г., косвените данъци нарастват с 13,5 % (2 565,2 млн</w:t>
      </w:r>
      <w:r w:rsidRPr="003655B1">
        <w:t xml:space="preserve">. лв.). </w:t>
      </w:r>
      <w:r w:rsidRPr="003655B1">
        <w:rPr>
          <w:bCs/>
        </w:rPr>
        <w:t xml:space="preserve">Приходите от </w:t>
      </w:r>
      <w:r w:rsidRPr="003655B1">
        <w:rPr>
          <w:b/>
          <w:bCs/>
        </w:rPr>
        <w:t>преки данъци</w:t>
      </w:r>
      <w:r w:rsidRPr="003655B1">
        <w:t xml:space="preserve"> за 2022 г. са в размер на 9 911,1 млн. лв. или 109,7 % спрямо разчета за годината, като съпоставени с предходната година се увеличават с 1 665,3 млн. лв. (20,2 %). При всички категории данъци се наблюдава ръст спрямо предходната година, което е резултат от икономическото възстановяване и ръста на икономиката. Най-значителен е прираста при ДДС – 2 352,8 млн. лв. или 18,1 %, следван от нарастването при корпоративните данъци и ДДФЛ. </w:t>
      </w:r>
      <w:r>
        <w:t>Същевременно при съпоставка с плана за годината се наблюдава  п</w:t>
      </w:r>
      <w:r w:rsidRPr="00596BB8">
        <w:rPr>
          <w:rFonts w:eastAsia="Calibri"/>
          <w:szCs w:val="23"/>
          <w:lang w:eastAsia="en-US"/>
        </w:rPr>
        <w:t xml:space="preserve">реизпълнение </w:t>
      </w:r>
      <w:r>
        <w:rPr>
          <w:rFonts w:eastAsia="Calibri"/>
          <w:szCs w:val="23"/>
          <w:lang w:eastAsia="en-US"/>
        </w:rPr>
        <w:t>при</w:t>
      </w:r>
      <w:r w:rsidRPr="00596BB8">
        <w:rPr>
          <w:rFonts w:eastAsia="Calibri"/>
          <w:szCs w:val="23"/>
          <w:lang w:eastAsia="en-US"/>
        </w:rPr>
        <w:t xml:space="preserve"> корпоративните данъци, ДДФЛ и митата, а приходите от ДДС и ак</w:t>
      </w:r>
      <w:r>
        <w:rPr>
          <w:rFonts w:eastAsia="Calibri"/>
          <w:szCs w:val="23"/>
          <w:lang w:eastAsia="en-US"/>
        </w:rPr>
        <w:t>цизи са по-ниски от планираните.</w:t>
      </w:r>
      <w:r>
        <w:t xml:space="preserve"> </w:t>
      </w:r>
      <w:r w:rsidRPr="003570F7">
        <w:rPr>
          <w:rFonts w:eastAsia="Calibri"/>
          <w:szCs w:val="23"/>
          <w:lang w:eastAsia="en-US"/>
        </w:rPr>
        <w:t>При приходите от ДДС данните показват, че съпоставен</w:t>
      </w:r>
      <w:r>
        <w:rPr>
          <w:rFonts w:eastAsia="Calibri"/>
          <w:szCs w:val="23"/>
          <w:lang w:eastAsia="en-US"/>
        </w:rPr>
        <w:t>и</w:t>
      </w:r>
      <w:r w:rsidRPr="003570F7">
        <w:rPr>
          <w:rFonts w:eastAsia="Calibri"/>
          <w:szCs w:val="23"/>
          <w:lang w:eastAsia="en-US"/>
        </w:rPr>
        <w:t xml:space="preserve"> с разчетите към ЗДБРБ за 2022 г.</w:t>
      </w:r>
      <w:r>
        <w:rPr>
          <w:rFonts w:eastAsia="Calibri"/>
          <w:szCs w:val="23"/>
          <w:lang w:eastAsia="en-US"/>
        </w:rPr>
        <w:t>,</w:t>
      </w:r>
      <w:r w:rsidRPr="003570F7">
        <w:rPr>
          <w:rFonts w:eastAsia="Calibri"/>
          <w:szCs w:val="23"/>
          <w:lang w:eastAsia="en-US"/>
        </w:rPr>
        <w:t xml:space="preserve"> постъпленията за годината са с 688,7 млн. лв. по</w:t>
      </w:r>
      <w:r w:rsidR="00F26A14" w:rsidRPr="00EA47A0">
        <w:rPr>
          <w:rFonts w:eastAsia="Calibri"/>
          <w:szCs w:val="23"/>
          <w:lang w:val="ru-RU" w:eastAsia="en-US"/>
        </w:rPr>
        <w:t>-</w:t>
      </w:r>
      <w:r w:rsidRPr="003570F7">
        <w:rPr>
          <w:rFonts w:eastAsia="Calibri"/>
          <w:szCs w:val="23"/>
          <w:lang w:eastAsia="en-US"/>
        </w:rPr>
        <w:t>ниски от планираните. Параметрите по изпълнението при този данък са близки до предложените разчети от М</w:t>
      </w:r>
      <w:r>
        <w:rPr>
          <w:rFonts w:eastAsia="Calibri"/>
          <w:szCs w:val="23"/>
          <w:lang w:eastAsia="en-US"/>
        </w:rPr>
        <w:t>Ф</w:t>
      </w:r>
      <w:r w:rsidRPr="003570F7">
        <w:rPr>
          <w:rFonts w:eastAsia="Calibri"/>
          <w:szCs w:val="23"/>
          <w:lang w:eastAsia="en-US"/>
        </w:rPr>
        <w:t xml:space="preserve"> в първоначалния проект на ЗИД на ЗДБРБ за 2022 г. от юни, които в последствие при обсъждането и гласуването на законопроекта в Народното събрание бяха допълнително увеличени със 760,0 млн. лв. в окончателно гласуваните текстове. По отношение на приходите от акцизи следва да се отбележи, че</w:t>
      </w:r>
      <w:r w:rsidRPr="003570F7">
        <w:t xml:space="preserve"> през 2022 г. Народното събрание не прие предложените от М</w:t>
      </w:r>
      <w:r>
        <w:t>Ф</w:t>
      </w:r>
      <w:r w:rsidRPr="003570F7">
        <w:t xml:space="preserve"> промени за въвеждане на акцизен календар за тютюневите изделия през 2022 г. като същевременно не беше извършено съответното намаление на прогнозния размер на постъпленията от акцизи с ефекта от мярката в размер на 100 млн. лв., включени в ЗДБРБ за 2022 г</w:t>
      </w:r>
      <w:r w:rsidR="00EA47A0">
        <w:t>.</w:t>
      </w:r>
      <w:r w:rsidRPr="003570F7">
        <w:t>, колкото приблизително е неизпълнението на разчета за годината. Мярката влезе в сила от 01.03.2023 година</w:t>
      </w:r>
      <w:r w:rsidRPr="003570F7">
        <w:rPr>
          <w:rFonts w:eastAsia="Calibri"/>
          <w:b/>
          <w:szCs w:val="23"/>
          <w:lang w:eastAsia="en-US"/>
        </w:rPr>
        <w:t xml:space="preserve">. </w:t>
      </w:r>
      <w:r w:rsidRPr="003570F7">
        <w:t xml:space="preserve">Постъпленията от </w:t>
      </w:r>
      <w:r w:rsidRPr="003570F7">
        <w:rPr>
          <w:b/>
        </w:rPr>
        <w:t>други данъци</w:t>
      </w:r>
      <w:r w:rsidRPr="003570F7">
        <w:t xml:space="preserve"> по държавния бюджет за 2022 г. са в размер на 226,7 млн. лв. (вкл. 72,0 млн. лв. авансова вноска от „Лукойл България“)  или 151,1</w:t>
      </w:r>
      <w:r w:rsidR="0050524C">
        <w:rPr>
          <w:lang w:val="en-US"/>
        </w:rPr>
        <w:t> </w:t>
      </w:r>
      <w:r w:rsidRPr="003570F7">
        <w:t>% спрямо планираните със ЗДБРБ за 2022 година. При елиминиране на авансовата вноска (която не е разчетена в бюджета за 2022 г.) приходите в групата са в размер на 154,7</w:t>
      </w:r>
      <w:r w:rsidR="0050524C">
        <w:rPr>
          <w:lang w:val="en-US"/>
        </w:rPr>
        <w:t> </w:t>
      </w:r>
      <w:r w:rsidRPr="003570F7">
        <w:t>млн. лв., което представлява 103,1 % спрямо планираните в ЗДБРБ за 2022 г.</w:t>
      </w:r>
      <w:r>
        <w:t xml:space="preserve"> </w:t>
      </w:r>
    </w:p>
    <w:p w14:paraId="12FDD61A" w14:textId="172757A5" w:rsidR="008911C1" w:rsidRPr="00EA3DC7" w:rsidRDefault="008911C1" w:rsidP="004C0845">
      <w:pPr>
        <w:tabs>
          <w:tab w:val="left" w:pos="900"/>
        </w:tabs>
        <w:ind w:firstLine="720"/>
        <w:jc w:val="both"/>
        <w:rPr>
          <w:color w:val="0070C0"/>
        </w:rPr>
      </w:pPr>
      <w:r w:rsidRPr="00F77323">
        <w:rPr>
          <w:b/>
          <w:bCs/>
        </w:rPr>
        <w:t>Неданъчните приходи</w:t>
      </w:r>
      <w:r w:rsidRPr="00F77323">
        <w:t xml:space="preserve"> по държавния бюджет за 2022 г. са в размер на 3 260,6</w:t>
      </w:r>
      <w:r w:rsidR="0050524C">
        <w:rPr>
          <w:lang w:val="en-US"/>
        </w:rPr>
        <w:t> </w:t>
      </w:r>
      <w:r w:rsidRPr="00F77323">
        <w:t xml:space="preserve">млн. лева. Постъпленията представляват 122,9 % </w:t>
      </w:r>
      <w:r w:rsidR="00EA47A0">
        <w:t>спрямо</w:t>
      </w:r>
      <w:r w:rsidRPr="00F77323">
        <w:t xml:space="preserve"> планираните за годината, като по-голямата част от неданъчните приходи по държавния бюджет се формира по бюджетите на министерствата и ведомствата. </w:t>
      </w:r>
      <w:r w:rsidRPr="00003AE6">
        <w:t>Според характера на приходите с най-голям принос са постъпленията от държавни и съдебни такси – 1 637,3 млн. лв. Следващи по размер с 6</w:t>
      </w:r>
      <w:r>
        <w:t>08</w:t>
      </w:r>
      <w:r w:rsidRPr="00003AE6">
        <w:t>,</w:t>
      </w:r>
      <w:r>
        <w:t>2</w:t>
      </w:r>
      <w:r w:rsidR="0050524C">
        <w:rPr>
          <w:lang w:val="en-US"/>
        </w:rPr>
        <w:t> </w:t>
      </w:r>
      <w:r w:rsidRPr="00003AE6">
        <w:t>млн. лв. са другите неданъчни приходи</w:t>
      </w:r>
      <w:r>
        <w:t xml:space="preserve"> (вкл. внесените данъци върху продажбите)</w:t>
      </w:r>
      <w:r w:rsidRPr="00003AE6">
        <w:t xml:space="preserve">, където се включват отчисленията от АЕЦ „Козлодуй“ за двата фонда – Фонд „Радиоактивни отпадъци“ и Фонд </w:t>
      </w:r>
      <w:r w:rsidRPr="00F77323">
        <w:t>„Извеждане от експлоатация на ядрени съоръжения“</w:t>
      </w:r>
      <w:r>
        <w:t>, които</w:t>
      </w:r>
      <w:r w:rsidRPr="00F77323">
        <w:t xml:space="preserve"> значително надвишават разчета за годината и са </w:t>
      </w:r>
      <w:r w:rsidRPr="00F77323">
        <w:rPr>
          <w:rFonts w:eastAsia="Calibri"/>
          <w:szCs w:val="23"/>
          <w:lang w:eastAsia="en-US"/>
        </w:rPr>
        <w:t xml:space="preserve">с </w:t>
      </w:r>
      <w:r w:rsidRPr="00F77323">
        <w:rPr>
          <w:rFonts w:eastAsia="Calibri"/>
          <w:szCs w:val="23"/>
          <w:lang w:val="ru-RU" w:eastAsia="en-US"/>
        </w:rPr>
        <w:t>511</w:t>
      </w:r>
      <w:r w:rsidRPr="00F77323">
        <w:rPr>
          <w:rFonts w:eastAsia="Calibri"/>
          <w:szCs w:val="23"/>
          <w:lang w:eastAsia="en-US"/>
        </w:rPr>
        <w:t>,6 млн. лв. по-високи от планираните. Това се дължи основно на високите цени на електроенергията на свободния пазар</w:t>
      </w:r>
      <w:r w:rsidRPr="00F77323">
        <w:t>.</w:t>
      </w:r>
      <w:r>
        <w:t xml:space="preserve"> Трети по размер с 570,4 млн. лв. са приходите и доходи от собственост, където с най-</w:t>
      </w:r>
      <w:r w:rsidRPr="00963F6E">
        <w:t>голям обем са приходите от дивиденти. Следващи по обем са постъпления</w:t>
      </w:r>
      <w:r w:rsidR="003C1EF2">
        <w:t>та</w:t>
      </w:r>
      <w:r w:rsidRPr="00963F6E">
        <w:t xml:space="preserve"> от глоби, санкции и наказателни лихви - 296,5 млн. лв., приходите от концесии – 113,5 млн. лв. и постъпленията от продажба на нефинансови активи – 34,7 млн. лв. </w:t>
      </w:r>
    </w:p>
    <w:p w14:paraId="2F0B532D" w14:textId="77777777" w:rsidR="008911C1" w:rsidRPr="00963F6E" w:rsidRDefault="008911C1" w:rsidP="004C0845">
      <w:pPr>
        <w:ind w:firstLine="720"/>
        <w:jc w:val="both"/>
      </w:pPr>
      <w:r w:rsidRPr="00963F6E">
        <w:t xml:space="preserve">Постъпилите </w:t>
      </w:r>
      <w:r w:rsidRPr="00963F6E">
        <w:rPr>
          <w:b/>
        </w:rPr>
        <w:t xml:space="preserve">помощи и дарения </w:t>
      </w:r>
      <w:r w:rsidRPr="00963F6E">
        <w:t xml:space="preserve">по държавния бюджет през 2022 г. са в размер на 5,5 млн. лв. </w:t>
      </w:r>
    </w:p>
    <w:p w14:paraId="6082B3DF" w14:textId="77777777" w:rsidR="008911C1" w:rsidRPr="00846B06" w:rsidRDefault="008911C1" w:rsidP="008911C1">
      <w:pPr>
        <w:ind w:firstLine="720"/>
        <w:jc w:val="both"/>
        <w:rPr>
          <w:sz w:val="8"/>
          <w:szCs w:val="8"/>
        </w:rPr>
      </w:pPr>
    </w:p>
    <w:p w14:paraId="113B59A4" w14:textId="77777777" w:rsidR="008911C1" w:rsidRPr="00EA3DC7" w:rsidRDefault="008911C1" w:rsidP="004C0845">
      <w:pPr>
        <w:ind w:firstLine="720"/>
        <w:jc w:val="both"/>
        <w:rPr>
          <w:color w:val="0070C0"/>
        </w:rPr>
      </w:pPr>
      <w:r w:rsidRPr="00846B06">
        <w:rPr>
          <w:b/>
        </w:rPr>
        <w:t>Разходите</w:t>
      </w:r>
      <w:r w:rsidRPr="00846B06">
        <w:t xml:space="preserve"> по държавния бюджет (вкл. трансферите за др. бюджети и вноската в бюджета на ЕС) за 202</w:t>
      </w:r>
      <w:r w:rsidRPr="004D5FFC">
        <w:rPr>
          <w:lang w:val="ru-RU"/>
        </w:rPr>
        <w:t>2</w:t>
      </w:r>
      <w:r w:rsidRPr="00846B06">
        <w:t xml:space="preserve"> г. са в размер на 40 641,1 млн. лв., което представлява 97,4 % изпълнение на актуализираните разчети в ЗДБРБ за 2022 г. При съпоставяне на разходите по държавния бюджет през 2022 г. с предходната година се наблюдава ръст от 5 449,6 млн. лева (15,5 %).</w:t>
      </w:r>
    </w:p>
    <w:p w14:paraId="2CEAA413" w14:textId="0E91B78D" w:rsidR="008911C1" w:rsidRPr="00DE584D" w:rsidRDefault="008911C1" w:rsidP="008911C1">
      <w:pPr>
        <w:ind w:firstLine="720"/>
        <w:jc w:val="both"/>
        <w:rPr>
          <w:b/>
          <w:bCs/>
        </w:rPr>
      </w:pPr>
      <w:r w:rsidRPr="001E5AF3">
        <w:rPr>
          <w:i/>
        </w:rPr>
        <w:t>Н</w:t>
      </w:r>
      <w:r w:rsidRPr="001E5AF3">
        <w:rPr>
          <w:bCs/>
          <w:i/>
        </w:rPr>
        <w:t xml:space="preserve">елихвените разходи </w:t>
      </w:r>
      <w:r w:rsidRPr="001E5AF3">
        <w:rPr>
          <w:bCs/>
        </w:rPr>
        <w:t xml:space="preserve">по държавния бюджет </w:t>
      </w:r>
      <w:r w:rsidRPr="001E5AF3">
        <w:t>(без трансферите за др. бюджети и вноската в ЕС), извършени през 2022 г., са в размер 17 840,4 млн. лв., което представлява 86,8 % от предвидените в ЗИД на ЗДБРБ за 2022 г. средства. Съпоставени с данните за 2021</w:t>
      </w:r>
      <w:r w:rsidR="0050524C">
        <w:rPr>
          <w:lang w:val="en-US"/>
        </w:rPr>
        <w:t> </w:t>
      </w:r>
      <w:r w:rsidRPr="001E5AF3">
        <w:t>г., нелихвените разходи са с 23,7 % (3 416,1 млн. лв.) по-високи. Текущите нелихвени разходи представляват 88,9 % от планираните с актуализирания разчет за годината и са в размер на 15 386,7 млн.</w:t>
      </w:r>
      <w:r w:rsidRPr="001E5AF3">
        <w:rPr>
          <w:lang w:val="en-US"/>
        </w:rPr>
        <w:t> </w:t>
      </w:r>
      <w:r w:rsidRPr="001E5AF3">
        <w:t xml:space="preserve">лева. </w:t>
      </w:r>
      <w:r w:rsidRPr="00DE584D">
        <w:rPr>
          <w:bCs/>
        </w:rPr>
        <w:t xml:space="preserve">Разходите за персонал (заплати и </w:t>
      </w:r>
      <w:r w:rsidRPr="00DE584D">
        <w:rPr>
          <w:bCs/>
          <w:noProof/>
        </w:rPr>
        <w:t>възнаграждения</w:t>
      </w:r>
      <w:r w:rsidRPr="00DE584D">
        <w:rPr>
          <w:bCs/>
        </w:rPr>
        <w:t>, други възнаграждения и плащания за персонала и осигурителни вноски) са в общ размер на 7 3</w:t>
      </w:r>
      <w:r>
        <w:rPr>
          <w:bCs/>
        </w:rPr>
        <w:t>85</w:t>
      </w:r>
      <w:r w:rsidRPr="00DE584D">
        <w:rPr>
          <w:bCs/>
        </w:rPr>
        <w:t>,</w:t>
      </w:r>
      <w:r>
        <w:rPr>
          <w:bCs/>
        </w:rPr>
        <w:t>4</w:t>
      </w:r>
      <w:r w:rsidR="0050524C">
        <w:rPr>
          <w:bCs/>
          <w:lang w:val="en-US"/>
        </w:rPr>
        <w:t> </w:t>
      </w:r>
      <w:r w:rsidRPr="00DE584D">
        <w:rPr>
          <w:bCs/>
        </w:rPr>
        <w:t>млн. лв. Разходите за издръжка (вкл. разходи за членски внос и участие в нетърговски организации и дейности и платени данъци, такси и административни санкции) са в размер на 3 79</w:t>
      </w:r>
      <w:r>
        <w:rPr>
          <w:bCs/>
        </w:rPr>
        <w:t>3</w:t>
      </w:r>
      <w:r w:rsidRPr="00DE584D">
        <w:rPr>
          <w:bCs/>
        </w:rPr>
        <w:t>,</w:t>
      </w:r>
      <w:r>
        <w:rPr>
          <w:bCs/>
        </w:rPr>
        <w:t>6</w:t>
      </w:r>
      <w:r w:rsidRPr="00DE584D">
        <w:rPr>
          <w:bCs/>
        </w:rPr>
        <w:t xml:space="preserve"> млн. лв. Социалните разходи (вкл. разходите за стипендии) са в размер на 1 </w:t>
      </w:r>
      <w:r>
        <w:rPr>
          <w:bCs/>
        </w:rPr>
        <w:t>659</w:t>
      </w:r>
      <w:r w:rsidRPr="00DE584D">
        <w:rPr>
          <w:bCs/>
        </w:rPr>
        <w:t>,4 млн. лв. и са основно разходи по бюджета на МТСП за помощи по Закона за социално подпомагане, Закона за хората с увреждания, Закона за семейните помощи за деца и др. Разходите за субсидии са в размер на 2 5</w:t>
      </w:r>
      <w:r>
        <w:rPr>
          <w:bCs/>
        </w:rPr>
        <w:t>48</w:t>
      </w:r>
      <w:r w:rsidRPr="00DE584D">
        <w:rPr>
          <w:bCs/>
        </w:rPr>
        <w:t>,</w:t>
      </w:r>
      <w:r>
        <w:rPr>
          <w:bCs/>
        </w:rPr>
        <w:t>3</w:t>
      </w:r>
      <w:r w:rsidRPr="00DE584D">
        <w:rPr>
          <w:bCs/>
        </w:rPr>
        <w:t xml:space="preserve"> млн. лв</w:t>
      </w:r>
      <w:r>
        <w:rPr>
          <w:bCs/>
        </w:rPr>
        <w:t xml:space="preserve">. </w:t>
      </w:r>
      <w:r w:rsidRPr="001E5AF3">
        <w:t xml:space="preserve">Капиталовите разходи и нетният прираст на държавния резерв са в размер на </w:t>
      </w:r>
      <w:r w:rsidRPr="00DE584D">
        <w:t>2 430,3 млн. лева. Предоставените текущи и капиталови трансфери за чужбина са в размер на 23,4 млн. лв. при планирани с разчетите към ЗДБРБ за 2022 г. 19,1 млн. лева.</w:t>
      </w:r>
    </w:p>
    <w:p w14:paraId="40A528EC" w14:textId="7AADE24D" w:rsidR="008911C1" w:rsidRPr="00EA3DC7" w:rsidRDefault="008911C1" w:rsidP="004C0845">
      <w:pPr>
        <w:ind w:firstLine="720"/>
        <w:jc w:val="both"/>
        <w:rPr>
          <w:color w:val="0070C0"/>
        </w:rPr>
      </w:pPr>
      <w:r w:rsidRPr="00DE584D">
        <w:rPr>
          <w:i/>
        </w:rPr>
        <w:t>Лихвените плащания</w:t>
      </w:r>
      <w:r w:rsidRPr="00DE584D">
        <w:t xml:space="preserve"> по държавния бюджет за 2022 г. са в общ размер на 611,6</w:t>
      </w:r>
      <w:r w:rsidR="0050524C">
        <w:rPr>
          <w:bCs/>
          <w:lang w:val="en-US"/>
        </w:rPr>
        <w:t> </w:t>
      </w:r>
      <w:r w:rsidRPr="00DE584D">
        <w:rPr>
          <w:bCs/>
        </w:rPr>
        <w:t>млн. лв</w:t>
      </w:r>
      <w:r w:rsidRPr="00DE584D">
        <w:t>. или 97,1 % от предвидените за годината. По-голямата част от тези разходи са лихви по външни заеми, които за отчетния период са в размер на 485,0 млн. лв. или 99,6</w:t>
      </w:r>
      <w:r w:rsidR="00420739">
        <w:t> </w:t>
      </w:r>
      <w:r w:rsidRPr="00DE584D">
        <w:t xml:space="preserve">% </w:t>
      </w:r>
      <w:r w:rsidRPr="005A5587">
        <w:t>от годишния разчет</w:t>
      </w:r>
      <w:r w:rsidR="00420739">
        <w:t xml:space="preserve">. Лихвите по външни заеми по централния бюджет са в размер на </w:t>
      </w:r>
      <w:r w:rsidRPr="005A5587">
        <w:t xml:space="preserve">464,6 млн. лв. </w:t>
      </w:r>
      <w:r w:rsidR="00420739">
        <w:t>като в</w:t>
      </w:r>
      <w:r w:rsidRPr="005A5587">
        <w:t xml:space="preserve"> структурно отношение лихвите по облигации, емитирани на МКП, са с най-висок относителен дял от 87,0 % (или 404,1 млн. лв.), следвани от изплатените лихви по заеми към ЕИБ и ЕК – 7,8 % от общия размер на външните лихви (или 36,1 млн. лв.) и към други кредитори – 5,2 % (или 24,3 млн. лв.). Разходите за лихви по ДИЗ, управлявани от министерства и ведомства са в размер на 20,4 млн. лв. (от тях 1,7 млн. лв. са по заемите с краен бенефициент търговско дружество). През отчетния период не са използвани средства, предвидени за покриване на риска от активиране на държавни гаранции. Лихвите по вътрешни заеми по държавния бюджет за 2022 г. са в размер на 126,7 млн. лв. или 88,7 % от годишния разчет (</w:t>
      </w:r>
      <w:r w:rsidRPr="005A5587">
        <w:rPr>
          <w:lang w:val="ru-RU"/>
        </w:rPr>
        <w:t>вкл.</w:t>
      </w:r>
      <w:r w:rsidRPr="005A5587">
        <w:t xml:space="preserve"> 18,0 млн. лв. разходи на министерствата и ведомствата за лихви</w:t>
      </w:r>
      <w:r w:rsidR="009E35E1">
        <w:t xml:space="preserve"> по вътрешни заеми</w:t>
      </w:r>
      <w:r w:rsidRPr="005A5587">
        <w:t>) и представляват основно лихви по емисии на ДЦК на вътрешния пазар. Платените лихви и отстъпки по вътрешния дълг са в размер на 108,6 млн. лв</w:t>
      </w:r>
      <w:r>
        <w:t>.</w:t>
      </w:r>
      <w:r w:rsidRPr="00EA3DC7">
        <w:rPr>
          <w:color w:val="0070C0"/>
        </w:rPr>
        <w:t xml:space="preserve"> </w:t>
      </w:r>
    </w:p>
    <w:p w14:paraId="1B1FAC2B" w14:textId="77777777" w:rsidR="008911C1" w:rsidRPr="00F55DAD" w:rsidRDefault="008911C1" w:rsidP="004C0845">
      <w:pPr>
        <w:ind w:firstLine="720"/>
        <w:jc w:val="both"/>
      </w:pPr>
      <w:r w:rsidRPr="00F55DAD">
        <w:rPr>
          <w:i/>
        </w:rPr>
        <w:t>Вноската на България в общия бюджет на ЕС</w:t>
      </w:r>
      <w:r w:rsidRPr="00F55DAD">
        <w:t>, изплатена за 2022 г. от централния бюджет, възлиза на 1 705,0 млн. лв., което е в съответствие с действащото през годината законодателство</w:t>
      </w:r>
      <w:r w:rsidRPr="00F55DAD">
        <w:rPr>
          <w:vertAlign w:val="superscript"/>
        </w:rPr>
        <w:footnoteReference w:id="26"/>
      </w:r>
      <w:r w:rsidRPr="00F55DAD">
        <w:t xml:space="preserve"> в областта на собствените ресурси на ЕС. </w:t>
      </w:r>
    </w:p>
    <w:p w14:paraId="291CBD92" w14:textId="56597DF7" w:rsidR="008911C1" w:rsidRPr="009F1424" w:rsidRDefault="008911C1" w:rsidP="004C0845">
      <w:pPr>
        <w:ind w:firstLine="720"/>
        <w:jc w:val="both"/>
      </w:pPr>
      <w:r w:rsidRPr="00F55DAD">
        <w:t xml:space="preserve">Предоставените </w:t>
      </w:r>
      <w:r w:rsidRPr="00F55DAD">
        <w:rPr>
          <w:b/>
        </w:rPr>
        <w:t>трансфери/субсидии</w:t>
      </w:r>
      <w:r w:rsidRPr="00F55DAD">
        <w:t xml:space="preserve"> </w:t>
      </w:r>
      <w:r w:rsidRPr="00F55DAD">
        <w:rPr>
          <w:b/>
        </w:rPr>
        <w:t>и временни безлихвени заеми</w:t>
      </w:r>
      <w:r w:rsidRPr="00F55DAD">
        <w:t xml:space="preserve"> от държавния бюджет за други бюджети (нето) са в размер на 20</w:t>
      </w:r>
      <w:r w:rsidRPr="00F55DAD">
        <w:rPr>
          <w:lang w:val="ru-RU"/>
        </w:rPr>
        <w:t> 484,1</w:t>
      </w:r>
      <w:r w:rsidRPr="00F55DAD">
        <w:t xml:space="preserve"> млн. лв. или 109,4 % </w:t>
      </w:r>
      <w:r w:rsidR="00E46468">
        <w:t>спрямо</w:t>
      </w:r>
      <w:r w:rsidRPr="00F55DAD">
        <w:t xml:space="preserve"> </w:t>
      </w:r>
      <w:r w:rsidRPr="009F1424">
        <w:t>планираните в ЗДБРБ за 2022 г.</w:t>
      </w:r>
      <w:r>
        <w:t>, както следва:</w:t>
      </w:r>
    </w:p>
    <w:p w14:paraId="4EA15C9C" w14:textId="5C3CF706" w:rsidR="008911C1" w:rsidRPr="00EA3DC7" w:rsidRDefault="008911C1" w:rsidP="004C0845">
      <w:pPr>
        <w:ind w:firstLine="720"/>
        <w:jc w:val="both"/>
        <w:rPr>
          <w:color w:val="0070C0"/>
        </w:rPr>
      </w:pPr>
      <w:r w:rsidRPr="009F1424">
        <w:t xml:space="preserve">- </w:t>
      </w:r>
      <w:r w:rsidRPr="009F1424">
        <w:rPr>
          <w:b/>
          <w:i/>
        </w:rPr>
        <w:t>нетните трансфери/субсидии и временни безлихвени заеми, предоставени и възстановени от общините,</w:t>
      </w:r>
      <w:r w:rsidRPr="009F1424">
        <w:t xml:space="preserve"> са в размер на </w:t>
      </w:r>
      <w:r w:rsidRPr="004D5FFC">
        <w:rPr>
          <w:lang w:val="ru-RU"/>
        </w:rPr>
        <w:t>7</w:t>
      </w:r>
      <w:r w:rsidRPr="009F1424">
        <w:t> </w:t>
      </w:r>
      <w:r w:rsidRPr="004D5FFC">
        <w:rPr>
          <w:lang w:val="ru-RU"/>
        </w:rPr>
        <w:t>77</w:t>
      </w:r>
      <w:r w:rsidR="009E35E1">
        <w:rPr>
          <w:lang w:val="ru-RU"/>
        </w:rPr>
        <w:t>7</w:t>
      </w:r>
      <w:r w:rsidRPr="009F1424">
        <w:t>,</w:t>
      </w:r>
      <w:r w:rsidR="009E35E1">
        <w:t>3</w:t>
      </w:r>
      <w:r w:rsidRPr="009F1424">
        <w:t xml:space="preserve"> млн. лв., в т.ч. </w:t>
      </w:r>
      <w:r w:rsidRPr="009F1424">
        <w:rPr>
          <w:i/>
        </w:rPr>
        <w:t xml:space="preserve">бюджетните взаимоотношения на общините с централния бюджет </w:t>
      </w:r>
      <w:r w:rsidRPr="009F1424">
        <w:t>за 202</w:t>
      </w:r>
      <w:r w:rsidRPr="004D5FFC">
        <w:rPr>
          <w:lang w:val="ru-RU"/>
        </w:rPr>
        <w:t>2</w:t>
      </w:r>
      <w:r w:rsidRPr="009F1424">
        <w:t xml:space="preserve"> г. възлизат на </w:t>
      </w:r>
      <w:r w:rsidRPr="004D5FFC">
        <w:rPr>
          <w:lang w:val="ru-RU"/>
        </w:rPr>
        <w:t>6</w:t>
      </w:r>
      <w:r w:rsidRPr="009F1424">
        <w:t> 6</w:t>
      </w:r>
      <w:r w:rsidRPr="004D5FFC">
        <w:rPr>
          <w:lang w:val="ru-RU"/>
        </w:rPr>
        <w:t>61</w:t>
      </w:r>
      <w:r w:rsidRPr="009F1424">
        <w:t>,</w:t>
      </w:r>
      <w:r w:rsidRPr="004D5FFC">
        <w:rPr>
          <w:lang w:val="ru-RU"/>
        </w:rPr>
        <w:t>0</w:t>
      </w:r>
      <w:r w:rsidRPr="009F1424">
        <w:t xml:space="preserve"> млн. лв., в т.ч. обща субсидия за делегирани от държавата дейности </w:t>
      </w:r>
      <w:r w:rsidRPr="004D5FFC">
        <w:rPr>
          <w:lang w:val="ru-RU"/>
        </w:rPr>
        <w:t>5</w:t>
      </w:r>
      <w:r w:rsidRPr="009F1424">
        <w:t> </w:t>
      </w:r>
      <w:r w:rsidRPr="004D5FFC">
        <w:rPr>
          <w:lang w:val="ru-RU"/>
        </w:rPr>
        <w:t>313</w:t>
      </w:r>
      <w:r w:rsidRPr="009F1424">
        <w:t>,</w:t>
      </w:r>
      <w:r w:rsidRPr="004D5FFC">
        <w:rPr>
          <w:lang w:val="ru-RU"/>
        </w:rPr>
        <w:t>2</w:t>
      </w:r>
      <w:r w:rsidRPr="009F1424">
        <w:t xml:space="preserve"> млн. лв., общо трансфери за местни дейности </w:t>
      </w:r>
      <w:r w:rsidRPr="004D5FFC">
        <w:rPr>
          <w:lang w:val="ru-RU"/>
        </w:rPr>
        <w:t>427</w:t>
      </w:r>
      <w:r w:rsidRPr="009F1424">
        <w:t>,</w:t>
      </w:r>
      <w:r w:rsidRPr="004D5FFC">
        <w:rPr>
          <w:lang w:val="ru-RU"/>
        </w:rPr>
        <w:t>2</w:t>
      </w:r>
      <w:r w:rsidRPr="009F1424">
        <w:t xml:space="preserve"> млн. лв., целеви субсидии за капиталови разходи в размер на </w:t>
      </w:r>
      <w:r w:rsidRPr="004D5FFC">
        <w:rPr>
          <w:lang w:val="ru-RU"/>
        </w:rPr>
        <w:t>373</w:t>
      </w:r>
      <w:r w:rsidRPr="009F1424">
        <w:t>,</w:t>
      </w:r>
      <w:r w:rsidRPr="004D5FFC">
        <w:rPr>
          <w:lang w:val="ru-RU"/>
        </w:rPr>
        <w:t>6</w:t>
      </w:r>
      <w:r w:rsidRPr="009F1424">
        <w:t xml:space="preserve"> млн. лв., получени от общини други целеви трансфери от ЦБ – 5</w:t>
      </w:r>
      <w:r w:rsidRPr="004D5FFC">
        <w:rPr>
          <w:lang w:val="ru-RU"/>
        </w:rPr>
        <w:t>68</w:t>
      </w:r>
      <w:r w:rsidRPr="009F1424">
        <w:t>,</w:t>
      </w:r>
      <w:r w:rsidRPr="004D5FFC">
        <w:rPr>
          <w:lang w:val="ru-RU"/>
        </w:rPr>
        <w:t>1</w:t>
      </w:r>
      <w:r w:rsidRPr="009F1424">
        <w:t xml:space="preserve"> млн. лв., възстановени трансфери (субсидии) за ЦБ в размер на 1</w:t>
      </w:r>
      <w:r w:rsidRPr="004D5FFC">
        <w:rPr>
          <w:lang w:val="ru-RU"/>
        </w:rPr>
        <w:t>6</w:t>
      </w:r>
      <w:r w:rsidRPr="009F1424">
        <w:t>,</w:t>
      </w:r>
      <w:r w:rsidRPr="004D5FFC">
        <w:rPr>
          <w:lang w:val="ru-RU"/>
        </w:rPr>
        <w:t>4</w:t>
      </w:r>
      <w:r w:rsidRPr="009F1424">
        <w:t xml:space="preserve"> млн. лв.</w:t>
      </w:r>
      <w:r w:rsidRPr="00A15F2C">
        <w:t xml:space="preserve"> </w:t>
      </w:r>
      <w:r w:rsidRPr="009F1424">
        <w:t>и временни безлихвени заеми (нето)  (-</w:t>
      </w:r>
      <w:r w:rsidRPr="004D5FFC">
        <w:rPr>
          <w:lang w:val="ru-RU"/>
        </w:rPr>
        <w:t>4</w:t>
      </w:r>
      <w:r w:rsidRPr="009F1424">
        <w:t>,</w:t>
      </w:r>
      <w:r w:rsidRPr="004D5FFC">
        <w:rPr>
          <w:lang w:val="ru-RU"/>
        </w:rPr>
        <w:t>7</w:t>
      </w:r>
      <w:r w:rsidRPr="009F1424">
        <w:t>) млн. лв.</w:t>
      </w:r>
      <w:r>
        <w:t xml:space="preserve"> Н</w:t>
      </w:r>
      <w:r w:rsidRPr="009F1424">
        <w:rPr>
          <w:lang w:eastAsia="en-US"/>
        </w:rPr>
        <w:t>етни</w:t>
      </w:r>
      <w:r>
        <w:rPr>
          <w:lang w:eastAsia="en-US"/>
        </w:rPr>
        <w:t>те</w:t>
      </w:r>
      <w:r w:rsidRPr="009F1424">
        <w:rPr>
          <w:lang w:eastAsia="en-US"/>
        </w:rPr>
        <w:t xml:space="preserve"> трансфери от/за други бюджети </w:t>
      </w:r>
      <w:r>
        <w:rPr>
          <w:lang w:eastAsia="en-US"/>
        </w:rPr>
        <w:t xml:space="preserve">са </w:t>
      </w:r>
      <w:r w:rsidRPr="009F1424">
        <w:rPr>
          <w:lang w:eastAsia="en-US"/>
        </w:rPr>
        <w:t>в размер на 1</w:t>
      </w:r>
      <w:r w:rsidR="009E35E1">
        <w:rPr>
          <w:lang w:eastAsia="en-US"/>
        </w:rPr>
        <w:t> </w:t>
      </w:r>
      <w:r w:rsidRPr="009F1424">
        <w:rPr>
          <w:lang w:eastAsia="en-US"/>
        </w:rPr>
        <w:t>11</w:t>
      </w:r>
      <w:r w:rsidR="009E35E1">
        <w:rPr>
          <w:lang w:eastAsia="en-US"/>
        </w:rPr>
        <w:t>6,3</w:t>
      </w:r>
      <w:r w:rsidRPr="009F1424">
        <w:rPr>
          <w:lang w:eastAsia="en-US"/>
        </w:rPr>
        <w:t xml:space="preserve"> млн. лв. </w:t>
      </w:r>
    </w:p>
    <w:p w14:paraId="1F6AACF5" w14:textId="77777777" w:rsidR="008911C1" w:rsidRPr="000123D8" w:rsidRDefault="008911C1" w:rsidP="008911C1">
      <w:pPr>
        <w:ind w:firstLine="720"/>
        <w:jc w:val="both"/>
      </w:pPr>
      <w:r w:rsidRPr="000123D8">
        <w:t xml:space="preserve">- на </w:t>
      </w:r>
      <w:r w:rsidRPr="000123D8">
        <w:rPr>
          <w:b/>
          <w:i/>
        </w:rPr>
        <w:t xml:space="preserve">здравните и социалноосигурителните фондове </w:t>
      </w:r>
      <w:r w:rsidRPr="000123D8">
        <w:t>– 10 492,0 млн. лв., което представлява 96,3 % спрямо годишния разчет;</w:t>
      </w:r>
    </w:p>
    <w:p w14:paraId="5A79F623" w14:textId="77777777" w:rsidR="008911C1" w:rsidRPr="00C11947" w:rsidRDefault="008911C1" w:rsidP="008911C1">
      <w:pPr>
        <w:ind w:firstLine="720"/>
        <w:jc w:val="both"/>
      </w:pPr>
      <w:r w:rsidRPr="008A2177">
        <w:t xml:space="preserve">- </w:t>
      </w:r>
      <w:r w:rsidRPr="00C11947">
        <w:t xml:space="preserve">на </w:t>
      </w:r>
      <w:r w:rsidRPr="00C11947">
        <w:rPr>
          <w:b/>
          <w:i/>
        </w:rPr>
        <w:t>други автономни бюджети (ДВУ, БАН, ССА, БНТ, БНР и БТА)</w:t>
      </w:r>
      <w:r w:rsidRPr="00C11947">
        <w:t xml:space="preserve"> – 1 214,5 млн. лева;</w:t>
      </w:r>
    </w:p>
    <w:p w14:paraId="13E49354" w14:textId="77777777" w:rsidR="008911C1" w:rsidRPr="00C11947" w:rsidRDefault="008911C1" w:rsidP="008911C1">
      <w:pPr>
        <w:ind w:firstLine="720"/>
        <w:jc w:val="both"/>
      </w:pPr>
      <w:r w:rsidRPr="00C11947">
        <w:t xml:space="preserve">- на </w:t>
      </w:r>
      <w:r w:rsidRPr="00C11947">
        <w:rPr>
          <w:b/>
          <w:i/>
        </w:rPr>
        <w:t>държавни предприятия и други лица, включени в КФП</w:t>
      </w:r>
      <w:r w:rsidRPr="00C11947">
        <w:t xml:space="preserve"> – нето 41,0 млн. лв.</w:t>
      </w:r>
    </w:p>
    <w:p w14:paraId="42F4C599" w14:textId="1B759B29" w:rsidR="008911C1" w:rsidRPr="00A00708" w:rsidRDefault="008911C1" w:rsidP="008911C1">
      <w:pPr>
        <w:ind w:firstLine="720"/>
        <w:jc w:val="both"/>
      </w:pPr>
      <w:r w:rsidRPr="00C11947">
        <w:t xml:space="preserve">- на </w:t>
      </w:r>
      <w:r w:rsidRPr="00C11947">
        <w:rPr>
          <w:b/>
          <w:i/>
        </w:rPr>
        <w:t xml:space="preserve">сметките за средства от ЕС и ДМП </w:t>
      </w:r>
      <w:r w:rsidRPr="00C11947">
        <w:t>– 960,5 млн. лв., в т. ч. общият нетен размер на трансферите от ЦБ е 547,1 млн. лв. - за Национален фонд са предоставени 355,6</w:t>
      </w:r>
      <w:r w:rsidR="0050524C">
        <w:rPr>
          <w:lang w:val="en-US"/>
        </w:rPr>
        <w:t> </w:t>
      </w:r>
      <w:r w:rsidRPr="00C11947">
        <w:t xml:space="preserve">млн. лв. и за Държавен фонд „Земеделие” – Разплащателна агенция – 211,5 млн. лева. От останалите бюджети в рамките на държавния бюджет за сметките за средства от ЕС и </w:t>
      </w:r>
      <w:r w:rsidRPr="00A00708">
        <w:t>ДМП предоставените трансфери (нето) са 413,4 млн. лв.</w:t>
      </w:r>
    </w:p>
    <w:p w14:paraId="434D4E61" w14:textId="77777777" w:rsidR="008911C1" w:rsidRPr="00A00708" w:rsidRDefault="008911C1" w:rsidP="008911C1">
      <w:pPr>
        <w:ind w:firstLine="540"/>
        <w:rPr>
          <w:b/>
          <w:sz w:val="12"/>
          <w:szCs w:val="12"/>
        </w:rPr>
      </w:pPr>
    </w:p>
    <w:p w14:paraId="07C4CA3D" w14:textId="77777777" w:rsidR="008911C1" w:rsidRPr="00A00708" w:rsidRDefault="008911C1" w:rsidP="008911C1">
      <w:pPr>
        <w:ind w:firstLine="720"/>
        <w:rPr>
          <w:b/>
        </w:rPr>
      </w:pPr>
      <w:r w:rsidRPr="00A00708">
        <w:rPr>
          <w:b/>
        </w:rPr>
        <w:t>Бюджетното салдо по държавния бюджет за 2022 г. е отрицателно в размер на 5 695,7 млн. лева.</w:t>
      </w:r>
    </w:p>
    <w:p w14:paraId="392A7638" w14:textId="77777777" w:rsidR="00D12E19" w:rsidRPr="007676CF" w:rsidRDefault="00D12E19" w:rsidP="00CC09AC">
      <w:pPr>
        <w:pStyle w:val="Heading3"/>
        <w:numPr>
          <w:ilvl w:val="1"/>
          <w:numId w:val="22"/>
        </w:numPr>
        <w:rPr>
          <w:rFonts w:ascii="Times New Roman" w:hAnsi="Times New Roman"/>
          <w:sz w:val="24"/>
          <w:lang w:val="bg-BG"/>
        </w:rPr>
      </w:pPr>
      <w:bookmarkStart w:id="446" w:name="_Toc146037925"/>
      <w:r w:rsidRPr="007676CF">
        <w:rPr>
          <w:rFonts w:ascii="Times New Roman" w:hAnsi="Times New Roman"/>
          <w:sz w:val="24"/>
          <w:lang w:val="bg-BG"/>
        </w:rPr>
        <w:t>Бюджет на Народното събрание</w:t>
      </w:r>
      <w:bookmarkEnd w:id="435"/>
      <w:bookmarkEnd w:id="436"/>
      <w:bookmarkEnd w:id="437"/>
      <w:bookmarkEnd w:id="438"/>
      <w:bookmarkEnd w:id="445"/>
      <w:bookmarkEnd w:id="446"/>
    </w:p>
    <w:p w14:paraId="3BFC4AF9" w14:textId="3122F71B" w:rsidR="00B058F1" w:rsidRPr="007C7789" w:rsidRDefault="00B058F1" w:rsidP="0050524C">
      <w:pPr>
        <w:ind w:firstLine="709"/>
        <w:jc w:val="both"/>
      </w:pPr>
      <w:r w:rsidRPr="007C7789">
        <w:t>Към 31.12.202</w:t>
      </w:r>
      <w:r w:rsidRPr="004D5FFC">
        <w:rPr>
          <w:lang w:val="ru-RU"/>
        </w:rPr>
        <w:t>2</w:t>
      </w:r>
      <w:r w:rsidRPr="007C7789">
        <w:t xml:space="preserve"> г. по бюджета на Народното събрание са отчетени 1,</w:t>
      </w:r>
      <w:r w:rsidRPr="004D5FFC">
        <w:rPr>
          <w:lang w:val="ru-RU"/>
        </w:rPr>
        <w:t>76</w:t>
      </w:r>
      <w:r w:rsidRPr="007C7789">
        <w:t xml:space="preserve"> млн. лв. приходи, при предвидени със ЗДБРБ за 202</w:t>
      </w:r>
      <w:r w:rsidRPr="004D5FFC">
        <w:rPr>
          <w:lang w:val="ru-RU"/>
        </w:rPr>
        <w:t>2</w:t>
      </w:r>
      <w:r w:rsidRPr="007C7789">
        <w:t xml:space="preserve"> г. – 1,5 млн. лв., което представлява изпълнение от 1</w:t>
      </w:r>
      <w:r w:rsidRPr="004D5FFC">
        <w:rPr>
          <w:lang w:val="ru-RU"/>
        </w:rPr>
        <w:t>17</w:t>
      </w:r>
      <w:r w:rsidRPr="007C7789">
        <w:t>,</w:t>
      </w:r>
      <w:r w:rsidRPr="004D5FFC">
        <w:rPr>
          <w:lang w:val="ru-RU"/>
        </w:rPr>
        <w:t>0</w:t>
      </w:r>
      <w:r w:rsidRPr="007C7789">
        <w:t xml:space="preserve"> %. С най-голям относителен дял (</w:t>
      </w:r>
      <w:r w:rsidRPr="004D5FFC">
        <w:rPr>
          <w:lang w:val="ru-RU"/>
        </w:rPr>
        <w:t>74</w:t>
      </w:r>
      <w:r w:rsidRPr="007C7789">
        <w:t>,</w:t>
      </w:r>
      <w:r w:rsidRPr="004D5FFC">
        <w:rPr>
          <w:lang w:val="ru-RU"/>
        </w:rPr>
        <w:t>3</w:t>
      </w:r>
      <w:r w:rsidRPr="007C7789">
        <w:t xml:space="preserve"> %) са приходите от продажба на услуги, стоки и продукция, които са в размер на 1,</w:t>
      </w:r>
      <w:r w:rsidRPr="004D5FFC">
        <w:rPr>
          <w:lang w:val="ru-RU"/>
        </w:rPr>
        <w:t>3</w:t>
      </w:r>
      <w:r w:rsidRPr="007C7789">
        <w:t xml:space="preserve"> млн. лв. </w:t>
      </w:r>
    </w:p>
    <w:p w14:paraId="58D4FDE9" w14:textId="75EAA962" w:rsidR="00B058F1" w:rsidRPr="007C7789" w:rsidRDefault="00B058F1" w:rsidP="0050524C">
      <w:pPr>
        <w:ind w:firstLine="709"/>
        <w:jc w:val="both"/>
      </w:pPr>
      <w:r w:rsidRPr="007C7789">
        <w:t>Отчетените разходи към 31.12.202</w:t>
      </w:r>
      <w:r w:rsidRPr="004D5FFC">
        <w:rPr>
          <w:lang w:val="ru-RU"/>
        </w:rPr>
        <w:t>2</w:t>
      </w:r>
      <w:r w:rsidRPr="007C7789">
        <w:t xml:space="preserve"> г. по бюджета на Народното събрание са в размер на </w:t>
      </w:r>
      <w:r w:rsidRPr="004D5FFC">
        <w:rPr>
          <w:lang w:val="ru-RU"/>
        </w:rPr>
        <w:t>78</w:t>
      </w:r>
      <w:r w:rsidRPr="007C7789">
        <w:t>,</w:t>
      </w:r>
      <w:r w:rsidRPr="004D5FFC">
        <w:rPr>
          <w:lang w:val="ru-RU"/>
        </w:rPr>
        <w:t>7</w:t>
      </w:r>
      <w:r w:rsidRPr="007C7789">
        <w:t xml:space="preserve"> млн. лв., което представлява </w:t>
      </w:r>
      <w:r w:rsidRPr="004D5FFC">
        <w:rPr>
          <w:lang w:val="ru-RU"/>
        </w:rPr>
        <w:t>84</w:t>
      </w:r>
      <w:r w:rsidRPr="007C7789">
        <w:t>,6 % о</w:t>
      </w:r>
      <w:r w:rsidR="00924B08">
        <w:t>т</w:t>
      </w:r>
      <w:r w:rsidRPr="007C7789">
        <w:t xml:space="preserve"> утвърдените със ЗДБРБ за 202</w:t>
      </w:r>
      <w:r w:rsidRPr="004D5FFC">
        <w:rPr>
          <w:lang w:val="ru-RU"/>
        </w:rPr>
        <w:t>2</w:t>
      </w:r>
      <w:r w:rsidRPr="007C7789">
        <w:t xml:space="preserve"> г. средства за разходи – </w:t>
      </w:r>
      <w:r w:rsidRPr="004D5FFC">
        <w:rPr>
          <w:lang w:val="ru-RU"/>
        </w:rPr>
        <w:t>9</w:t>
      </w:r>
      <w:r w:rsidRPr="007C7789">
        <w:t xml:space="preserve">3,0 млн. лв. Разходите за персонал са </w:t>
      </w:r>
      <w:r w:rsidRPr="004D5FFC">
        <w:rPr>
          <w:lang w:val="ru-RU"/>
        </w:rPr>
        <w:t>4</w:t>
      </w:r>
      <w:r w:rsidRPr="007C7789">
        <w:t>8,</w:t>
      </w:r>
      <w:r w:rsidRPr="004D5FFC">
        <w:rPr>
          <w:lang w:val="ru-RU"/>
        </w:rPr>
        <w:t>4</w:t>
      </w:r>
      <w:r w:rsidRPr="007C7789">
        <w:t xml:space="preserve"> млн. лв., което е </w:t>
      </w:r>
      <w:r w:rsidR="00E46468">
        <w:t>88,9</w:t>
      </w:r>
      <w:r w:rsidRPr="007C7789">
        <w:t xml:space="preserve">  % от годишния разчет. Разходите за  издръжка по отчетни данни са в размер на 1</w:t>
      </w:r>
      <w:r w:rsidRPr="004D5FFC">
        <w:rPr>
          <w:lang w:val="ru-RU"/>
        </w:rPr>
        <w:t>9</w:t>
      </w:r>
      <w:r w:rsidRPr="007C7789">
        <w:t>,</w:t>
      </w:r>
      <w:r w:rsidRPr="004D5FFC">
        <w:rPr>
          <w:lang w:val="ru-RU"/>
        </w:rPr>
        <w:t>8</w:t>
      </w:r>
      <w:r w:rsidRPr="007C7789">
        <w:t xml:space="preserve"> млн. лв. и представляват </w:t>
      </w:r>
      <w:r w:rsidRPr="004D5FFC">
        <w:rPr>
          <w:lang w:val="ru-RU"/>
        </w:rPr>
        <w:t>77</w:t>
      </w:r>
      <w:r w:rsidRPr="007C7789">
        <w:t>,</w:t>
      </w:r>
      <w:r w:rsidRPr="004D5FFC">
        <w:rPr>
          <w:lang w:val="ru-RU"/>
        </w:rPr>
        <w:t>9</w:t>
      </w:r>
      <w:r w:rsidRPr="007C7789">
        <w:t xml:space="preserve"> % от утвърдените средства по закон </w:t>
      </w:r>
      <w:r w:rsidRPr="007C7789">
        <w:rPr>
          <w:lang w:val="ru-RU"/>
        </w:rPr>
        <w:t>(вкл. резерва за непредвидени и неотложни разходи)</w:t>
      </w:r>
      <w:r w:rsidRPr="007C7789">
        <w:t>. Капиталовите разходи, извършени през 202</w:t>
      </w:r>
      <w:r w:rsidRPr="004D5FFC">
        <w:rPr>
          <w:lang w:val="ru-RU"/>
        </w:rPr>
        <w:t>2</w:t>
      </w:r>
      <w:r w:rsidRPr="007C7789">
        <w:t xml:space="preserve"> г., са в размер на </w:t>
      </w:r>
      <w:r w:rsidRPr="004D5FFC">
        <w:rPr>
          <w:lang w:val="ru-RU"/>
        </w:rPr>
        <w:t>10</w:t>
      </w:r>
      <w:r w:rsidRPr="007C7789">
        <w:t>,</w:t>
      </w:r>
      <w:r w:rsidRPr="004D5FFC">
        <w:rPr>
          <w:lang w:val="ru-RU"/>
        </w:rPr>
        <w:t>5</w:t>
      </w:r>
      <w:r w:rsidRPr="007C7789">
        <w:t xml:space="preserve"> млн. лв.</w:t>
      </w:r>
    </w:p>
    <w:p w14:paraId="7411C966" w14:textId="77777777" w:rsidR="00D12E19" w:rsidRPr="00B058F1" w:rsidRDefault="00D12E19" w:rsidP="0050524C">
      <w:pPr>
        <w:pStyle w:val="Heading3"/>
        <w:numPr>
          <w:ilvl w:val="1"/>
          <w:numId w:val="22"/>
        </w:numPr>
        <w:jc w:val="both"/>
        <w:rPr>
          <w:rFonts w:ascii="Times New Roman" w:hAnsi="Times New Roman"/>
          <w:sz w:val="24"/>
          <w:lang w:val="bg-BG"/>
        </w:rPr>
      </w:pPr>
      <w:bookmarkStart w:id="447" w:name="_Toc83045514"/>
      <w:bookmarkStart w:id="448" w:name="_Toc146037926"/>
      <w:r w:rsidRPr="00B058F1">
        <w:rPr>
          <w:rFonts w:ascii="Times New Roman" w:hAnsi="Times New Roman"/>
          <w:sz w:val="24"/>
          <w:lang w:val="bg-BG"/>
        </w:rPr>
        <w:t>Бюджет на съдебната власт</w:t>
      </w:r>
      <w:bookmarkEnd w:id="447"/>
      <w:bookmarkEnd w:id="448"/>
    </w:p>
    <w:p w14:paraId="17EEAAFA" w14:textId="77777777" w:rsidR="00F7545D" w:rsidRPr="007C7789" w:rsidRDefault="00F7545D" w:rsidP="0050524C">
      <w:pPr>
        <w:spacing w:before="120"/>
        <w:ind w:firstLine="709"/>
        <w:jc w:val="both"/>
      </w:pPr>
      <w:r w:rsidRPr="007C7789">
        <w:t>Със ЗДБРБ за 202</w:t>
      </w:r>
      <w:r w:rsidRPr="004D5FFC">
        <w:rPr>
          <w:lang w:val="ru-RU"/>
        </w:rPr>
        <w:t>2</w:t>
      </w:r>
      <w:r w:rsidRPr="007C7789">
        <w:t xml:space="preserve"> г. са предвидени общо приходи по бюджета на съдебната власт в размер на </w:t>
      </w:r>
      <w:r w:rsidRPr="004D5FFC">
        <w:rPr>
          <w:lang w:val="ru-RU"/>
        </w:rPr>
        <w:t>95</w:t>
      </w:r>
      <w:r w:rsidRPr="007C7789">
        <w:t xml:space="preserve">,0 млн. лв., от тях </w:t>
      </w:r>
      <w:r w:rsidRPr="004D5FFC">
        <w:rPr>
          <w:lang w:val="ru-RU"/>
        </w:rPr>
        <w:t>80</w:t>
      </w:r>
      <w:r w:rsidRPr="007C7789">
        <w:t>,0 млн. лв. са приходи от съдебни такси. За 202</w:t>
      </w:r>
      <w:r w:rsidRPr="004D5FFC">
        <w:rPr>
          <w:lang w:val="ru-RU"/>
        </w:rPr>
        <w:t>2</w:t>
      </w:r>
      <w:r w:rsidRPr="007C7789">
        <w:t xml:space="preserve"> г. са отчетени приходи в размер на </w:t>
      </w:r>
      <w:r w:rsidRPr="004D5FFC">
        <w:rPr>
          <w:lang w:val="ru-RU"/>
        </w:rPr>
        <w:t>104</w:t>
      </w:r>
      <w:r w:rsidRPr="007C7789">
        <w:t>,</w:t>
      </w:r>
      <w:r w:rsidRPr="004D5FFC">
        <w:rPr>
          <w:lang w:val="ru-RU"/>
        </w:rPr>
        <w:t>5</w:t>
      </w:r>
      <w:r w:rsidRPr="007C7789">
        <w:t xml:space="preserve"> млн. лв. (</w:t>
      </w:r>
      <w:r w:rsidRPr="00977599">
        <w:t>110</w:t>
      </w:r>
      <w:r w:rsidRPr="007C7789">
        <w:t>,</w:t>
      </w:r>
      <w:r w:rsidRPr="00977599">
        <w:t>0</w:t>
      </w:r>
      <w:r w:rsidRPr="007C7789">
        <w:t xml:space="preserve"> % </w:t>
      </w:r>
      <w:r w:rsidRPr="00977599">
        <w:t>спрямо</w:t>
      </w:r>
      <w:r w:rsidRPr="007C7789">
        <w:t xml:space="preserve"> планираните), от които 8</w:t>
      </w:r>
      <w:r w:rsidRPr="00977599">
        <w:t>7</w:t>
      </w:r>
      <w:r w:rsidRPr="007C7789">
        <w:t>,</w:t>
      </w:r>
      <w:r w:rsidRPr="00977599">
        <w:t>9</w:t>
      </w:r>
      <w:r w:rsidRPr="007C7789">
        <w:t xml:space="preserve"> млн. лв. - приходи от съдебни такси. За сравнение, през 202</w:t>
      </w:r>
      <w:r w:rsidRPr="00977599">
        <w:t>1</w:t>
      </w:r>
      <w:r w:rsidRPr="007C7789">
        <w:t xml:space="preserve"> г. са отчетени общо неданъчни приходи в размер на 9</w:t>
      </w:r>
      <w:r w:rsidRPr="00977599">
        <w:t>9</w:t>
      </w:r>
      <w:r w:rsidRPr="007C7789">
        <w:t>,</w:t>
      </w:r>
      <w:r w:rsidRPr="00977599">
        <w:t>8</w:t>
      </w:r>
      <w:r w:rsidRPr="007C7789">
        <w:t xml:space="preserve"> млн. лв., от които 8</w:t>
      </w:r>
      <w:r w:rsidRPr="00977599">
        <w:t>3</w:t>
      </w:r>
      <w:r w:rsidRPr="007C7789">
        <w:t>,</w:t>
      </w:r>
      <w:r w:rsidRPr="00977599">
        <w:t>2</w:t>
      </w:r>
      <w:r w:rsidRPr="007C7789">
        <w:t xml:space="preserve"> млн. лв. - приходи от съдебни такси.</w:t>
      </w:r>
    </w:p>
    <w:p w14:paraId="3A21ECE5" w14:textId="385DA579" w:rsidR="00F7545D" w:rsidRPr="007C7789" w:rsidRDefault="00F7545D" w:rsidP="0050524C">
      <w:pPr>
        <w:ind w:firstLine="709"/>
        <w:jc w:val="both"/>
        <w:rPr>
          <w:color w:val="0070C0"/>
        </w:rPr>
      </w:pPr>
      <w:r w:rsidRPr="00A0463B">
        <w:t xml:space="preserve">Разходите по бюджета на съдебната власт за 2022 г. са в размер на 957,6 млн. лв. или 102,0 % </w:t>
      </w:r>
      <w:r w:rsidR="00924B08">
        <w:t>спрямо</w:t>
      </w:r>
      <w:r w:rsidRPr="00A0463B">
        <w:t xml:space="preserve"> планираните за годината 938,7 млн. лв. За сравнение, през 2021 г. са отчетени разходи в размер 850,9 млн. лв., които представляват 96,7 % от определените с годишния закон 880,3 млн. лв. За 2022 г. с най-голям относителен дял в разходите са тези за персонал – 89,6 % (858,1 млн. лв.). Отчетените средства за издръжка са 79,4 млн. лв. при разчетени 84,2 млн. лв., а капиталовите разходи са 20,1 млн. лв. при планирани 26,4 млн. лева. </w:t>
      </w:r>
    </w:p>
    <w:p w14:paraId="2E56EACF" w14:textId="7113F4B4" w:rsidR="006506F4" w:rsidRPr="0038396E" w:rsidRDefault="006506F4" w:rsidP="004D74B5">
      <w:pPr>
        <w:pStyle w:val="Heading2"/>
        <w:numPr>
          <w:ilvl w:val="1"/>
          <w:numId w:val="4"/>
        </w:numPr>
        <w:rPr>
          <w:rFonts w:ascii="Times New Roman" w:hAnsi="Times New Roman" w:cs="Times New Roman"/>
          <w:i w:val="0"/>
          <w:iCs w:val="0"/>
          <w:sz w:val="24"/>
        </w:rPr>
      </w:pPr>
      <w:bookmarkStart w:id="449" w:name="_Toc146037927"/>
      <w:bookmarkEnd w:id="439"/>
      <w:r w:rsidRPr="0038396E">
        <w:rPr>
          <w:rFonts w:ascii="Times New Roman" w:hAnsi="Times New Roman" w:cs="Times New Roman"/>
          <w:i w:val="0"/>
          <w:iCs w:val="0"/>
          <w:sz w:val="24"/>
        </w:rPr>
        <w:t>Бюджети на общините</w:t>
      </w:r>
      <w:bookmarkEnd w:id="449"/>
    </w:p>
    <w:p w14:paraId="5C893435" w14:textId="6BC2B7C6" w:rsidR="0038396E" w:rsidRPr="008C6D1E" w:rsidRDefault="0038396E" w:rsidP="0038396E">
      <w:pPr>
        <w:tabs>
          <w:tab w:val="left" w:pos="708"/>
          <w:tab w:val="center" w:pos="4153"/>
          <w:tab w:val="right" w:pos="8306"/>
        </w:tabs>
        <w:spacing w:before="120"/>
        <w:ind w:firstLine="709"/>
        <w:jc w:val="both"/>
        <w:rPr>
          <w:color w:val="4F81BD" w:themeColor="accent1"/>
        </w:rPr>
      </w:pPr>
      <w:bookmarkStart w:id="450" w:name="_Toc261276603"/>
      <w:bookmarkStart w:id="451" w:name="_Toc324863440"/>
      <w:bookmarkStart w:id="452" w:name="_Toc393728091"/>
      <w:r w:rsidRPr="008C6D1E">
        <w:t xml:space="preserve">През </w:t>
      </w:r>
      <w:r w:rsidRPr="00264263">
        <w:t>2022</w:t>
      </w:r>
      <w:r w:rsidRPr="008C6D1E">
        <w:t xml:space="preserve"> г. постъпилите по бюджетите на общините </w:t>
      </w:r>
      <w:r w:rsidRPr="008C6D1E">
        <w:rPr>
          <w:b/>
        </w:rPr>
        <w:t>приходи, помощи и дарения</w:t>
      </w:r>
      <w:r w:rsidRPr="008C6D1E">
        <w:t xml:space="preserve"> са в размер на </w:t>
      </w:r>
      <w:r w:rsidRPr="008C6D1E">
        <w:rPr>
          <w:color w:val="4F81BD" w:themeColor="accent1"/>
        </w:rPr>
        <w:t xml:space="preserve"> </w:t>
      </w:r>
      <w:r>
        <w:t>3</w:t>
      </w:r>
      <w:r w:rsidR="0008473F">
        <w:t> </w:t>
      </w:r>
      <w:r>
        <w:t>14</w:t>
      </w:r>
      <w:r w:rsidR="0008473F">
        <w:t>6,9</w:t>
      </w:r>
      <w:r w:rsidRPr="00264263">
        <w:rPr>
          <w:bCs/>
        </w:rPr>
        <w:t> м</w:t>
      </w:r>
      <w:r w:rsidRPr="00264263">
        <w:t>лн. лв., което e</w:t>
      </w:r>
      <w:r>
        <w:t xml:space="preserve"> с 392,</w:t>
      </w:r>
      <w:r w:rsidR="0008473F">
        <w:t>5</w:t>
      </w:r>
      <w:r w:rsidRPr="00264263">
        <w:t xml:space="preserve"> млн. лв. повече спрямо разчетените по КФП за 2022 г. постъпления в разме</w:t>
      </w:r>
      <w:r>
        <w:t>р на 2 754,4 млн. лв., или 114,</w:t>
      </w:r>
      <w:r w:rsidR="0008473F">
        <w:t>2 процента</w:t>
      </w:r>
      <w:r w:rsidRPr="00264263">
        <w:t>. В сравнение с 2021 г. събраните през 2022 г. приходи п</w:t>
      </w:r>
      <w:r>
        <w:t>о бюджетите на общините са с 2</w:t>
      </w:r>
      <w:r w:rsidR="0008473F">
        <w:t>89,9</w:t>
      </w:r>
      <w:r>
        <w:t xml:space="preserve"> млн. лв. повече, или 110,</w:t>
      </w:r>
      <w:r w:rsidR="0008473F">
        <w:t>1 процента</w:t>
      </w:r>
      <w:r w:rsidRPr="00264263">
        <w:t>.</w:t>
      </w:r>
      <w:r w:rsidRPr="00264263">
        <w:rPr>
          <w:i/>
        </w:rPr>
        <w:t xml:space="preserve"> </w:t>
      </w:r>
      <w:r w:rsidRPr="00264263">
        <w:t>Данъчните приходи по общинските бюджети възлизат на 1 366,1 млн. лв. и формират 43,4</w:t>
      </w:r>
      <w:r w:rsidR="0008473F">
        <w:t xml:space="preserve"> </w:t>
      </w:r>
      <w:r w:rsidRPr="00264263">
        <w:t>% от общия размер на приходите и помощите по бюджетите на общините. В сравнение с 2021 г. тези постъпления са нараснали с 56,4 млн. лв. или с 4,3</w:t>
      </w:r>
      <w:r w:rsidR="0008473F">
        <w:t xml:space="preserve"> процента</w:t>
      </w:r>
      <w:r w:rsidRPr="00264263">
        <w:t>. Спрямо годишния разчет за 2022 г. изпълнението на данъчните приходи по общинските бюджети е 107,7</w:t>
      </w:r>
      <w:r w:rsidR="0008473F">
        <w:t xml:space="preserve"> процента</w:t>
      </w:r>
      <w:r w:rsidRPr="00264263">
        <w:t xml:space="preserve">. </w:t>
      </w:r>
      <w:r w:rsidRPr="008C6D1E">
        <w:rPr>
          <w:color w:val="4F81BD" w:themeColor="accent1"/>
        </w:rPr>
        <w:t xml:space="preserve"> </w:t>
      </w:r>
      <w:r w:rsidRPr="008C6D1E">
        <w:t xml:space="preserve">Данъчните приходи на общините включват постъпления от патентен данък и данък върху </w:t>
      </w:r>
      <w:r w:rsidRPr="000F739F">
        <w:t xml:space="preserve">таксиметров превоз на пътници (12,7 млн. лв.), данък върху недвижимите имоти (389,2 млн. лв.), данък върху превозните </w:t>
      </w:r>
      <w:r w:rsidRPr="003E502C">
        <w:t>средства (405,4 млн. лв.), данък при придобиване на имущество по дарения и възмезден начин (535,0 млн. лв.), туристически данък (23,5 млн. лв.), данък върху наследствата (0,2 млн. лв.) и други данъци (0,03</w:t>
      </w:r>
      <w:r w:rsidRPr="003E502C">
        <w:rPr>
          <w:lang w:val="ru-RU"/>
        </w:rPr>
        <w:t xml:space="preserve"> </w:t>
      </w:r>
      <w:r w:rsidRPr="003E502C">
        <w:t xml:space="preserve"> млн. лв.). </w:t>
      </w:r>
      <w:r w:rsidRPr="00E101D8">
        <w:rPr>
          <w:lang w:val="ru-RU"/>
        </w:rPr>
        <w:t>Изпълнението на имуществените данъци бележи ръст през 2022 г. спрямо предходната година, като най-голямо увеличение се наблюдава по отношение на данъка при придобиване на имущество по дарени</w:t>
      </w:r>
      <w:r w:rsidR="0008473F">
        <w:rPr>
          <w:lang w:val="ru-RU"/>
        </w:rPr>
        <w:t>я</w:t>
      </w:r>
      <w:r w:rsidRPr="00E101D8">
        <w:rPr>
          <w:lang w:val="ru-RU"/>
        </w:rPr>
        <w:t xml:space="preserve"> и възмезден начин – с 38,6 млн. лв. повече спрямо 2021 г. Изпълнението на данъчните приходи като цяло надвишава и разчетите по КФП за 2022 г., като най-голямо превишение се отчита отново при данъка при придобиване на имущество по дарени</w:t>
      </w:r>
      <w:r w:rsidR="0008473F">
        <w:rPr>
          <w:lang w:val="ru-RU"/>
        </w:rPr>
        <w:t>я</w:t>
      </w:r>
      <w:r w:rsidRPr="00E101D8">
        <w:rPr>
          <w:lang w:val="ru-RU"/>
        </w:rPr>
        <w:t xml:space="preserve"> и възмезден начин – с 96,3 млн. лв. или 22,0</w:t>
      </w:r>
      <w:r w:rsidR="0008473F">
        <w:rPr>
          <w:lang w:val="ru-RU"/>
        </w:rPr>
        <w:t xml:space="preserve"> процента</w:t>
      </w:r>
      <w:r w:rsidRPr="00E101D8">
        <w:rPr>
          <w:lang w:val="ru-RU"/>
        </w:rPr>
        <w:t xml:space="preserve">. </w:t>
      </w:r>
      <w:r w:rsidRPr="008C6D1E">
        <w:rPr>
          <w:color w:val="4F81BD" w:themeColor="accent1"/>
        </w:rPr>
        <w:t xml:space="preserve"> </w:t>
      </w:r>
    </w:p>
    <w:p w14:paraId="16A4AC53" w14:textId="0639C2EF" w:rsidR="0038396E" w:rsidRDefault="0038396E" w:rsidP="0038396E">
      <w:pPr>
        <w:tabs>
          <w:tab w:val="left" w:pos="708"/>
          <w:tab w:val="center" w:pos="4153"/>
          <w:tab w:val="right" w:pos="8306"/>
        </w:tabs>
        <w:ind w:firstLine="709"/>
        <w:jc w:val="both"/>
        <w:rPr>
          <w:lang w:val="ru-RU"/>
        </w:rPr>
      </w:pPr>
      <w:r w:rsidRPr="00145052">
        <w:t>Преобладаваща част (55,8 %) от приходите, помощите и даренията на общините заемат неданъчните постъпления, които за 2022 г</w:t>
      </w:r>
      <w:r w:rsidRPr="00B6375E">
        <w:t>. са 1</w:t>
      </w:r>
      <w:r w:rsidR="0008473F">
        <w:t> </w:t>
      </w:r>
      <w:r w:rsidRPr="00B6375E">
        <w:t>75</w:t>
      </w:r>
      <w:r w:rsidR="0008473F">
        <w:t>6,0</w:t>
      </w:r>
      <w:r w:rsidRPr="00B6375E">
        <w:t xml:space="preserve"> млн. лв. и представляват 119,</w:t>
      </w:r>
      <w:r w:rsidR="009A573D">
        <w:t>4</w:t>
      </w:r>
      <w:r w:rsidRPr="00B6375E">
        <w:t xml:space="preserve"> на сто спрямо годишните разчети и 114,9 % спрямо отчетените за 2021 г. От тях с най-голям относителен дял (55,6 %) са постъпленията от общински такси, които са в размер на 977,</w:t>
      </w:r>
      <w:r w:rsidR="009A573D">
        <w:t>2</w:t>
      </w:r>
      <w:r w:rsidRPr="00B6375E">
        <w:t xml:space="preserve"> млн. лева</w:t>
      </w:r>
      <w:r w:rsidRPr="00B6375E">
        <w:rPr>
          <w:lang w:val="ru-RU"/>
        </w:rPr>
        <w:t>.</w:t>
      </w:r>
      <w:r w:rsidRPr="00B6375E">
        <w:t xml:space="preserve"> Изпълнението им е </w:t>
      </w:r>
      <w:r w:rsidRPr="00B6375E">
        <w:rPr>
          <w:lang w:val="ru-RU"/>
        </w:rPr>
        <w:t>104</w:t>
      </w:r>
      <w:r w:rsidRPr="00B6375E">
        <w:t>,</w:t>
      </w:r>
      <w:r w:rsidR="009A573D">
        <w:t>8</w:t>
      </w:r>
      <w:r w:rsidRPr="00B6375E">
        <w:t xml:space="preserve"> % спрямо предходната година и </w:t>
      </w:r>
      <w:r w:rsidRPr="00B6375E">
        <w:rPr>
          <w:lang w:val="ru-RU"/>
        </w:rPr>
        <w:t>108,</w:t>
      </w:r>
      <w:r w:rsidR="009A573D">
        <w:rPr>
          <w:lang w:val="ru-RU"/>
        </w:rPr>
        <w:t>3</w:t>
      </w:r>
      <w:r w:rsidRPr="00B6375E">
        <w:t xml:space="preserve"> % спрямо разчетените за 2022 г.  </w:t>
      </w:r>
      <w:r w:rsidRPr="00B6375E">
        <w:rPr>
          <w:lang w:val="ru-RU"/>
        </w:rPr>
        <w:t>Измежду общинските такси традиционно с най-голям дял е таксата за битови отпадъци, като през 2022 г. тя формира 77,0</w:t>
      </w:r>
      <w:r w:rsidR="009A573D">
        <w:rPr>
          <w:lang w:val="ru-RU"/>
        </w:rPr>
        <w:t xml:space="preserve"> </w:t>
      </w:r>
      <w:r w:rsidRPr="00B6375E">
        <w:rPr>
          <w:lang w:val="ru-RU"/>
        </w:rPr>
        <w:t xml:space="preserve">% от всички общински такси. Изпълнението на такса битови отпадъци е в размер на 752,1 млн. лв., което представлява </w:t>
      </w:r>
      <w:r>
        <w:rPr>
          <w:lang w:val="ru-RU"/>
        </w:rPr>
        <w:t>104,0</w:t>
      </w:r>
      <w:r w:rsidR="009A573D">
        <w:rPr>
          <w:lang w:val="ru-RU"/>
        </w:rPr>
        <w:t xml:space="preserve"> </w:t>
      </w:r>
      <w:r>
        <w:rPr>
          <w:lang w:val="ru-RU"/>
        </w:rPr>
        <w:t>% спрямо</w:t>
      </w:r>
      <w:r w:rsidRPr="00B6375E">
        <w:rPr>
          <w:lang w:val="ru-RU"/>
        </w:rPr>
        <w:t xml:space="preserve"> годишния разчет за 2022 г. и 105,4</w:t>
      </w:r>
      <w:r w:rsidR="009A573D">
        <w:rPr>
          <w:lang w:val="ru-RU"/>
        </w:rPr>
        <w:t xml:space="preserve"> </w:t>
      </w:r>
      <w:r w:rsidRPr="00B6375E">
        <w:rPr>
          <w:lang w:val="ru-RU"/>
        </w:rPr>
        <w:t>% спрямо предходната 2021 година.</w:t>
      </w:r>
    </w:p>
    <w:p w14:paraId="4673A22D" w14:textId="472C451D" w:rsidR="0038396E" w:rsidRPr="001C70E3" w:rsidRDefault="0038396E" w:rsidP="0038396E">
      <w:pPr>
        <w:tabs>
          <w:tab w:val="left" w:pos="708"/>
          <w:tab w:val="center" w:pos="4153"/>
          <w:tab w:val="right" w:pos="8306"/>
        </w:tabs>
        <w:ind w:firstLine="709"/>
        <w:jc w:val="both"/>
      </w:pPr>
      <w:r w:rsidRPr="001C70E3">
        <w:t>По отношение на изпълнението спрямо годишния разчет всички общински такси бележат превишение, като то е най-голямо при таксата за технически услуги (134,4</w:t>
      </w:r>
      <w:r w:rsidR="009A573D">
        <w:t xml:space="preserve"> </w:t>
      </w:r>
      <w:r w:rsidRPr="001C70E3">
        <w:t>%), таксата за ползване на гробни места (134,0</w:t>
      </w:r>
      <w:r w:rsidR="009A573D">
        <w:t xml:space="preserve"> </w:t>
      </w:r>
      <w:r w:rsidRPr="001C70E3">
        <w:t>%), други общински такси (126,9</w:t>
      </w:r>
      <w:r w:rsidR="009A573D">
        <w:t xml:space="preserve"> </w:t>
      </w:r>
      <w:r w:rsidRPr="001C70E3">
        <w:t xml:space="preserve">%), таксата за </w:t>
      </w:r>
      <w:r>
        <w:t>административни услуги (117,1</w:t>
      </w:r>
      <w:r w:rsidR="009A573D">
        <w:t xml:space="preserve"> </w:t>
      </w:r>
      <w:r>
        <w:t>%) и</w:t>
      </w:r>
      <w:r w:rsidRPr="001C70E3">
        <w:t xml:space="preserve"> таксата за ползване на домашен социален патронаж </w:t>
      </w:r>
      <w:r w:rsidR="009A573D">
        <w:t xml:space="preserve">и други общински социални услуги </w:t>
      </w:r>
      <w:r w:rsidRPr="001C70E3">
        <w:t>(117,0</w:t>
      </w:r>
      <w:r w:rsidR="009A573D">
        <w:t xml:space="preserve"> </w:t>
      </w:r>
      <w:r w:rsidRPr="001C70E3">
        <w:t xml:space="preserve">%). </w:t>
      </w:r>
    </w:p>
    <w:p w14:paraId="5D2170C3" w14:textId="3544ECA8" w:rsidR="0038396E" w:rsidRPr="00B6375E" w:rsidRDefault="0038396E" w:rsidP="0038396E">
      <w:pPr>
        <w:tabs>
          <w:tab w:val="left" w:pos="708"/>
          <w:tab w:val="center" w:pos="4153"/>
          <w:tab w:val="right" w:pos="8306"/>
        </w:tabs>
        <w:ind w:firstLine="709"/>
        <w:jc w:val="both"/>
        <w:rPr>
          <w:color w:val="4F81BD" w:themeColor="accent1"/>
          <w:lang w:val="ru-RU"/>
        </w:rPr>
      </w:pPr>
      <w:r>
        <w:t>Във връзка с</w:t>
      </w:r>
      <w:r w:rsidRPr="001C70E3">
        <w:t xml:space="preserve"> изпълнениет</w:t>
      </w:r>
      <w:r>
        <w:t>о спрямо предходната 2021 г.</w:t>
      </w:r>
      <w:r w:rsidRPr="001C70E3">
        <w:t xml:space="preserve"> следва да се отчете нормативната промяна в Закона за местните данъци и такси, свързана с отпадането от 1 април 2022 г. на таксите за </w:t>
      </w:r>
      <w:r w:rsidR="00C53EFF">
        <w:t xml:space="preserve">ползване на </w:t>
      </w:r>
      <w:r w:rsidRPr="001C70E3">
        <w:t>детски градини и детски ясли, за които в постъпленията през 2022 г. се наблюдава очаквания спад. Всички останали общински такси бележат ръст спрямо предходната година, като най-голямо увеличение в абсолютен размер се наблюдава по отношение на таксата за битови отпадъци – с 38,5 млн. лв. повече или 105,4</w:t>
      </w:r>
      <w:r w:rsidR="00C53EFF">
        <w:t xml:space="preserve"> </w:t>
      </w:r>
      <w:r w:rsidRPr="001C70E3">
        <w:t>% спрямо предходната година, таксата за технически услуги – с 15,2 млн. лв. или 124,1</w:t>
      </w:r>
      <w:r w:rsidR="00C53EFF">
        <w:t xml:space="preserve"> </w:t>
      </w:r>
      <w:r w:rsidRPr="001C70E3">
        <w:t>% спрямо предходната година, таксата за ползване на домашен социален патронаж – с 6,</w:t>
      </w:r>
      <w:r w:rsidR="00C53EFF">
        <w:t>4</w:t>
      </w:r>
      <w:r w:rsidRPr="001C70E3">
        <w:t xml:space="preserve"> млн. лв. повече или 126,</w:t>
      </w:r>
      <w:r w:rsidR="00C53EFF">
        <w:t xml:space="preserve">0 </w:t>
      </w:r>
      <w:r w:rsidRPr="001C70E3">
        <w:t>% спрямо предходната година и таксата за ползване на пазари, тържища, панаири, тротоари, улични платна – с 6,0 млн. повече или 119,7% спрямо предходната 2021 година.</w:t>
      </w:r>
    </w:p>
    <w:p w14:paraId="66EFCF91" w14:textId="39CF8D5C" w:rsidR="0038396E" w:rsidRPr="008C6D1E" w:rsidRDefault="0038396E" w:rsidP="0038396E">
      <w:pPr>
        <w:tabs>
          <w:tab w:val="left" w:pos="708"/>
          <w:tab w:val="center" w:pos="4153"/>
          <w:tab w:val="right" w:pos="8306"/>
        </w:tabs>
        <w:ind w:firstLine="709"/>
        <w:jc w:val="both"/>
        <w:rPr>
          <w:color w:val="4F81BD" w:themeColor="accent1"/>
        </w:rPr>
      </w:pPr>
      <w:r w:rsidRPr="007945EF">
        <w:t xml:space="preserve">Приходите и доходите от общинска </w:t>
      </w:r>
      <w:r w:rsidRPr="00E408CE">
        <w:t>собственост п</w:t>
      </w:r>
      <w:r w:rsidR="00D72290">
        <w:t>рез 2022 г. са в размер на 371,0</w:t>
      </w:r>
      <w:r w:rsidRPr="00E408CE">
        <w:t xml:space="preserve"> млн. лв., 117,</w:t>
      </w:r>
      <w:r w:rsidR="00D72290">
        <w:t>4</w:t>
      </w:r>
      <w:r w:rsidRPr="00E408CE">
        <w:t xml:space="preserve"> % спрямо разчетите към ЗДБРБ</w:t>
      </w:r>
      <w:r w:rsidR="00D72290">
        <w:t xml:space="preserve"> за 2022 г. и формират 21,1</w:t>
      </w:r>
      <w:r w:rsidRPr="00E408CE">
        <w:t xml:space="preserve"> % от неданъчните приходи, постъпили по </w:t>
      </w:r>
      <w:r w:rsidRPr="00A16866">
        <w:t>общинските бюджети за годината. Съпоставени с 2021 г., те бележат увеличение с 5</w:t>
      </w:r>
      <w:r w:rsidR="00D72290">
        <w:t>7,7</w:t>
      </w:r>
      <w:r w:rsidRPr="00A16866">
        <w:t xml:space="preserve"> млн. лв. или 1</w:t>
      </w:r>
      <w:r w:rsidRPr="00A16866">
        <w:rPr>
          <w:lang w:val="ru-RU"/>
        </w:rPr>
        <w:t>8</w:t>
      </w:r>
      <w:r w:rsidRPr="00A16866">
        <w:t>,</w:t>
      </w:r>
      <w:r w:rsidR="00D72290">
        <w:t>4</w:t>
      </w:r>
      <w:r w:rsidRPr="00A16866">
        <w:t xml:space="preserve"> </w:t>
      </w:r>
      <w:r w:rsidR="00D72290">
        <w:t>процента</w:t>
      </w:r>
      <w:r w:rsidRPr="00A16866">
        <w:t xml:space="preserve">. </w:t>
      </w:r>
    </w:p>
    <w:p w14:paraId="18FAC8A4" w14:textId="73C6B46A" w:rsidR="0038396E" w:rsidRPr="008C6D1E" w:rsidRDefault="0038396E" w:rsidP="0038396E">
      <w:pPr>
        <w:tabs>
          <w:tab w:val="left" w:pos="708"/>
          <w:tab w:val="center" w:pos="4153"/>
          <w:tab w:val="right" w:pos="8306"/>
        </w:tabs>
        <w:ind w:firstLine="709"/>
        <w:jc w:val="both"/>
        <w:rPr>
          <w:color w:val="4F81BD" w:themeColor="accent1"/>
        </w:rPr>
      </w:pPr>
      <w:r w:rsidRPr="00A16866">
        <w:t>Приходите от продажба на нефинансови активи превишават разчета по КФП за 20</w:t>
      </w:r>
      <w:r w:rsidRPr="001943B8">
        <w:t xml:space="preserve">22 г. – изпълнението е 175,0 %, като нарастват значително спрямо предходната 2021 г. – с 63,4 </w:t>
      </w:r>
      <w:r w:rsidR="00D72290">
        <w:t>процента</w:t>
      </w:r>
      <w:r w:rsidRPr="001943B8">
        <w:t>.</w:t>
      </w:r>
    </w:p>
    <w:p w14:paraId="67F002AF" w14:textId="0EACA7C9" w:rsidR="0038396E" w:rsidRPr="001943B8" w:rsidRDefault="0038396E" w:rsidP="0038396E">
      <w:pPr>
        <w:tabs>
          <w:tab w:val="left" w:pos="708"/>
          <w:tab w:val="center" w:pos="4153"/>
          <w:tab w:val="right" w:pos="8306"/>
        </w:tabs>
        <w:ind w:firstLine="709"/>
        <w:jc w:val="both"/>
      </w:pPr>
      <w:r w:rsidRPr="001943B8">
        <w:t>Ръст спрямо предходната година от 4</w:t>
      </w:r>
      <w:r w:rsidR="00D72290">
        <w:t>7,5</w:t>
      </w:r>
      <w:r w:rsidRPr="001943B8">
        <w:t xml:space="preserve"> % се наблюдава и по отношение на други неданъчни приходи, което е свързано със специфичния  начин на отчитане на средствата за предоставена лична помощ и прекласифицирането на получения трансфер от АСП като приход.</w:t>
      </w:r>
    </w:p>
    <w:p w14:paraId="7DA3DBDF" w14:textId="5C8FDD06" w:rsidR="0038396E" w:rsidRPr="00565E6A" w:rsidRDefault="0038396E" w:rsidP="0038396E">
      <w:pPr>
        <w:tabs>
          <w:tab w:val="left" w:pos="708"/>
          <w:tab w:val="center" w:pos="4153"/>
          <w:tab w:val="right" w:pos="8306"/>
        </w:tabs>
        <w:ind w:firstLine="709"/>
        <w:jc w:val="both"/>
      </w:pPr>
      <w:r w:rsidRPr="00565E6A">
        <w:t xml:space="preserve">Приходите от концесии възлизат на </w:t>
      </w:r>
      <w:r w:rsidRPr="00565E6A">
        <w:rPr>
          <w:lang w:val="ru-RU"/>
        </w:rPr>
        <w:t>66</w:t>
      </w:r>
      <w:r w:rsidRPr="00565E6A">
        <w:t>,</w:t>
      </w:r>
      <w:r w:rsidR="00D72290">
        <w:t>6</w:t>
      </w:r>
      <w:r w:rsidRPr="00565E6A">
        <w:t xml:space="preserve"> млн. лв. Спрямо предходната година те нарастват с 29,</w:t>
      </w:r>
      <w:r w:rsidR="00D72290">
        <w:t>3</w:t>
      </w:r>
      <w:r w:rsidRPr="00565E6A">
        <w:t xml:space="preserve"> %, а спрямо годишния разчет – с 44,</w:t>
      </w:r>
      <w:r w:rsidR="00D72290">
        <w:t>6</w:t>
      </w:r>
      <w:r w:rsidRPr="00565E6A">
        <w:t xml:space="preserve"> %. Постъпленията от глоби, санкции и наказателни лихви възлизат на 86,1 млн. лв., което е 104,1 % спрямо разчета за 2022 г., като бележат увеличение и спрямо предходната 2021 г. - с 1,</w:t>
      </w:r>
      <w:r w:rsidRPr="00565E6A">
        <w:rPr>
          <w:lang w:val="ru-RU"/>
        </w:rPr>
        <w:t>1</w:t>
      </w:r>
      <w:r w:rsidRPr="00565E6A">
        <w:t xml:space="preserve"> %.</w:t>
      </w:r>
    </w:p>
    <w:p w14:paraId="1236F439" w14:textId="77777777" w:rsidR="0038396E" w:rsidRPr="00F61FAC" w:rsidRDefault="0038396E" w:rsidP="0038396E">
      <w:pPr>
        <w:tabs>
          <w:tab w:val="left" w:pos="708"/>
          <w:tab w:val="center" w:pos="4153"/>
          <w:tab w:val="right" w:pos="8306"/>
        </w:tabs>
        <w:ind w:firstLine="709"/>
        <w:jc w:val="both"/>
      </w:pPr>
      <w:r w:rsidRPr="00F61FAC">
        <w:t>През 2022 г. по общинските бюджети са постъпили 24,9 млн. лв. приходи от помощи и дарения, което представлява 159,1% спрямо разчетените за годината 15,7 млн. лв. и 132,5 % спрямо отчетените през 2021 г.</w:t>
      </w:r>
    </w:p>
    <w:p w14:paraId="6143EC12" w14:textId="77777777" w:rsidR="0038396E" w:rsidRPr="008C6D1E" w:rsidRDefault="0038396E" w:rsidP="0038396E">
      <w:pPr>
        <w:widowControl w:val="0"/>
        <w:ind w:firstLine="720"/>
        <w:jc w:val="both"/>
        <w:rPr>
          <w:color w:val="4F81BD" w:themeColor="accent1"/>
        </w:rPr>
      </w:pPr>
      <w:r w:rsidRPr="00505E73">
        <w:t xml:space="preserve">Извършените </w:t>
      </w:r>
      <w:r w:rsidRPr="00505E73">
        <w:rPr>
          <w:b/>
        </w:rPr>
        <w:t>разходи</w:t>
      </w:r>
      <w:r w:rsidRPr="00505E73">
        <w:t xml:space="preserve"> по общинските бюджети през 2022 г. са в </w:t>
      </w:r>
      <w:r w:rsidRPr="00197181">
        <w:t xml:space="preserve">размер на 10 332,3 млн. лв., което представлява 124,3 % спрямо разчетените за </w:t>
      </w:r>
      <w:r w:rsidRPr="00321E9B">
        <w:t xml:space="preserve">годината 8 314,4 млн. лева. В сравнение с 2021 г. разходите се увеличават с </w:t>
      </w:r>
      <w:r w:rsidRPr="00321E9B">
        <w:rPr>
          <w:lang w:val="ru-RU"/>
        </w:rPr>
        <w:t xml:space="preserve"> 1 </w:t>
      </w:r>
      <w:r w:rsidRPr="00321E9B">
        <w:t>570,4 млн. лв. (17,9 %).</w:t>
      </w:r>
    </w:p>
    <w:p w14:paraId="05C465AE" w14:textId="3A3C68BC" w:rsidR="0038396E" w:rsidRPr="008C6D1E" w:rsidRDefault="0038396E" w:rsidP="0038396E">
      <w:pPr>
        <w:widowControl w:val="0"/>
        <w:ind w:firstLine="720"/>
        <w:jc w:val="both"/>
        <w:rPr>
          <w:color w:val="4F81BD" w:themeColor="accent1"/>
        </w:rPr>
      </w:pPr>
      <w:r w:rsidRPr="008C6D1E">
        <w:rPr>
          <w:color w:val="4F81BD" w:themeColor="accent1"/>
        </w:rPr>
        <w:t xml:space="preserve"> </w:t>
      </w:r>
      <w:r w:rsidRPr="00321E9B">
        <w:rPr>
          <w:b/>
          <w:i/>
        </w:rPr>
        <w:t>Нелихвените</w:t>
      </w:r>
      <w:r w:rsidRPr="00321E9B">
        <w:t xml:space="preserve"> </w:t>
      </w:r>
      <w:r w:rsidRPr="00321E9B">
        <w:rPr>
          <w:b/>
          <w:i/>
        </w:rPr>
        <w:t>р</w:t>
      </w:r>
      <w:r w:rsidRPr="00A70EE9">
        <w:rPr>
          <w:b/>
          <w:i/>
        </w:rPr>
        <w:t>азходи</w:t>
      </w:r>
      <w:r w:rsidRPr="00A70EE9">
        <w:t xml:space="preserve"> са в размер на 10 296,9 млн. лв., което представлява 124,4 % спрямо годишния разчет</w:t>
      </w:r>
      <w:r w:rsidRPr="009A01CC">
        <w:t>. Текущите нелихвени разходи са в размер на 9 03</w:t>
      </w:r>
      <w:r w:rsidR="00D72290">
        <w:t>0</w:t>
      </w:r>
      <w:r w:rsidRPr="009A01CC">
        <w:t>,</w:t>
      </w:r>
      <w:r w:rsidR="00D72290">
        <w:t>8</w:t>
      </w:r>
      <w:r w:rsidR="00A3706F" w:rsidRPr="009A01CC">
        <w:t xml:space="preserve"> </w:t>
      </w:r>
      <w:r w:rsidRPr="009A01CC">
        <w:t xml:space="preserve">млн. лв. (125,6 % спрямо разчета за годината) и бележат увеличение спрямо отчетените за предходната година с </w:t>
      </w:r>
      <w:r w:rsidRPr="009A01CC">
        <w:rPr>
          <w:lang w:val="ru-RU"/>
        </w:rPr>
        <w:t>1 273</w:t>
      </w:r>
      <w:r w:rsidRPr="009A01CC">
        <w:t>,</w:t>
      </w:r>
      <w:r w:rsidR="00D72290">
        <w:t>0</w:t>
      </w:r>
      <w:r w:rsidR="00373556" w:rsidRPr="009A01CC">
        <w:t xml:space="preserve"> </w:t>
      </w:r>
      <w:r w:rsidRPr="009A01CC">
        <w:t>млн. лв. (16,4 %), което се дължи основно на нарастването на разходите за персонал</w:t>
      </w:r>
      <w:r w:rsidRPr="009A01CC">
        <w:rPr>
          <w:lang w:val="ru-RU"/>
        </w:rPr>
        <w:t xml:space="preserve"> </w:t>
      </w:r>
      <w:r w:rsidRPr="009A01CC">
        <w:t>и разходите за издръжка</w:t>
      </w:r>
      <w:r w:rsidRPr="00C40413">
        <w:t xml:space="preserve">. В структурата на отчетените за 2022 г. </w:t>
      </w:r>
      <w:r w:rsidRPr="006A7319">
        <w:t>текущи нелихвени разходи с най-голям относителен дял са разходите за персонал – 62,7 % (5 662,</w:t>
      </w:r>
      <w:r w:rsidR="00D72290">
        <w:t>5</w:t>
      </w:r>
      <w:r w:rsidRPr="006A7319">
        <w:t xml:space="preserve"> млн. лв.), следвани от тези за издръжка (текуща издръжка, разходи за членски внос, участия в нетърговски организации и дейности и платени данъци, такси и административни санкции) </w:t>
      </w:r>
      <w:r>
        <w:t>– 29,8 % (2</w:t>
      </w:r>
      <w:r w:rsidR="00D72290">
        <w:t> </w:t>
      </w:r>
      <w:r w:rsidR="00373556">
        <w:t>68</w:t>
      </w:r>
      <w:r w:rsidR="00D72290">
        <w:t>7,2</w:t>
      </w:r>
      <w:r w:rsidRPr="006A7319">
        <w:t xml:space="preserve"> млн. лв.), разходите за субсидии – 5,2 % (473,</w:t>
      </w:r>
      <w:r w:rsidR="00D72290">
        <w:t>5</w:t>
      </w:r>
      <w:r w:rsidRPr="006A7319">
        <w:t xml:space="preserve"> млн. лв.) и текущите транс</w:t>
      </w:r>
      <w:r w:rsidRPr="00DA7D7A">
        <w:t>фери, обезщетения и помощи за домакинствата (вкл. стипендии) – 2,</w:t>
      </w:r>
      <w:r w:rsidR="002126F0">
        <w:t>3</w:t>
      </w:r>
      <w:r w:rsidR="002126F0" w:rsidRPr="00DA7D7A">
        <w:t xml:space="preserve"> </w:t>
      </w:r>
      <w:r w:rsidRPr="00DA7D7A">
        <w:t>% (</w:t>
      </w:r>
      <w:r w:rsidR="002126F0">
        <w:t>207</w:t>
      </w:r>
      <w:r w:rsidRPr="00DA7D7A">
        <w:t>,7 млн. лв.). В структурата на текущите нелихвени разходи с най-висок процент на изпълнение спрямо разчетите за 2022 г. са разходите за субсидии</w:t>
      </w:r>
      <w:r w:rsidRPr="00DA7D7A">
        <w:rPr>
          <w:lang w:val="ru-RU"/>
        </w:rPr>
        <w:t xml:space="preserve"> </w:t>
      </w:r>
      <w:r w:rsidRPr="00224D95">
        <w:rPr>
          <w:lang w:val="ru-RU"/>
        </w:rPr>
        <w:t>- 214,</w:t>
      </w:r>
      <w:r w:rsidR="00D72290">
        <w:rPr>
          <w:lang w:val="ru-RU"/>
        </w:rPr>
        <w:t>3 </w:t>
      </w:r>
      <w:r w:rsidRPr="00224D95">
        <w:rPr>
          <w:lang w:val="ru-RU"/>
        </w:rPr>
        <w:t>%</w:t>
      </w:r>
      <w:r w:rsidRPr="00224D95">
        <w:t>. Високият процент на преизпълнение по този параграф се дължи на предоставените допълнителни средства на общините от централния бюджет за вътрешноградски и междуселищни превози, които се планират в централния бюджет, както и определяните по решение на общинския съвет средства за предоставяне на субсидии за извършването на тези превози.</w:t>
      </w:r>
    </w:p>
    <w:p w14:paraId="5A7D7058" w14:textId="2427DAF9" w:rsidR="0038396E" w:rsidRPr="00D27349" w:rsidRDefault="0038396E" w:rsidP="0038396E">
      <w:pPr>
        <w:widowControl w:val="0"/>
        <w:ind w:firstLine="720"/>
        <w:jc w:val="both"/>
      </w:pPr>
      <w:r w:rsidRPr="00D27349">
        <w:t>В разходите за текуща издръжка с най-висок относителен дял са отчетените средства за външни услуги – 45,1 % (1 195,0 млн. лв.), следват средствата за материали,</w:t>
      </w:r>
      <w:r w:rsidRPr="00D27349">
        <w:rPr>
          <w:lang w:val="ru-RU"/>
        </w:rPr>
        <w:t xml:space="preserve"> </w:t>
      </w:r>
      <w:r w:rsidRPr="00D27349">
        <w:t xml:space="preserve">вода, горива и енергия – </w:t>
      </w:r>
      <w:r w:rsidRPr="00D27349">
        <w:rPr>
          <w:lang w:val="ru-RU"/>
        </w:rPr>
        <w:t>781</w:t>
      </w:r>
      <w:r w:rsidRPr="00D27349">
        <w:t>,</w:t>
      </w:r>
      <w:r w:rsidR="00D3563D" w:rsidRPr="00D3563D">
        <w:rPr>
          <w:lang w:val="ru-RU"/>
        </w:rPr>
        <w:t>1</w:t>
      </w:r>
      <w:r w:rsidRPr="00D27349">
        <w:t xml:space="preserve"> млн. лв. (29,5</w:t>
      </w:r>
      <w:r w:rsidR="00D3563D" w:rsidRPr="00070E86">
        <w:rPr>
          <w:lang w:val="ru-RU"/>
        </w:rPr>
        <w:t xml:space="preserve"> </w:t>
      </w:r>
      <w:r w:rsidRPr="00D27349">
        <w:t>%), за текущ ремонт – 364,</w:t>
      </w:r>
      <w:r w:rsidR="00D3563D" w:rsidRPr="00070E86">
        <w:rPr>
          <w:lang w:val="ru-RU"/>
        </w:rPr>
        <w:t>1</w:t>
      </w:r>
      <w:r w:rsidRPr="00D27349">
        <w:t xml:space="preserve"> млн. лв. (13,</w:t>
      </w:r>
      <w:r w:rsidR="00D3563D" w:rsidRPr="00070E86">
        <w:rPr>
          <w:lang w:val="ru-RU"/>
        </w:rPr>
        <w:t>7</w:t>
      </w:r>
      <w:r w:rsidRPr="00D27349">
        <w:t xml:space="preserve"> %), храна – 189,6 млн. лв. (7,2 %) и други разходи с по-малък относителен дял.</w:t>
      </w:r>
    </w:p>
    <w:p w14:paraId="194BB949" w14:textId="21799633" w:rsidR="0038396E" w:rsidRPr="00894B31" w:rsidRDefault="0038396E" w:rsidP="0038396E">
      <w:pPr>
        <w:pStyle w:val="BodyText"/>
        <w:spacing w:after="0"/>
        <w:ind w:firstLine="720"/>
        <w:jc w:val="both"/>
      </w:pPr>
      <w:r w:rsidRPr="00894B31">
        <w:t xml:space="preserve">Отчетените </w:t>
      </w:r>
      <w:r w:rsidR="00301DD9">
        <w:t xml:space="preserve">за </w:t>
      </w:r>
      <w:r w:rsidRPr="00894B31">
        <w:t>2022 г. капиталови  разходи от об</w:t>
      </w:r>
      <w:r>
        <w:t>щините са в размер на 1</w:t>
      </w:r>
      <w:r w:rsidR="00D3563D">
        <w:t> </w:t>
      </w:r>
      <w:r>
        <w:t>26</w:t>
      </w:r>
      <w:r w:rsidR="00D3563D" w:rsidRPr="00D3563D">
        <w:rPr>
          <w:lang w:val="ru-RU"/>
        </w:rPr>
        <w:t>6</w:t>
      </w:r>
      <w:r w:rsidR="00D3563D">
        <w:t>,0</w:t>
      </w:r>
      <w:r>
        <w:t xml:space="preserve"> </w:t>
      </w:r>
      <w:r w:rsidRPr="00894B31">
        <w:t>млн. лв., което представлява изпълнение от 116,1</w:t>
      </w:r>
      <w:r w:rsidR="00D3563D">
        <w:t xml:space="preserve"> </w:t>
      </w:r>
      <w:r w:rsidRPr="00894B31">
        <w:t>% спрямо годишния разчет за 2022 г. и 130,8</w:t>
      </w:r>
      <w:r w:rsidR="00D3563D">
        <w:t xml:space="preserve"> </w:t>
      </w:r>
      <w:r w:rsidRPr="00894B31">
        <w:t>% спрямо отчетените през 2021 г. Увеличението на отчетените общо капиталови разходи за 2022 г. с</w:t>
      </w:r>
      <w:r w:rsidR="00D3563D">
        <w:t>прямо закона е в размер на 175,7</w:t>
      </w:r>
      <w:r w:rsidRPr="00894B31">
        <w:t xml:space="preserve"> млн. лв., като съответно спрямо отчета за</w:t>
      </w:r>
      <w:r>
        <w:t xml:space="preserve"> 2021 г., те бележат ръст от 29</w:t>
      </w:r>
      <w:r w:rsidR="00D3563D">
        <w:t>8,3</w:t>
      </w:r>
      <w:r w:rsidRPr="00894B31">
        <w:t xml:space="preserve"> млн. лв., което може да се отбележи като положителна тенденция в посока на преодоляване на негативните последици за икономиката в резултат на кризата, свързана с пандемията от </w:t>
      </w:r>
      <w:r w:rsidRPr="00894B31">
        <w:rPr>
          <w:lang w:val="en-US"/>
        </w:rPr>
        <w:t>COVID</w:t>
      </w:r>
      <w:r w:rsidRPr="00894B31">
        <w:t>-19. Увеличението на капиталовите разходи е резултат от нарастването на  отчетените от общин</w:t>
      </w:r>
      <w:r>
        <w:t>ите приходи спрямо 2021 г. с 2</w:t>
      </w:r>
      <w:r w:rsidR="00D3563D">
        <w:t>89,9</w:t>
      </w:r>
      <w:r w:rsidRPr="00894B31">
        <w:t xml:space="preserve"> млн. лв.,</w:t>
      </w:r>
      <w:r>
        <w:t xml:space="preserve"> както и на целевата субсидия за</w:t>
      </w:r>
      <w:r w:rsidRPr="00894B31">
        <w:t xml:space="preserve"> капиталови разходи със 186,2 млн. лв., което дава възможност на общините да отделят повече средства за инвестиции. </w:t>
      </w:r>
    </w:p>
    <w:p w14:paraId="090FECC8" w14:textId="657382DF" w:rsidR="0038396E" w:rsidRPr="003402C4" w:rsidRDefault="0038396E" w:rsidP="0038396E">
      <w:pPr>
        <w:tabs>
          <w:tab w:val="left" w:pos="708"/>
          <w:tab w:val="center" w:pos="4153"/>
          <w:tab w:val="right" w:pos="8306"/>
        </w:tabs>
        <w:ind w:firstLine="709"/>
        <w:jc w:val="both"/>
      </w:pPr>
      <w:r w:rsidRPr="003402C4">
        <w:rPr>
          <w:i/>
        </w:rPr>
        <w:t>Разходите за лихви</w:t>
      </w:r>
      <w:r w:rsidRPr="003402C4">
        <w:t xml:space="preserve"> възлизат на 35,4 млн. лв. и са 102,3</w:t>
      </w:r>
      <w:r w:rsidR="00136175">
        <w:t xml:space="preserve"> </w:t>
      </w:r>
      <w:r w:rsidRPr="003402C4">
        <w:t>% от разчетите за 2022 г. Отчетените повече лихви, над разчетените, са извършени от общините други разходи за лихви (за забавено изпълнение по сключени договори). В сравнение с</w:t>
      </w:r>
      <w:r w:rsidR="00136175">
        <w:t xml:space="preserve"> </w:t>
      </w:r>
      <w:r w:rsidRPr="003402C4">
        <w:t>миналата година лихвените плащания са намалели с 0,9 млн. лв. Отчетените разходи за лихви по заеми от чужбина към 31.12.2022 г. са в размер на 16,2 млн. лв., по облигационни заеми са 1,7 млн. лв., по заеми към местни банки и др. лица от страната („ФЛАГ“ ЕАД, ФЕЕ и др.) са 12,3 млн. лв. Лихвите по задължения, поети от общините под формата на финансов лизинг и търговски кредит са 0,2 млн. лв.; по заеми, предоставени от централния бюджет и от др. бюджетни организации (лихви за забава) с</w:t>
      </w:r>
      <w:r w:rsidR="001A5136">
        <w:t>а 0,2 млн. лв., а отчетените други</w:t>
      </w:r>
      <w:r w:rsidRPr="003402C4">
        <w:t xml:space="preserve"> лихвени плащания (по изпълнителни листове, за забавено изпълнение по сключени договори и др.) са в размер на 4,8 млн. лв.</w:t>
      </w:r>
    </w:p>
    <w:p w14:paraId="42FB5E2B" w14:textId="251E9C76" w:rsidR="0038396E" w:rsidRPr="008C6AF4" w:rsidRDefault="0038396E" w:rsidP="0038396E">
      <w:pPr>
        <w:widowControl w:val="0"/>
        <w:ind w:firstLine="720"/>
        <w:jc w:val="both"/>
      </w:pPr>
      <w:r w:rsidRPr="008C6AF4">
        <w:rPr>
          <w:b/>
        </w:rPr>
        <w:t>Нетните трансфери/субсидии</w:t>
      </w:r>
      <w:r w:rsidRPr="008C6AF4">
        <w:t>, получени от общините през 2022 г., са в размер на 7</w:t>
      </w:r>
      <w:r w:rsidR="0022248A">
        <w:t> </w:t>
      </w:r>
      <w:r w:rsidRPr="008C6AF4">
        <w:t>6</w:t>
      </w:r>
      <w:r w:rsidR="0022248A">
        <w:t>91,2</w:t>
      </w:r>
      <w:r w:rsidRPr="008C6AF4">
        <w:t xml:space="preserve"> млн. лева. </w:t>
      </w:r>
    </w:p>
    <w:p w14:paraId="40586339" w14:textId="77777777" w:rsidR="0038396E" w:rsidRPr="00792F5A" w:rsidRDefault="0038396E" w:rsidP="0038396E">
      <w:pPr>
        <w:widowControl w:val="0"/>
        <w:ind w:firstLine="720"/>
        <w:jc w:val="both"/>
      </w:pPr>
      <w:r w:rsidRPr="008C6AF4">
        <w:t xml:space="preserve">Бюджетните взаимоотношения на общините с централния бюджет за 2022 г. възлизат на </w:t>
      </w:r>
      <w:r w:rsidRPr="00792F5A">
        <w:t>6 665,7 млн. лв., в т. ч.:</w:t>
      </w:r>
    </w:p>
    <w:p w14:paraId="19E3661D" w14:textId="77777777" w:rsidR="0038396E" w:rsidRPr="00792F5A" w:rsidRDefault="0038396E" w:rsidP="0038396E">
      <w:pPr>
        <w:widowControl w:val="0"/>
        <w:tabs>
          <w:tab w:val="left" w:pos="993"/>
        </w:tabs>
        <w:ind w:firstLine="720"/>
        <w:jc w:val="both"/>
      </w:pPr>
      <w:r w:rsidRPr="00792F5A">
        <w:t>•</w:t>
      </w:r>
      <w:r w:rsidRPr="00792F5A">
        <w:tab/>
        <w:t xml:space="preserve">обща субсидия за делегирани от държавата дейности – </w:t>
      </w:r>
      <w:r w:rsidRPr="00792F5A">
        <w:rPr>
          <w:lang w:val="ru-RU"/>
        </w:rPr>
        <w:t>5</w:t>
      </w:r>
      <w:r w:rsidRPr="00792F5A">
        <w:t> </w:t>
      </w:r>
      <w:r w:rsidRPr="00792F5A">
        <w:rPr>
          <w:lang w:val="ru-RU"/>
        </w:rPr>
        <w:t>313</w:t>
      </w:r>
      <w:r w:rsidRPr="00792F5A">
        <w:t>,</w:t>
      </w:r>
      <w:r w:rsidRPr="00792F5A">
        <w:rPr>
          <w:lang w:val="ru-RU"/>
        </w:rPr>
        <w:t>2</w:t>
      </w:r>
      <w:r w:rsidRPr="00792F5A">
        <w:t xml:space="preserve"> млн. лв.</w:t>
      </w:r>
    </w:p>
    <w:p w14:paraId="43D1294C" w14:textId="77777777" w:rsidR="0038396E" w:rsidRPr="00792F5A" w:rsidRDefault="0038396E" w:rsidP="0038396E">
      <w:pPr>
        <w:widowControl w:val="0"/>
        <w:tabs>
          <w:tab w:val="left" w:pos="993"/>
        </w:tabs>
        <w:ind w:firstLine="720"/>
        <w:jc w:val="both"/>
      </w:pPr>
      <w:r w:rsidRPr="00792F5A">
        <w:t>•</w:t>
      </w:r>
      <w:r w:rsidRPr="00792F5A">
        <w:tab/>
        <w:t>общо трансфери за местни дейности – 42</w:t>
      </w:r>
      <w:r w:rsidRPr="00792F5A">
        <w:rPr>
          <w:lang w:val="ru-RU"/>
        </w:rPr>
        <w:t>7</w:t>
      </w:r>
      <w:r w:rsidRPr="00792F5A">
        <w:t>,</w:t>
      </w:r>
      <w:r w:rsidRPr="00792F5A">
        <w:rPr>
          <w:lang w:val="ru-RU"/>
        </w:rPr>
        <w:t>2</w:t>
      </w:r>
      <w:r w:rsidRPr="00792F5A">
        <w:t xml:space="preserve"> млн. лв.</w:t>
      </w:r>
    </w:p>
    <w:p w14:paraId="4A2A1C61" w14:textId="77777777" w:rsidR="0038396E" w:rsidRPr="00792F5A" w:rsidRDefault="0038396E" w:rsidP="0038396E">
      <w:pPr>
        <w:widowControl w:val="0"/>
        <w:tabs>
          <w:tab w:val="left" w:pos="993"/>
        </w:tabs>
        <w:ind w:firstLine="720"/>
        <w:jc w:val="both"/>
      </w:pPr>
      <w:r w:rsidRPr="00792F5A">
        <w:t>•</w:t>
      </w:r>
      <w:r w:rsidRPr="00792F5A">
        <w:tab/>
        <w:t xml:space="preserve">целева субсидия за капиталови разходи – </w:t>
      </w:r>
      <w:r w:rsidRPr="00792F5A">
        <w:rPr>
          <w:lang w:val="ru-RU"/>
        </w:rPr>
        <w:t>373,6</w:t>
      </w:r>
      <w:r w:rsidRPr="00792F5A">
        <w:t xml:space="preserve"> млн. лв. </w:t>
      </w:r>
    </w:p>
    <w:p w14:paraId="4C8F91ED" w14:textId="77777777" w:rsidR="0038396E" w:rsidRPr="00792F5A" w:rsidRDefault="0038396E" w:rsidP="0038396E">
      <w:pPr>
        <w:widowControl w:val="0"/>
        <w:tabs>
          <w:tab w:val="left" w:pos="993"/>
        </w:tabs>
        <w:ind w:firstLine="709"/>
        <w:jc w:val="both"/>
      </w:pPr>
      <w:r w:rsidRPr="00792F5A">
        <w:t>•</w:t>
      </w:r>
      <w:r w:rsidRPr="00792F5A">
        <w:tab/>
        <w:t xml:space="preserve">други целеви трансфери от ЦБ – </w:t>
      </w:r>
      <w:r w:rsidRPr="00792F5A">
        <w:rPr>
          <w:lang w:val="ru-RU"/>
        </w:rPr>
        <w:t>568</w:t>
      </w:r>
      <w:r w:rsidRPr="00792F5A">
        <w:t>,</w:t>
      </w:r>
      <w:r w:rsidRPr="00792F5A">
        <w:rPr>
          <w:lang w:val="ru-RU"/>
        </w:rPr>
        <w:t>1</w:t>
      </w:r>
      <w:r w:rsidRPr="00792F5A">
        <w:t xml:space="preserve"> млн. лв.</w:t>
      </w:r>
    </w:p>
    <w:p w14:paraId="3ADDFF06" w14:textId="77777777" w:rsidR="0038396E" w:rsidRPr="008C6D1E" w:rsidRDefault="0038396E" w:rsidP="0038396E">
      <w:pPr>
        <w:widowControl w:val="0"/>
        <w:tabs>
          <w:tab w:val="left" w:pos="993"/>
        </w:tabs>
        <w:ind w:firstLine="720"/>
        <w:jc w:val="both"/>
        <w:rPr>
          <w:color w:val="4F81BD" w:themeColor="accent1"/>
        </w:rPr>
      </w:pPr>
      <w:r w:rsidRPr="00792F5A">
        <w:t>•</w:t>
      </w:r>
      <w:r w:rsidRPr="00792F5A">
        <w:tab/>
        <w:t>възстановени трансфери (субсидии) в ЦБ – (-</w:t>
      </w:r>
      <w:r w:rsidRPr="00792F5A">
        <w:rPr>
          <w:lang w:val="ru-RU"/>
        </w:rPr>
        <w:t>16</w:t>
      </w:r>
      <w:r w:rsidRPr="00792F5A">
        <w:t>,</w:t>
      </w:r>
      <w:r w:rsidRPr="00792F5A">
        <w:rPr>
          <w:lang w:val="ru-RU"/>
        </w:rPr>
        <w:t>4</w:t>
      </w:r>
      <w:r w:rsidRPr="00792F5A">
        <w:t>) млн. лв</w:t>
      </w:r>
      <w:r w:rsidRPr="008C6D1E">
        <w:rPr>
          <w:color w:val="4F81BD" w:themeColor="accent1"/>
        </w:rPr>
        <w:t>.</w:t>
      </w:r>
    </w:p>
    <w:p w14:paraId="718D5F6B" w14:textId="77777777" w:rsidR="0038396E" w:rsidRPr="00792F5A" w:rsidRDefault="0038396E" w:rsidP="0038396E">
      <w:pPr>
        <w:widowControl w:val="0"/>
        <w:ind w:firstLine="737"/>
        <w:jc w:val="both"/>
        <w:rPr>
          <w:lang w:val="ru-RU"/>
        </w:rPr>
      </w:pPr>
      <w:r w:rsidRPr="00792F5A">
        <w:t xml:space="preserve">Спрямо утвърдените в ЗДБРБ за 2022 г. бюджетни взаимоотношения на общините с ЦБ – 5 612,8 млн. лв., отчетът показва увеличение от 1 052,9 млн. лв. или с </w:t>
      </w:r>
      <w:r w:rsidRPr="00792F5A">
        <w:rPr>
          <w:lang w:val="ru-RU"/>
        </w:rPr>
        <w:t>1</w:t>
      </w:r>
      <w:r w:rsidRPr="00792F5A">
        <w:t xml:space="preserve">8,8%, което произтича от увеличение на общата субсидия за делегирани от държавата дейности с 423,9 млн. лв., увеличение на целевата субсидия за капиталови разходи със 77,3 млн. лв. </w:t>
      </w:r>
      <w:r w:rsidRPr="00792F5A">
        <w:rPr>
          <w:lang w:val="ru-RU"/>
        </w:rPr>
        <w:t>(</w:t>
      </w:r>
      <w:r w:rsidRPr="00792F5A">
        <w:t>компенсирано: намаление от трансформация на целевата субсидия за капиталови разходи по §§31-13 в трансфери за други целеви разходи по §§31-18 във връзка с чл. 55 от ЗДБРБ за 20</w:t>
      </w:r>
      <w:r w:rsidRPr="00792F5A">
        <w:rPr>
          <w:lang w:val="ru-RU"/>
        </w:rPr>
        <w:t>2</w:t>
      </w:r>
      <w:r w:rsidRPr="00792F5A">
        <w:t>2 г.</w:t>
      </w:r>
      <w:r w:rsidRPr="00792F5A">
        <w:rPr>
          <w:lang w:val="ru-RU"/>
        </w:rPr>
        <w:t xml:space="preserve"> – </w:t>
      </w:r>
      <w:r w:rsidRPr="00792F5A">
        <w:t xml:space="preserve">минус </w:t>
      </w:r>
      <w:r w:rsidRPr="00792F5A">
        <w:rPr>
          <w:lang w:val="ru-RU"/>
        </w:rPr>
        <w:t xml:space="preserve">22,7 </w:t>
      </w:r>
      <w:r w:rsidRPr="00792F5A">
        <w:t>млн. лв., и увеличение по ПМС № 229/29.07.2022 г.</w:t>
      </w:r>
      <w:r w:rsidRPr="00792F5A">
        <w:rPr>
          <w:lang w:val="ru-RU"/>
        </w:rPr>
        <w:t xml:space="preserve"> - 100 </w:t>
      </w:r>
      <w:r w:rsidRPr="00792F5A">
        <w:t>млн. лв.</w:t>
      </w:r>
      <w:r w:rsidRPr="00792F5A">
        <w:rPr>
          <w:lang w:val="ru-RU"/>
        </w:rPr>
        <w:t>)</w:t>
      </w:r>
      <w:r w:rsidRPr="00792F5A">
        <w:t xml:space="preserve">, предоставените трансфери за други целеви разходи по §§31-18 и §§31-28 – </w:t>
      </w:r>
      <w:r w:rsidRPr="00792F5A">
        <w:rPr>
          <w:lang w:val="ru-RU"/>
        </w:rPr>
        <w:t>587</w:t>
      </w:r>
      <w:r w:rsidRPr="00792F5A">
        <w:t>,</w:t>
      </w:r>
      <w:r w:rsidRPr="00792F5A">
        <w:rPr>
          <w:lang w:val="ru-RU"/>
        </w:rPr>
        <w:t>6</w:t>
      </w:r>
      <w:r w:rsidRPr="00792F5A">
        <w:t xml:space="preserve"> млн. лв. и възстановените в ЦБ трансфери в размер на </w:t>
      </w:r>
      <w:r w:rsidRPr="00792F5A">
        <w:rPr>
          <w:lang w:val="ru-RU"/>
        </w:rPr>
        <w:t>1</w:t>
      </w:r>
      <w:r w:rsidRPr="00792F5A">
        <w:t>6,4 млн. лева. Увеличенията се дължат основно на направените промени на бюджетните взаимоотношения на общините с ЦБ през 20</w:t>
      </w:r>
      <w:r w:rsidRPr="00792F5A">
        <w:rPr>
          <w:lang w:val="ru-RU"/>
        </w:rPr>
        <w:t>2</w:t>
      </w:r>
      <w:r w:rsidRPr="00792F5A">
        <w:t>2 г., с които са им предоставени допълнително средства над предвидените по чл. 51 от ЗДБРБ за 20</w:t>
      </w:r>
      <w:r w:rsidRPr="00792F5A">
        <w:rPr>
          <w:lang w:val="ru-RU"/>
        </w:rPr>
        <w:t>2</w:t>
      </w:r>
      <w:r w:rsidRPr="00792F5A">
        <w:t xml:space="preserve">2 г. </w:t>
      </w:r>
    </w:p>
    <w:p w14:paraId="57928EB2" w14:textId="77777777" w:rsidR="0038396E" w:rsidRPr="00792F5A" w:rsidRDefault="0038396E" w:rsidP="0038396E">
      <w:pPr>
        <w:widowControl w:val="0"/>
        <w:ind w:firstLine="720"/>
        <w:jc w:val="both"/>
      </w:pPr>
      <w:r w:rsidRPr="00792F5A">
        <w:t>Общият размер на допълнителните средства през 20</w:t>
      </w:r>
      <w:r w:rsidRPr="00792F5A">
        <w:rPr>
          <w:lang w:val="ru-RU"/>
        </w:rPr>
        <w:t>2</w:t>
      </w:r>
      <w:r w:rsidRPr="00792F5A">
        <w:t>2 г. е 1 071,1 млн. лв., предоставени както следва:</w:t>
      </w:r>
    </w:p>
    <w:p w14:paraId="2C792233" w14:textId="77777777" w:rsidR="0038396E" w:rsidRPr="00792F5A" w:rsidRDefault="0038396E" w:rsidP="0038396E">
      <w:pPr>
        <w:widowControl w:val="0"/>
        <w:ind w:firstLine="720"/>
        <w:jc w:val="both"/>
      </w:pPr>
      <w:r w:rsidRPr="00792F5A">
        <w:t>1. Като обща субсидия за делегирани от държавата дейности – увеличение с 423,9 млн. лв. Средствата са предоставени в изпълнение на разпоредбите на Закона за публичните финанси и на ПМС № 31 от 2022 г. за изпълнението на държавния бюджет на Република България за 20</w:t>
      </w:r>
      <w:r w:rsidRPr="00792F5A">
        <w:rPr>
          <w:lang w:val="ru-RU"/>
        </w:rPr>
        <w:t>2</w:t>
      </w:r>
      <w:r w:rsidRPr="00792F5A">
        <w:t>2 г., както и в изпълнение на ПМС № 81 от 2022 г. за финансова подкрепа на музеите и художествените галерии, ПМС № 229 от 2022 г. за трудови възнаграждения на служителите в общинската администрация, на медицинския персонал, за финансова подкрепа на библиотеките, ПМС № 232 от 2022 г. за трудови възнаграждения на педагогическия и непедагогическия персонал, на Закона за предучилищното и училищното образование, Закона за закрила на детето, Закона за закрила и развитие на културата, Закона за физическото възпитание и спорта, Закона за социалното подпомагане, Закона за защита при бедствия, както и подзаконовата уредба, приета на основание на тези закони. Основните направления на разпределение на средствата са за промяна на натуралните показатели за финансиране на делегираните от държавата дейности във функциите „Образование“ и „Здравеопазване“, промяна на местата в институциите за социална грижа и подкрепа, за познавателни книжки, учебници и учебни комплекти на децата в общинските детски градини и учениците от 1</w:t>
      </w:r>
      <w:r w:rsidRPr="00792F5A">
        <w:rPr>
          <w:vertAlign w:val="superscript"/>
        </w:rPr>
        <w:t>-ви</w:t>
      </w:r>
      <w:r w:rsidRPr="00792F5A">
        <w:t xml:space="preserve"> до 7</w:t>
      </w:r>
      <w:r w:rsidRPr="00792F5A">
        <w:rPr>
          <w:vertAlign w:val="superscript"/>
        </w:rPr>
        <w:t>-и</w:t>
      </w:r>
      <w:r w:rsidRPr="00792F5A">
        <w:t xml:space="preserve"> клас в общинските училища, за възстановяване на транспортните разходи или на разходите на наем на педагогическите специалисти, за работа с деца и ученици от уязвими групи, за постигнати резултати от труда на директорите на общински институции от системата на предучилищното и училищното образование, за национални програми в областта на средното образование, за изплащане на стипендии на деца с изявени дарби, за физическо възпитание и спорт и др.</w:t>
      </w:r>
    </w:p>
    <w:p w14:paraId="3E21C8B5" w14:textId="14CCA625" w:rsidR="0038396E" w:rsidRPr="00792F5A" w:rsidRDefault="0038396E" w:rsidP="0038396E">
      <w:pPr>
        <w:widowControl w:val="0"/>
        <w:ind w:firstLine="720"/>
        <w:jc w:val="both"/>
        <w:rPr>
          <w:lang w:val="ru-RU"/>
        </w:rPr>
      </w:pPr>
      <w:r w:rsidRPr="00792F5A">
        <w:t>2. Като целева субсидия за капиталови разходи – увеличение в размер на 77,3 млн. лв</w:t>
      </w:r>
      <w:r w:rsidR="0022248A">
        <w:t>.</w:t>
      </w:r>
      <w:r w:rsidRPr="00792F5A">
        <w:t>, компенсирано между</w:t>
      </w:r>
      <w:r w:rsidRPr="00792F5A">
        <w:rPr>
          <w:lang w:val="ru-RU"/>
        </w:rPr>
        <w:t>:</w:t>
      </w:r>
    </w:p>
    <w:p w14:paraId="311D9ADA" w14:textId="77777777" w:rsidR="0038396E" w:rsidRPr="00792F5A" w:rsidRDefault="0038396E" w:rsidP="00BD39E0">
      <w:pPr>
        <w:widowControl w:val="0"/>
        <w:numPr>
          <w:ilvl w:val="0"/>
          <w:numId w:val="54"/>
        </w:numPr>
        <w:spacing w:after="120"/>
        <w:contextualSpacing/>
        <w:jc w:val="both"/>
      </w:pPr>
      <w:r w:rsidRPr="00792F5A">
        <w:t>намаление във връзка с чл. 55 от ЗДБРБ за 2022 г. за трансформация на целевата субсидия за капиталови разходи, определена с чл. 51 от ЗДБРБ за 2022 г., в трансфери за други целеви разходи за извършване на неотложни текущи ремонти в общините - 22,7 млн. лв.;</w:t>
      </w:r>
    </w:p>
    <w:p w14:paraId="57CA6187" w14:textId="77777777" w:rsidR="0038396E" w:rsidRPr="00792F5A" w:rsidRDefault="0038396E" w:rsidP="00BD39E0">
      <w:pPr>
        <w:widowControl w:val="0"/>
        <w:numPr>
          <w:ilvl w:val="0"/>
          <w:numId w:val="54"/>
        </w:numPr>
        <w:spacing w:after="120"/>
        <w:contextualSpacing/>
        <w:jc w:val="both"/>
      </w:pPr>
      <w:r w:rsidRPr="00792F5A">
        <w:t>увеличение на целевата субсидия за капиталови разходи във връзка с ПМС № 229 от 2022 г. – 100 млн. лв.</w:t>
      </w:r>
    </w:p>
    <w:p w14:paraId="0A0C6B10" w14:textId="29A10931" w:rsidR="0038396E" w:rsidRPr="00792F5A" w:rsidRDefault="0038396E" w:rsidP="0038396E">
      <w:pPr>
        <w:widowControl w:val="0"/>
        <w:ind w:firstLine="737"/>
        <w:jc w:val="both"/>
        <w:rPr>
          <w:lang w:val="ru-RU"/>
        </w:rPr>
      </w:pPr>
      <w:r w:rsidRPr="00792F5A">
        <w:t xml:space="preserve">3. Като получени от общините трансфери за други целеви разходи от ЦБ – 569,9 млн. лв. Средствата са преведени в изпълнение на Закона за публичните финанси и на ПМС № 31 от </w:t>
      </w:r>
      <w:r w:rsidRPr="00792F5A">
        <w:rPr>
          <w:lang w:val="ru-RU"/>
        </w:rPr>
        <w:t>2022</w:t>
      </w:r>
      <w:r w:rsidRPr="00792F5A">
        <w:t xml:space="preserve"> г. за изпълнението на държавния бюджет на Република България за 2022 г., в изпълнение на постановления на Министерския съвет за предоставяне на допълнителни средства по бюджета на Столична община за метрополитена (ПМС № 228 и ПМС № 437 от 2022 г.), в изпълнение на решения на Междуведомствената комисия за възстановяване и подпомагане към Министерския съвет в случаите на стихийни бедствия и аварии, както и във връзка с чл. 55 от ЗДБРБ за 2022 г. относно трансформацията на целевата субсидия за капиталови разходи в трансфери за други целеви разходи. Предоставени са 33,1 млн. лв</w:t>
      </w:r>
      <w:r w:rsidR="0022248A">
        <w:t>.</w:t>
      </w:r>
      <w:r w:rsidRPr="00792F5A">
        <w:t xml:space="preserve"> по Програмата за изграждане, пристрояване, надстрояване и реконструкция на детски ясли, детски градини и училища, както и средства за подготовката и произвеждането на избори за народни представители, за компенсация на намалението в приходите от данък върху таксиметровия превоз и др. Като получени от общините трансфери за други целеви разходи от ЦБ са предоставени на общините средства и за вътрешноградски и междуселищни превози, компенсации на безплатния превоз на учениците до 16-годишна възраст, компенсации на безплатните и по намалени цени пътувания и други.</w:t>
      </w:r>
    </w:p>
    <w:p w14:paraId="1973F153" w14:textId="212709D5" w:rsidR="0038396E" w:rsidRPr="00792F5A" w:rsidRDefault="0038396E" w:rsidP="00BD39E0">
      <w:pPr>
        <w:widowControl w:val="0"/>
        <w:numPr>
          <w:ilvl w:val="0"/>
          <w:numId w:val="54"/>
        </w:numPr>
        <w:ind w:left="450" w:firstLine="0"/>
        <w:jc w:val="both"/>
        <w:rPr>
          <w:i/>
        </w:rPr>
      </w:pPr>
      <w:r w:rsidRPr="00792F5A">
        <w:rPr>
          <w:i/>
        </w:rPr>
        <w:t>отчетените от общините трансфери между бюджети нето за 202</w:t>
      </w:r>
      <w:r w:rsidRPr="00792F5A">
        <w:rPr>
          <w:i/>
          <w:lang w:val="ru-RU"/>
        </w:rPr>
        <w:t>2</w:t>
      </w:r>
      <w:r w:rsidRPr="00792F5A">
        <w:rPr>
          <w:i/>
        </w:rPr>
        <w:t xml:space="preserve"> г. са в размер на </w:t>
      </w:r>
      <w:r w:rsidRPr="00792F5A">
        <w:rPr>
          <w:i/>
          <w:lang w:val="ru-RU"/>
        </w:rPr>
        <w:t xml:space="preserve">1 </w:t>
      </w:r>
      <w:r w:rsidR="0022248A">
        <w:rPr>
          <w:i/>
          <w:lang w:val="ru-RU"/>
        </w:rPr>
        <w:t>117</w:t>
      </w:r>
      <w:r w:rsidRPr="00792F5A">
        <w:rPr>
          <w:i/>
        </w:rPr>
        <w:t>,</w:t>
      </w:r>
      <w:r w:rsidR="0022248A">
        <w:rPr>
          <w:i/>
        </w:rPr>
        <w:t>1</w:t>
      </w:r>
      <w:r w:rsidRPr="00792F5A">
        <w:rPr>
          <w:i/>
        </w:rPr>
        <w:t xml:space="preserve"> млн. лв., </w:t>
      </w:r>
      <w:r w:rsidRPr="00792F5A">
        <w:t xml:space="preserve">от които получени от министерства и между общини </w:t>
      </w:r>
      <w:r w:rsidR="0022248A">
        <w:t>1 113,4</w:t>
      </w:r>
      <w:r w:rsidRPr="00792F5A">
        <w:t xml:space="preserve"> млн. лв. и </w:t>
      </w:r>
      <w:r w:rsidRPr="00792F5A">
        <w:rPr>
          <w:lang w:val="ru-RU"/>
        </w:rPr>
        <w:t>5</w:t>
      </w:r>
      <w:r w:rsidR="0022248A">
        <w:rPr>
          <w:lang w:val="ru-RU"/>
        </w:rPr>
        <w:t>9,8</w:t>
      </w:r>
      <w:r w:rsidRPr="00792F5A">
        <w:t xml:space="preserve"> млн. лв. от МТСП по програми за временна заетост, и </w:t>
      </w:r>
      <w:r w:rsidR="0022248A">
        <w:t>56,1</w:t>
      </w:r>
      <w:r w:rsidRPr="00792F5A">
        <w:t xml:space="preserve"> млн. лв. предоставени от общините</w:t>
      </w:r>
      <w:r w:rsidRPr="00792F5A">
        <w:rPr>
          <w:i/>
        </w:rPr>
        <w:t>;</w:t>
      </w:r>
    </w:p>
    <w:p w14:paraId="0FFDAC96" w14:textId="2CAFB813" w:rsidR="0038396E" w:rsidRPr="00792F5A" w:rsidRDefault="0038396E" w:rsidP="00BD39E0">
      <w:pPr>
        <w:widowControl w:val="0"/>
        <w:numPr>
          <w:ilvl w:val="0"/>
          <w:numId w:val="54"/>
        </w:numPr>
        <w:ind w:firstLine="90"/>
        <w:jc w:val="both"/>
      </w:pPr>
      <w:r w:rsidRPr="00792F5A">
        <w:rPr>
          <w:i/>
        </w:rPr>
        <w:t>отчетените от общините трансфери между бюджети и сметки за средства от Европейския съюз</w:t>
      </w:r>
      <w:r w:rsidR="0022248A">
        <w:rPr>
          <w:i/>
        </w:rPr>
        <w:t xml:space="preserve"> - </w:t>
      </w:r>
      <w:r w:rsidRPr="00792F5A">
        <w:rPr>
          <w:i/>
        </w:rPr>
        <w:t>нето</w:t>
      </w:r>
      <w:r w:rsidRPr="00792F5A">
        <w:t xml:space="preserve"> </w:t>
      </w:r>
      <w:r w:rsidRPr="00792F5A">
        <w:rPr>
          <w:i/>
        </w:rPr>
        <w:t>за 202</w:t>
      </w:r>
      <w:r w:rsidRPr="00792F5A">
        <w:rPr>
          <w:i/>
          <w:lang w:val="ru-RU"/>
        </w:rPr>
        <w:t>2</w:t>
      </w:r>
      <w:r w:rsidRPr="00792F5A">
        <w:rPr>
          <w:i/>
        </w:rPr>
        <w:t xml:space="preserve"> г. са в размер на -1</w:t>
      </w:r>
      <w:r w:rsidR="0022248A">
        <w:rPr>
          <w:i/>
        </w:rPr>
        <w:t>37,6</w:t>
      </w:r>
      <w:r w:rsidRPr="00792F5A">
        <w:rPr>
          <w:i/>
        </w:rPr>
        <w:t xml:space="preserve"> млн. лв.</w:t>
      </w:r>
      <w:r w:rsidRPr="00792F5A">
        <w:t xml:space="preserve">, от които </w:t>
      </w:r>
      <w:r w:rsidR="0022248A">
        <w:t>81,3</w:t>
      </w:r>
      <w:r w:rsidRPr="00792F5A">
        <w:t xml:space="preserve"> млн. лв. получени и </w:t>
      </w:r>
      <w:r w:rsidR="0022248A">
        <w:t>218,9</w:t>
      </w:r>
      <w:r w:rsidRPr="00792F5A">
        <w:t xml:space="preserve"> млн. лв. предоставени от общините;</w:t>
      </w:r>
    </w:p>
    <w:p w14:paraId="11D2A926" w14:textId="2BB35BDA" w:rsidR="0038396E" w:rsidRPr="00792F5A" w:rsidRDefault="0038396E" w:rsidP="00BD39E0">
      <w:pPr>
        <w:widowControl w:val="0"/>
        <w:numPr>
          <w:ilvl w:val="0"/>
          <w:numId w:val="54"/>
        </w:numPr>
        <w:ind w:firstLine="90"/>
        <w:jc w:val="both"/>
      </w:pPr>
      <w:r w:rsidRPr="00792F5A">
        <w:rPr>
          <w:i/>
        </w:rPr>
        <w:t>отчетените от общините трансфери от/за държавни предприятия и други лица, включени в КФП за 202</w:t>
      </w:r>
      <w:r w:rsidRPr="00792F5A">
        <w:rPr>
          <w:i/>
          <w:lang w:val="ru-RU"/>
        </w:rPr>
        <w:t>2</w:t>
      </w:r>
      <w:r w:rsidRPr="00792F5A">
        <w:rPr>
          <w:i/>
        </w:rPr>
        <w:t xml:space="preserve"> г. са в размер на 4</w:t>
      </w:r>
      <w:r w:rsidR="0022248A">
        <w:rPr>
          <w:i/>
        </w:rPr>
        <w:t>6,0</w:t>
      </w:r>
      <w:r w:rsidRPr="00792F5A">
        <w:rPr>
          <w:i/>
        </w:rPr>
        <w:t xml:space="preserve"> млн. лв.</w:t>
      </w:r>
      <w:r w:rsidRPr="00792F5A">
        <w:t xml:space="preserve">, от които </w:t>
      </w:r>
      <w:r w:rsidRPr="00792F5A">
        <w:rPr>
          <w:lang w:val="ru-RU"/>
        </w:rPr>
        <w:t>4</w:t>
      </w:r>
      <w:r w:rsidR="0022248A">
        <w:rPr>
          <w:lang w:val="ru-RU"/>
        </w:rPr>
        <w:t>6,1</w:t>
      </w:r>
      <w:r w:rsidRPr="00792F5A">
        <w:rPr>
          <w:lang w:val="ru-RU"/>
        </w:rPr>
        <w:t xml:space="preserve"> </w:t>
      </w:r>
      <w:r w:rsidRPr="00792F5A">
        <w:t xml:space="preserve">млн. лв. получени от общините и 0,1 </w:t>
      </w:r>
      <w:r w:rsidR="00301DD9">
        <w:t xml:space="preserve">млн. лв. </w:t>
      </w:r>
      <w:r w:rsidRPr="00792F5A">
        <w:t>предоставени от общините.</w:t>
      </w:r>
    </w:p>
    <w:p w14:paraId="59AFC230" w14:textId="3BC660BC" w:rsidR="0038396E" w:rsidRPr="0034668E" w:rsidRDefault="0038396E" w:rsidP="0038396E">
      <w:pPr>
        <w:widowControl w:val="0"/>
        <w:ind w:left="360" w:firstLine="360"/>
        <w:jc w:val="both"/>
      </w:pPr>
      <w:r w:rsidRPr="0034668E">
        <w:t>В края на 2022 г. общините отчитат отрицателен нетен размер от (-1</w:t>
      </w:r>
      <w:r w:rsidR="00301DD9">
        <w:t>3,9</w:t>
      </w:r>
      <w:r w:rsidRPr="0034668E">
        <w:t xml:space="preserve">) млн. лв. на </w:t>
      </w:r>
      <w:r w:rsidRPr="0034668E">
        <w:rPr>
          <w:b/>
        </w:rPr>
        <w:t>временните безлихвени заеми</w:t>
      </w:r>
      <w:r w:rsidRPr="0034668E">
        <w:t>, който е формиран от:</w:t>
      </w:r>
    </w:p>
    <w:p w14:paraId="46B98BCC" w14:textId="0DAA7CEC" w:rsidR="0038396E" w:rsidRPr="0034668E" w:rsidRDefault="0038396E" w:rsidP="0006461C">
      <w:pPr>
        <w:widowControl w:val="0"/>
        <w:numPr>
          <w:ilvl w:val="0"/>
          <w:numId w:val="54"/>
        </w:numPr>
        <w:jc w:val="both"/>
      </w:pPr>
      <w:r w:rsidRPr="0034668E">
        <w:t xml:space="preserve">(- 4,7) млн. лв. нетен размер на временните безлихвени заеми от/за ЦБ, представляващ движението през 2022 г. на заемите по чл.103, ал. 1 и ал. 4 от ЗПФ (заеми за касови разриви и рефинансирането им), както и по чл. 130ж, ал. 1 от ЗПФ (за финансово оздравяване). Одобрените на общините заеми през годината са общо в размер на 29,4 млн. лв., в т.ч. на 13 общини са за рефинансиране на безлихвени заеми, предоставени през предходни години (15,9 млн. лв.) и на 7 общини заеми за касов разрив (временен недостиг на средства) по бюджетите (13,5 млн. лв.). Извършените плащания от общините по главници през 2022 г. са в размер на 34,1 млн. лв., в т.ч. </w:t>
      </w:r>
      <w:r w:rsidR="0006461C" w:rsidRPr="0006461C">
        <w:t xml:space="preserve">изплатени </w:t>
      </w:r>
      <w:r w:rsidRPr="0034668E">
        <w:t xml:space="preserve">от общините суми в размер на 13,6 млн. лв. и </w:t>
      </w:r>
      <w:r w:rsidR="000349B4" w:rsidRPr="00F26A14">
        <w:rPr>
          <w:lang w:val="ru-RU"/>
        </w:rPr>
        <w:t xml:space="preserve">20,5 </w:t>
      </w:r>
      <w:r w:rsidR="000349B4">
        <w:t xml:space="preserve">млн. лв. </w:t>
      </w:r>
      <w:r w:rsidRPr="0034668E">
        <w:t>погасени главници чрез прихващане, съгласно чл. 106 от ЗПФ, от подлежащи на предоставяне на общините трансфери. Остатъчният размер на заемите в края на годината по чл. 103, ал. 1 и 4 от ЗПФ, както и на заемите за финансово оздравяване, е 48,6 млн. лв., като от тях 10 млн. лв. са просрочени (5,5 млн. лв. заеми за финансово оздравяване и 4,5 млн. лв. за касов разрив). През годината са предоставяни на общините и безлихвени заеми от ЦБ за финансиране на разходи по одобрени проекти по програми на ЕС, по реда на ПМС № 215/2018 г. и ПМС № 221/2020 г., общо за 102 млн. лв., като същите, в рамките на бюджетната година, са погасени.</w:t>
      </w:r>
    </w:p>
    <w:p w14:paraId="5734DB36" w14:textId="54DFF560" w:rsidR="0038396E" w:rsidRPr="0034668E" w:rsidRDefault="0038396E" w:rsidP="00BD39E0">
      <w:pPr>
        <w:widowControl w:val="0"/>
        <w:numPr>
          <w:ilvl w:val="0"/>
          <w:numId w:val="54"/>
        </w:numPr>
        <w:ind w:firstLine="0"/>
        <w:jc w:val="both"/>
      </w:pPr>
      <w:r w:rsidRPr="0034668E">
        <w:t>(-</w:t>
      </w:r>
      <w:r w:rsidR="00301DD9">
        <w:t>5,2</w:t>
      </w:r>
      <w:r w:rsidRPr="0034668E">
        <w:t>) млн. лв. нетен размер на временните безлихвени заеми между бюджети и сметки за средствата от ЕС. Тук са отчитани операциите по заемообразното прехвърляне от общините на средства между бюджетните им сметки и сметките им за европейски средства с цел авансово финансиране на проекти по програми на ЕС (заеми в рамките на съответната община между нейните сметки);</w:t>
      </w:r>
    </w:p>
    <w:p w14:paraId="21CA991C" w14:textId="0D66898F" w:rsidR="0038396E" w:rsidRPr="0034668E" w:rsidRDefault="0038396E" w:rsidP="00BD39E0">
      <w:pPr>
        <w:widowControl w:val="0"/>
        <w:numPr>
          <w:ilvl w:val="0"/>
          <w:numId w:val="54"/>
        </w:numPr>
        <w:ind w:firstLine="0"/>
        <w:jc w:val="both"/>
      </w:pPr>
      <w:r w:rsidRPr="0034668E">
        <w:t>(-4,0) млн. лв. нетен размер на временните безлихвени заеми от/за държавни предприятия и други сметки, включени в консолидираната фискална програма (в т.ч. по заемите към ПУДООС нетният размер е (-3,9) млн. лв., а по заемите от/за сметки за чужди средства е (– 0,1) млн. л</w:t>
      </w:r>
      <w:r w:rsidR="00301DD9">
        <w:t>е</w:t>
      </w:r>
      <w:r w:rsidRPr="0034668E">
        <w:t>в</w:t>
      </w:r>
      <w:r w:rsidR="00301DD9">
        <w:t>а</w:t>
      </w:r>
      <w:r w:rsidRPr="0034668E">
        <w:t>.</w:t>
      </w:r>
    </w:p>
    <w:p w14:paraId="74608FA0" w14:textId="7F05E830" w:rsidR="0038396E" w:rsidRPr="002C229E" w:rsidRDefault="0038396E" w:rsidP="0038396E">
      <w:pPr>
        <w:ind w:firstLine="709"/>
        <w:jc w:val="both"/>
      </w:pPr>
      <w:r w:rsidRPr="0034668E">
        <w:rPr>
          <w:b/>
        </w:rPr>
        <w:t>Външното финансиране</w:t>
      </w:r>
      <w:r w:rsidRPr="0034668E">
        <w:t xml:space="preserve"> </w:t>
      </w:r>
      <w:r w:rsidRPr="002C229E">
        <w:t>по бюджетите на общините включва усвоявания и погашения по договори за общински заеми с чуждестранни кредитори, като нетният му размер е (-10,3) млн. лв. През 2022 г. получените средства по външни заеми са 35,2 млн. лв.</w:t>
      </w:r>
      <w:r w:rsidRPr="002C229E">
        <w:rPr>
          <w:lang w:val="ru-RU"/>
        </w:rPr>
        <w:t xml:space="preserve"> </w:t>
      </w:r>
      <w:r w:rsidRPr="002C229E">
        <w:t>и са отчетени от Столична община</w:t>
      </w:r>
      <w:r w:rsidRPr="002C229E">
        <w:rPr>
          <w:lang w:val="ru-RU"/>
        </w:rPr>
        <w:t xml:space="preserve"> </w:t>
      </w:r>
      <w:r w:rsidRPr="002C229E">
        <w:t xml:space="preserve">по договор с чуждестранен кредитор </w:t>
      </w:r>
      <w:r w:rsidRPr="002C229E">
        <w:rPr>
          <w:lang w:val="ru-RU"/>
        </w:rPr>
        <w:t>(</w:t>
      </w:r>
      <w:r w:rsidRPr="002C229E">
        <w:t xml:space="preserve">за финансиране на проект Изграждане и реконструкция на основни пътни артерии в град София). Изплатените главници по външните заеми за </w:t>
      </w:r>
      <w:r w:rsidR="00301DD9">
        <w:t>2022 г.</w:t>
      </w:r>
      <w:r w:rsidRPr="002C229E">
        <w:t xml:space="preserve"> по общинските бюджети са в размер на 45,5 млн. лв. (от Столична община - 36,4 млн. лв., от община Варна – </w:t>
      </w:r>
      <w:r w:rsidRPr="002C229E">
        <w:rPr>
          <w:lang w:val="ru-RU"/>
        </w:rPr>
        <w:t>3</w:t>
      </w:r>
      <w:r w:rsidRPr="002C229E">
        <w:t>,7 млн. лв., от Пловдив – 3,1 млн. лв.</w:t>
      </w:r>
      <w:r w:rsidRPr="002C229E">
        <w:rPr>
          <w:lang w:val="ru-RU"/>
        </w:rPr>
        <w:t xml:space="preserve">, </w:t>
      </w:r>
      <w:r w:rsidRPr="002C229E">
        <w:t xml:space="preserve">Бургас – 2,0 млн. лв. и от община Ловеч 0,3 млн. лв.). Най-голям размер на погашенията са отчетени от Столична община, по заеми за финансиране на изграждането и удължаването на метрото, за финансиране на инженерната инфраструктура, за дейности по подобряване на качеството на въздуха, за изграждане на интегрална система за отпадъци, както и за рехабилитация на общински улици в гр. София. </w:t>
      </w:r>
    </w:p>
    <w:p w14:paraId="3772DFC4" w14:textId="59FBFD78" w:rsidR="0038396E" w:rsidRPr="009650E4" w:rsidRDefault="0038396E" w:rsidP="0038396E">
      <w:pPr>
        <w:widowControl w:val="0"/>
        <w:ind w:firstLine="720"/>
        <w:jc w:val="both"/>
      </w:pPr>
      <w:r w:rsidRPr="009650E4">
        <w:t xml:space="preserve">В края на 2022 г. </w:t>
      </w:r>
      <w:r w:rsidRPr="009650E4">
        <w:rPr>
          <w:b/>
        </w:rPr>
        <w:t>вътрешното финансиране</w:t>
      </w:r>
      <w:r w:rsidRPr="009650E4">
        <w:t xml:space="preserve"> по бюджетите на общините е в размер на (-</w:t>
      </w:r>
      <w:r w:rsidR="001E1808" w:rsidRPr="009650E4">
        <w:t>48</w:t>
      </w:r>
      <w:r w:rsidR="001E1808">
        <w:t>9</w:t>
      </w:r>
      <w:r w:rsidRPr="009650E4">
        <w:t>,</w:t>
      </w:r>
      <w:r w:rsidR="00301DD9">
        <w:t>6</w:t>
      </w:r>
      <w:r w:rsidRPr="009650E4">
        <w:t>) млн. лв. и включва нетния размер на операциите по заеми от банки и други лица в страната; операции с общински ценни книжа; събрани средства и извършени плащания за сметка на други бюджети, сметки и фондове; нетно изменение на депозитите и средства по сметки; предоставени кредити и временна финансова помощ; придобиване на дялове, акции и съучастия и друго финансиране.</w:t>
      </w:r>
    </w:p>
    <w:p w14:paraId="4CFF38BF" w14:textId="77777777" w:rsidR="0038396E" w:rsidRPr="009650E4" w:rsidRDefault="0038396E" w:rsidP="0038396E">
      <w:pPr>
        <w:widowControl w:val="0"/>
        <w:ind w:firstLine="720"/>
        <w:jc w:val="both"/>
      </w:pPr>
      <w:r w:rsidRPr="009650E4">
        <w:t xml:space="preserve">Получените по бюджетите на общините през 2022 г. заеми от банки в страната са в размер на 114,5 млн. лв., а погашенията към същите са за 103,9 млн. лв. или нетната сума е положителна и е в размер на </w:t>
      </w:r>
      <w:r w:rsidRPr="009650E4">
        <w:rPr>
          <w:lang w:val="ru-RU"/>
        </w:rPr>
        <w:t>10,6</w:t>
      </w:r>
      <w:r w:rsidRPr="009650E4">
        <w:t xml:space="preserve"> млн. лв. </w:t>
      </w:r>
    </w:p>
    <w:p w14:paraId="7630C95B" w14:textId="77777777" w:rsidR="0038396E" w:rsidRPr="00081E74" w:rsidRDefault="0038396E" w:rsidP="0038396E">
      <w:pPr>
        <w:ind w:firstLine="709"/>
        <w:jc w:val="both"/>
      </w:pPr>
      <w:r w:rsidRPr="009650E4">
        <w:t>От други лица в страната общините са получили заеми в размер на 141,9 млн. лв., а направените погашения са 99,5 млн. лв. или нетният размер за 2022 г. е положителен и е в размер на 42,4 млн. лв</w:t>
      </w:r>
      <w:r w:rsidRPr="009331BC">
        <w:t xml:space="preserve">. Най-голям дял в тази група кредитори има „ФЛАГ“ ЕАД, като получените заеми от общините през 2022 г. от  този фонд са 118,7 млн. лв., а погасените главници към него – 95,5 млн. лева. </w:t>
      </w:r>
      <w:r w:rsidRPr="00081E74">
        <w:t>Със заемите от фонда се финансира изпълнението на европейски проекти, като една част от тях са ползвани за финансиране на допустимите разходи, а другата част на заемите от „ФЛАГ“ ЕАД са свързани с финансиране на собственото участие на общините в проектите. Друг кредитор от тази група е Фонд „Енергийна ефективност“, с който общините сключват договори за заеми за финансиране на проекти по саниране на сгради, общинска собственост и въвеждане на мерки за енергийна ефективност, както и регионалните фондове за градско развитие.</w:t>
      </w:r>
    </w:p>
    <w:p w14:paraId="48A99D52" w14:textId="77777777" w:rsidR="0038396E" w:rsidRPr="00081E74" w:rsidRDefault="0038396E" w:rsidP="0038396E">
      <w:pPr>
        <w:ind w:firstLine="709"/>
        <w:jc w:val="both"/>
      </w:pPr>
      <w:r w:rsidRPr="00081E74">
        <w:t>Погашенията по емитирани през предходни периоди общински ценни книжа са в размер на 18,3 млн. лв. и са отчетени от 10 общини. За отчетния период е емитиран нов общински дълг от община Кюстендил в размер на 8,5 млн. лв. за заплащане на установени публични вземания по изпълнително дело.</w:t>
      </w:r>
    </w:p>
    <w:p w14:paraId="2E0536F8" w14:textId="77777777" w:rsidR="0038396E" w:rsidRPr="00081E74" w:rsidRDefault="0038396E" w:rsidP="0038396E">
      <w:pPr>
        <w:ind w:firstLine="720"/>
        <w:jc w:val="both"/>
      </w:pPr>
      <w:r w:rsidRPr="00081E74">
        <w:t>Нетният размер на предоставената/възстановена временна финансова помощ от/на общините през 2022 г. е (-10,3) млн. лв. Тук се отчетени предимно операциите по предоставянето и възстановяването на средства под формата на временни безлихвени заеми на небюджетни организации.</w:t>
      </w:r>
    </w:p>
    <w:p w14:paraId="191A9C51" w14:textId="243DD62F" w:rsidR="0038396E" w:rsidRPr="00081E74" w:rsidRDefault="0038396E" w:rsidP="0038396E">
      <w:pPr>
        <w:ind w:firstLine="720"/>
        <w:jc w:val="both"/>
      </w:pPr>
      <w:r w:rsidRPr="00081E74">
        <w:t>Отчетеният от общините нетен размер на предоставените</w:t>
      </w:r>
      <w:r w:rsidR="00301DD9">
        <w:t>/възстановените</w:t>
      </w:r>
      <w:r w:rsidRPr="00081E74">
        <w:t xml:space="preserve"> кредити за 2022 г. е (-12,8) млн. л</w:t>
      </w:r>
      <w:r w:rsidR="00301DD9">
        <w:t>е</w:t>
      </w:r>
      <w:r w:rsidRPr="00081E74">
        <w:t>в</w:t>
      </w:r>
      <w:r w:rsidR="00301DD9">
        <w:t>а</w:t>
      </w:r>
      <w:r w:rsidRPr="00081E74">
        <w:t xml:space="preserve">. </w:t>
      </w:r>
    </w:p>
    <w:p w14:paraId="2CEB8932" w14:textId="441B1D74" w:rsidR="0038396E" w:rsidRPr="00081E74" w:rsidRDefault="0038396E" w:rsidP="0038396E">
      <w:pPr>
        <w:ind w:firstLine="720"/>
        <w:jc w:val="both"/>
      </w:pPr>
      <w:r w:rsidRPr="00081E74">
        <w:t>През 2022 г. общините са изразходвали 11,9 млн. лв. за придобиване на дяловe, акции и съучастия, а отчетените постъпления от продажбите на дялове, акции, съучастия и ликвидационни дялове са 0,9 млн. л</w:t>
      </w:r>
      <w:r w:rsidR="00301DD9">
        <w:t>е</w:t>
      </w:r>
      <w:r w:rsidRPr="00081E74">
        <w:t>в</w:t>
      </w:r>
      <w:r w:rsidR="00301DD9">
        <w:t>а</w:t>
      </w:r>
      <w:r w:rsidRPr="00081E74">
        <w:t xml:space="preserve">. </w:t>
      </w:r>
    </w:p>
    <w:p w14:paraId="62FB1EBA" w14:textId="7941DEAA" w:rsidR="0038396E" w:rsidRPr="00081E74" w:rsidRDefault="0038396E" w:rsidP="0038396E">
      <w:pPr>
        <w:ind w:firstLine="720"/>
        <w:jc w:val="both"/>
      </w:pPr>
      <w:r w:rsidRPr="00081E74">
        <w:t>Нетният размер на събраните средства и извършени плащания от общините за сметка на други бюджети, сметки и фондове е положителен и е в размер на 69,</w:t>
      </w:r>
      <w:r w:rsidR="00301DD9">
        <w:t>4</w:t>
      </w:r>
      <w:r w:rsidRPr="00081E74">
        <w:t xml:space="preserve"> млн. л</w:t>
      </w:r>
      <w:r w:rsidR="00301DD9">
        <w:t>е</w:t>
      </w:r>
      <w:r w:rsidRPr="00081E74">
        <w:t>в</w:t>
      </w:r>
      <w:r w:rsidR="00301DD9">
        <w:t>а</w:t>
      </w:r>
      <w:r w:rsidRPr="00081E74">
        <w:t xml:space="preserve">. </w:t>
      </w:r>
    </w:p>
    <w:p w14:paraId="56D69E0F" w14:textId="190B2531" w:rsidR="0038396E" w:rsidRPr="00081E74" w:rsidRDefault="0038396E" w:rsidP="0038396E">
      <w:pPr>
        <w:ind w:firstLine="720"/>
        <w:jc w:val="both"/>
      </w:pPr>
      <w:r w:rsidRPr="00081E74">
        <w:t>Отчетените средства под формата на друго финансиране /нето/ по общинските бюджети към 31.12.2022 г. е (-5,</w:t>
      </w:r>
      <w:r w:rsidR="00301DD9">
        <w:t>5</w:t>
      </w:r>
      <w:r w:rsidRPr="00081E74">
        <w:t>) млн. лв., като тук основно са отчитани превеждането /резервиране/ на суми по реда на чл. 60 и чл. 64 от Закона за управление на отпадъците по сметката за чужди средства на съответната РИОСВ, както и възстановените на общините през 2022 г. такива средства. Другото финансиране включва и нетния размер за 2022 г. на задълженията и погашенията по финансов лизинг и търговски кредити, като форми на дълг, ко</w:t>
      </w:r>
      <w:r w:rsidR="00301DD9">
        <w:t>и</w:t>
      </w:r>
      <w:r w:rsidRPr="00081E74">
        <w:t xml:space="preserve">то </w:t>
      </w:r>
      <w:r w:rsidR="00301DD9">
        <w:t>са</w:t>
      </w:r>
      <w:r w:rsidRPr="00081E74">
        <w:t xml:space="preserve"> в размер на 0,8 млн. лв. (поетите задължения са 4,5 млн. лв., а погашенията са 3,7 млн. лв.).</w:t>
      </w:r>
    </w:p>
    <w:p w14:paraId="027A9326" w14:textId="2B8A0E86" w:rsidR="0038396E" w:rsidRPr="00081E74" w:rsidRDefault="0038396E" w:rsidP="0038396E">
      <w:pPr>
        <w:ind w:firstLine="720"/>
        <w:jc w:val="both"/>
        <w:rPr>
          <w:lang w:val="ru-RU"/>
        </w:rPr>
      </w:pPr>
      <w:r w:rsidRPr="00081E74">
        <w:t xml:space="preserve">Постъпленията от </w:t>
      </w:r>
      <w:r w:rsidRPr="00C56F4B">
        <w:rPr>
          <w:b/>
        </w:rPr>
        <w:t>приватизация</w:t>
      </w:r>
      <w:r w:rsidRPr="00081E74">
        <w:t xml:space="preserve"> на дялове, акции и участия в общинските бюджети през 2022 г. са </w:t>
      </w:r>
      <w:r w:rsidR="00301DD9">
        <w:t>8,0</w:t>
      </w:r>
      <w:r w:rsidRPr="00081E74">
        <w:t xml:space="preserve"> млн. лв.</w:t>
      </w:r>
    </w:p>
    <w:p w14:paraId="336BC949" w14:textId="6864B9E9" w:rsidR="0038396E" w:rsidRPr="004A4564" w:rsidRDefault="0038396E" w:rsidP="0038396E">
      <w:pPr>
        <w:widowControl w:val="0"/>
        <w:ind w:firstLine="708"/>
        <w:jc w:val="both"/>
      </w:pPr>
      <w:r w:rsidRPr="004A4564">
        <w:t>Бюджетните наличности (банкова и касова) в края на 2022 г. са в размер на 2</w:t>
      </w:r>
      <w:r w:rsidR="00301DD9">
        <w:t> </w:t>
      </w:r>
      <w:r w:rsidRPr="004A4564">
        <w:t>16</w:t>
      </w:r>
      <w:r w:rsidR="00301DD9">
        <w:t>1,9</w:t>
      </w:r>
      <w:r w:rsidRPr="004A4564">
        <w:t xml:space="preserve"> млн. лв. (с 208,6 млн. лв. повече спрямо </w:t>
      </w:r>
      <w:r w:rsidR="00850AA6" w:rsidRPr="004A4564">
        <w:t>202</w:t>
      </w:r>
      <w:r w:rsidR="00850AA6" w:rsidRPr="00F26A14">
        <w:rPr>
          <w:lang w:val="ru-RU"/>
        </w:rPr>
        <w:t>1</w:t>
      </w:r>
      <w:r w:rsidR="00850AA6" w:rsidRPr="004A4564">
        <w:t xml:space="preserve"> </w:t>
      </w:r>
      <w:r w:rsidRPr="004A4564">
        <w:t xml:space="preserve">г.), като 289,8 млн. лв. са от сметки, консолидирани в системата на „Единната сметка“. По-голямата част от тях (1 </w:t>
      </w:r>
      <w:r w:rsidRPr="004A4564">
        <w:rPr>
          <w:lang w:val="ru-RU"/>
        </w:rPr>
        <w:t>4</w:t>
      </w:r>
      <w:r w:rsidRPr="004A4564">
        <w:t>87,</w:t>
      </w:r>
      <w:r w:rsidR="002A790F" w:rsidRPr="00F26A14">
        <w:rPr>
          <w:lang w:val="ru-RU"/>
        </w:rPr>
        <w:t>9</w:t>
      </w:r>
      <w:r w:rsidR="002A790F" w:rsidRPr="004A4564">
        <w:t xml:space="preserve"> </w:t>
      </w:r>
      <w:r w:rsidRPr="004A4564">
        <w:t xml:space="preserve">млн. лв. или </w:t>
      </w:r>
      <w:r w:rsidRPr="004A4564">
        <w:rPr>
          <w:lang w:val="ru-RU"/>
        </w:rPr>
        <w:t>6</w:t>
      </w:r>
      <w:r w:rsidRPr="004A4564">
        <w:t>8,8%) са отчетени като остатък в местните дейности, а 674</w:t>
      </w:r>
      <w:r w:rsidRPr="004A4564">
        <w:rPr>
          <w:lang w:val="ru-RU"/>
        </w:rPr>
        <w:t>,</w:t>
      </w:r>
      <w:r w:rsidR="002A790F" w:rsidRPr="00F26A14">
        <w:rPr>
          <w:lang w:val="ru-RU"/>
        </w:rPr>
        <w:t>1</w:t>
      </w:r>
      <w:r w:rsidR="002A790F" w:rsidRPr="004A4564">
        <w:t xml:space="preserve"> </w:t>
      </w:r>
      <w:r w:rsidRPr="004A4564">
        <w:t>млн. лв. (</w:t>
      </w:r>
      <w:r w:rsidRPr="004A4564">
        <w:rPr>
          <w:lang w:val="ru-RU"/>
        </w:rPr>
        <w:t>3</w:t>
      </w:r>
      <w:r w:rsidRPr="004A4564">
        <w:t>1,2 %) в държавните дейности. Част от отчетената наличност по общинските бюджети към 3</w:t>
      </w:r>
      <w:r w:rsidRPr="004A4564">
        <w:rPr>
          <w:lang w:val="ru-RU"/>
        </w:rPr>
        <w:t>1</w:t>
      </w:r>
      <w:r w:rsidRPr="004A4564">
        <w:t>.</w:t>
      </w:r>
      <w:r w:rsidRPr="004A4564">
        <w:rPr>
          <w:lang w:val="ru-RU"/>
        </w:rPr>
        <w:t>12</w:t>
      </w:r>
      <w:r w:rsidRPr="004A4564">
        <w:t xml:space="preserve">.2022 г. е по срочни депозити и е в размер на </w:t>
      </w:r>
      <w:r w:rsidRPr="004A4564">
        <w:rPr>
          <w:lang w:val="ru-RU"/>
        </w:rPr>
        <w:t>56</w:t>
      </w:r>
      <w:r w:rsidRPr="004A4564">
        <w:t>,</w:t>
      </w:r>
      <w:r w:rsidRPr="004A4564">
        <w:rPr>
          <w:lang w:val="ru-RU"/>
        </w:rPr>
        <w:t>7</w:t>
      </w:r>
      <w:r w:rsidRPr="004A4564">
        <w:t xml:space="preserve"> млн. лв.</w:t>
      </w:r>
    </w:p>
    <w:p w14:paraId="4915BD01" w14:textId="61A3E54E" w:rsidR="0038396E" w:rsidRPr="008C6D1E" w:rsidRDefault="0038396E" w:rsidP="0038396E">
      <w:pPr>
        <w:widowControl w:val="0"/>
        <w:ind w:firstLine="720"/>
        <w:jc w:val="both"/>
        <w:rPr>
          <w:color w:val="4F81BD" w:themeColor="accent1"/>
        </w:rPr>
      </w:pPr>
      <w:r w:rsidRPr="004A4564">
        <w:t xml:space="preserve">Най-голямата част от отчетената към 31.12.2022 г. наличност в </w:t>
      </w:r>
      <w:r w:rsidRPr="004A4564">
        <w:rPr>
          <w:b/>
        </w:rPr>
        <w:t>местните дейности</w:t>
      </w:r>
      <w:r w:rsidRPr="004A4564">
        <w:t xml:space="preserve"> (4</w:t>
      </w:r>
      <w:r w:rsidRPr="004A4564">
        <w:rPr>
          <w:lang w:val="ru-RU"/>
        </w:rPr>
        <w:t>37</w:t>
      </w:r>
      <w:r w:rsidRPr="004A4564">
        <w:t>,</w:t>
      </w:r>
      <w:r w:rsidR="00415997" w:rsidRPr="00F26A14">
        <w:rPr>
          <w:lang w:val="ru-RU"/>
        </w:rPr>
        <w:t>5</w:t>
      </w:r>
      <w:r w:rsidR="00415997" w:rsidRPr="004A4564">
        <w:t xml:space="preserve"> </w:t>
      </w:r>
      <w:r w:rsidRPr="004A4564">
        <w:t>млн. лв. или 29,</w:t>
      </w:r>
      <w:r w:rsidRPr="004A4564">
        <w:rPr>
          <w:lang w:val="ru-RU"/>
        </w:rPr>
        <w:t>4</w:t>
      </w:r>
      <w:r w:rsidR="00415997" w:rsidRPr="00F26A14">
        <w:rPr>
          <w:lang w:val="ru-RU"/>
        </w:rPr>
        <w:t xml:space="preserve"> </w:t>
      </w:r>
      <w:r w:rsidRPr="004A4564">
        <w:t>%) е резултат на постъпили през текущата година, но неизразходвани общински приходи, като наличността на средствата от таксата за битови отпадъци е около 6</w:t>
      </w:r>
      <w:r w:rsidRPr="004A4564">
        <w:rPr>
          <w:lang w:val="ru-RU"/>
        </w:rPr>
        <w:t>6</w:t>
      </w:r>
      <w:r w:rsidRPr="004A4564">
        <w:t>,</w:t>
      </w:r>
      <w:r w:rsidRPr="004A4564">
        <w:rPr>
          <w:lang w:val="ru-RU"/>
        </w:rPr>
        <w:t>9</w:t>
      </w:r>
      <w:r w:rsidRPr="004A4564">
        <w:t xml:space="preserve"> млн. лв. Другата по-голяма част от наличността са средствата от преходен остатък т.е. получени от общините </w:t>
      </w:r>
      <w:r w:rsidRPr="004A4564">
        <w:rPr>
          <w:i/>
        </w:rPr>
        <w:t>преди</w:t>
      </w:r>
      <w:r w:rsidRPr="004A4564">
        <w:t xml:space="preserve"> 2022 г. и останали неизразходвани средства (</w:t>
      </w:r>
      <w:r w:rsidR="002B12B9" w:rsidRPr="004A4564">
        <w:t>3</w:t>
      </w:r>
      <w:r w:rsidR="002B12B9" w:rsidRPr="004A4564">
        <w:rPr>
          <w:lang w:val="ru-RU"/>
        </w:rPr>
        <w:t>7</w:t>
      </w:r>
      <w:r w:rsidR="002B12B9" w:rsidRPr="00F26A14">
        <w:rPr>
          <w:lang w:val="ru-RU"/>
        </w:rPr>
        <w:t>8</w:t>
      </w:r>
      <w:r w:rsidRPr="004A4564">
        <w:t>,</w:t>
      </w:r>
      <w:r w:rsidRPr="004A4564">
        <w:rPr>
          <w:lang w:val="ru-RU"/>
        </w:rPr>
        <w:t>5</w:t>
      </w:r>
      <w:r w:rsidRPr="004A4564">
        <w:t xml:space="preserve"> млн. лв. или 2</w:t>
      </w:r>
      <w:r w:rsidRPr="004A4564">
        <w:rPr>
          <w:lang w:val="ru-RU"/>
        </w:rPr>
        <w:t>5</w:t>
      </w:r>
      <w:r w:rsidRPr="004A4564">
        <w:t>,</w:t>
      </w:r>
      <w:r w:rsidR="002B12B9" w:rsidRPr="00F26A14">
        <w:rPr>
          <w:lang w:val="ru-RU"/>
        </w:rPr>
        <w:t xml:space="preserve">4 </w:t>
      </w:r>
      <w:r w:rsidRPr="004A4564">
        <w:t>%).</w:t>
      </w:r>
    </w:p>
    <w:p w14:paraId="6200A4C8" w14:textId="3ECE56B2" w:rsidR="0038396E" w:rsidRPr="004A4564" w:rsidRDefault="0038396E" w:rsidP="007007C9">
      <w:pPr>
        <w:ind w:firstLine="709"/>
        <w:jc w:val="both"/>
      </w:pPr>
      <w:r w:rsidRPr="004A4564">
        <w:t>По отчетни данни към 31.12.202</w:t>
      </w:r>
      <w:r w:rsidRPr="004A4564">
        <w:rPr>
          <w:lang w:val="ru-RU"/>
        </w:rPr>
        <w:t>2</w:t>
      </w:r>
      <w:r w:rsidRPr="004A4564">
        <w:t xml:space="preserve"> г. </w:t>
      </w:r>
      <w:r w:rsidRPr="004A4564">
        <w:rPr>
          <w:b/>
          <w:i/>
        </w:rPr>
        <w:t>просрочените задължения</w:t>
      </w:r>
      <w:r w:rsidRPr="004A4564">
        <w:t xml:space="preserve"> по бюджетите на общините са в размер на </w:t>
      </w:r>
      <w:r w:rsidRPr="004A4564">
        <w:rPr>
          <w:lang w:val="ru-RU"/>
        </w:rPr>
        <w:t>91,</w:t>
      </w:r>
      <w:r w:rsidRPr="004A4564">
        <w:t xml:space="preserve">0 млн. лв. и са формирани от </w:t>
      </w:r>
      <w:r w:rsidRPr="004A4564">
        <w:rPr>
          <w:lang w:val="ru-RU"/>
        </w:rPr>
        <w:t>122</w:t>
      </w:r>
      <w:r w:rsidRPr="004A4564">
        <w:t xml:space="preserve"> общини (4</w:t>
      </w:r>
      <w:r w:rsidRPr="004A4564">
        <w:rPr>
          <w:lang w:val="ru-RU"/>
        </w:rPr>
        <w:t>6</w:t>
      </w:r>
      <w:r w:rsidRPr="004A4564">
        <w:t>,</w:t>
      </w:r>
      <w:r w:rsidRPr="004A4564">
        <w:rPr>
          <w:lang w:val="ru-RU"/>
        </w:rPr>
        <w:t>0</w:t>
      </w:r>
      <w:r w:rsidR="00301DD9">
        <w:rPr>
          <w:lang w:val="ru-RU"/>
        </w:rPr>
        <w:t xml:space="preserve"> </w:t>
      </w:r>
      <w:r w:rsidRPr="004A4564">
        <w:t>% от общия брой). Спрямо края на 202</w:t>
      </w:r>
      <w:r w:rsidRPr="004A4564">
        <w:rPr>
          <w:lang w:val="ru-RU"/>
        </w:rPr>
        <w:t>1</w:t>
      </w:r>
      <w:r w:rsidRPr="004A4564">
        <w:t xml:space="preserve"> г. се отчита намаление с </w:t>
      </w:r>
      <w:r w:rsidRPr="004A4564">
        <w:rPr>
          <w:lang w:val="ru-RU"/>
        </w:rPr>
        <w:t>27,7</w:t>
      </w:r>
      <w:r w:rsidRPr="004A4564">
        <w:t xml:space="preserve"> млн. лева. </w:t>
      </w:r>
    </w:p>
    <w:p w14:paraId="4DBE6931" w14:textId="77777777" w:rsidR="0038396E" w:rsidRPr="004A4564" w:rsidRDefault="0038396E" w:rsidP="007007C9">
      <w:pPr>
        <w:ind w:firstLine="709"/>
        <w:jc w:val="both"/>
      </w:pPr>
      <w:r w:rsidRPr="004A4564">
        <w:t xml:space="preserve">В делегираните от държавата дейности просрочените задължения са </w:t>
      </w:r>
      <w:r w:rsidRPr="004A4564">
        <w:rPr>
          <w:lang w:val="ru-RU"/>
        </w:rPr>
        <w:t>1,</w:t>
      </w:r>
      <w:r w:rsidRPr="004A4564">
        <w:t xml:space="preserve">5 млн. лв. и са отчетени от 22 общини, като спрямо края на 2021 г. са намалели с 0,8 млн. лева. </w:t>
      </w:r>
    </w:p>
    <w:p w14:paraId="1CD66328" w14:textId="77777777" w:rsidR="0038396E" w:rsidRPr="004A4564" w:rsidRDefault="0038396E" w:rsidP="007007C9">
      <w:pPr>
        <w:ind w:firstLine="709"/>
        <w:jc w:val="both"/>
      </w:pPr>
      <w:r w:rsidRPr="004A4564">
        <w:t xml:space="preserve">В местните дейности просрочените задължения към края на 2022 г. са в размер на 89,5 млн. лв. и са отчетени от 115 общини. В сравнение с края на 2021 г. просрочените задължения в тези дейности намаляват с 26,8 млн. лева. </w:t>
      </w:r>
    </w:p>
    <w:p w14:paraId="67A6ADA7" w14:textId="77777777" w:rsidR="0038396E" w:rsidRPr="004A4564" w:rsidRDefault="0038396E" w:rsidP="007007C9">
      <w:pPr>
        <w:ind w:firstLine="709"/>
        <w:jc w:val="both"/>
      </w:pPr>
      <w:r w:rsidRPr="004A4564">
        <w:t>През 2022 г. общините отчитат и 3,9 млн. лв. просрочени задължения в сметките за средства от Европейския съюз и други сметки и дейности.</w:t>
      </w:r>
    </w:p>
    <w:p w14:paraId="0060BB62" w14:textId="570954A4" w:rsidR="0038396E" w:rsidRPr="004A4564" w:rsidRDefault="0038396E" w:rsidP="007007C9">
      <w:pPr>
        <w:ind w:firstLine="709"/>
        <w:jc w:val="both"/>
      </w:pPr>
      <w:r w:rsidRPr="004A4564">
        <w:t>Основните причини за отчетените просрочени задължения по общинските бюджети са: ниския</w:t>
      </w:r>
      <w:r w:rsidR="00301DD9">
        <w:t>т</w:t>
      </w:r>
      <w:r w:rsidRPr="004A4564">
        <w:t xml:space="preserve"> размер на изпълняваните собствени приходи, както и ниския</w:t>
      </w:r>
      <w:r w:rsidR="00301DD9">
        <w:t>т</w:t>
      </w:r>
      <w:r w:rsidRPr="004A4564">
        <w:t xml:space="preserve"> приходен капацитет в някои общини; наличие и обслужване на просрочени задължения от предходни години, които утежняват изпълнението на бюджета през текущата година; възникнали разходи </w:t>
      </w:r>
      <w:r w:rsidR="00301DD9">
        <w:t>по</w:t>
      </w:r>
      <w:r w:rsidRPr="004A4564">
        <w:t xml:space="preserve"> изпълнение на дейности по различни оперативни програми и проекти, които не са признати, както и наложени финансови корекции; извършени неотложни разходи по поддържане и ремонт на остаряла материално-техническа база, пътна, техническа и ВиК инфраструктура. </w:t>
      </w:r>
    </w:p>
    <w:p w14:paraId="1A015EAB" w14:textId="556272CB" w:rsidR="0038396E" w:rsidRPr="008C6D1E" w:rsidRDefault="0038396E" w:rsidP="0038396E">
      <w:pPr>
        <w:widowControl w:val="0"/>
        <w:tabs>
          <w:tab w:val="left" w:pos="0"/>
          <w:tab w:val="left" w:pos="540"/>
        </w:tabs>
        <w:ind w:firstLine="851"/>
        <w:jc w:val="both"/>
        <w:rPr>
          <w:color w:val="4F81BD" w:themeColor="accent1"/>
        </w:rPr>
      </w:pPr>
      <w:r w:rsidRPr="004A4564">
        <w:rPr>
          <w:b/>
          <w:i/>
        </w:rPr>
        <w:t>Просрочените вземания</w:t>
      </w:r>
      <w:r w:rsidRPr="004A4564">
        <w:t xml:space="preserve"> на общините към 31.12.2022 г. са в размер на общо 350,2</w:t>
      </w:r>
      <w:r w:rsidR="002D7F88">
        <w:rPr>
          <w:lang w:val="en-US"/>
        </w:rPr>
        <w:t> </w:t>
      </w:r>
      <w:r w:rsidRPr="004A4564">
        <w:t>млн. лв. и са отчетени от 252 общини. В сравнение с края на 2021 г. просрочените вземания са нараснали с 12,0 млн. лв. С най-голям относителен дял са просрочените публични общински вземания – 233,0 млн. лв. или 66,5 на сто от общия размер на просрочените вземания. В много общини са предприети мерки за събиране на дължимите вземания – разпратени са предупредителни писма и покани за доброволно плащане, сключени са допълнителни споразумения за разсрочени плащания и други.</w:t>
      </w:r>
    </w:p>
    <w:p w14:paraId="700EEA8D" w14:textId="77777777" w:rsidR="00E8602D" w:rsidRPr="000D165A" w:rsidRDefault="00E8602D" w:rsidP="004D74B5">
      <w:pPr>
        <w:keepNext/>
        <w:numPr>
          <w:ilvl w:val="1"/>
          <w:numId w:val="4"/>
        </w:numPr>
        <w:spacing w:before="240" w:after="60" w:line="276" w:lineRule="auto"/>
        <w:outlineLvl w:val="1"/>
        <w:rPr>
          <w:b/>
          <w:bCs/>
          <w:szCs w:val="28"/>
        </w:rPr>
      </w:pPr>
      <w:bookmarkStart w:id="453" w:name="_Toc146037928"/>
      <w:r w:rsidRPr="000D165A">
        <w:rPr>
          <w:b/>
          <w:bCs/>
          <w:szCs w:val="28"/>
        </w:rPr>
        <w:t>Бюджети на социалноосигурителните фондове</w:t>
      </w:r>
      <w:bookmarkEnd w:id="453"/>
    </w:p>
    <w:p w14:paraId="07492288" w14:textId="11D49C5D" w:rsidR="00E8602D" w:rsidRPr="000D165A" w:rsidRDefault="00E8602D" w:rsidP="00CC09AC">
      <w:pPr>
        <w:pStyle w:val="Heading3"/>
        <w:numPr>
          <w:ilvl w:val="1"/>
          <w:numId w:val="26"/>
        </w:numPr>
        <w:tabs>
          <w:tab w:val="left" w:pos="851"/>
          <w:tab w:val="left" w:pos="993"/>
          <w:tab w:val="left" w:pos="1134"/>
        </w:tabs>
        <w:spacing w:before="120" w:after="120"/>
        <w:ind w:left="357" w:firstLine="352"/>
        <w:rPr>
          <w:rFonts w:ascii="Times New Roman" w:hAnsi="Times New Roman"/>
          <w:sz w:val="24"/>
          <w:lang w:val="bg-BG"/>
        </w:rPr>
      </w:pPr>
      <w:bookmarkStart w:id="454" w:name="_Toc146037929"/>
      <w:r w:rsidRPr="000D165A">
        <w:rPr>
          <w:rFonts w:ascii="Times New Roman" w:hAnsi="Times New Roman"/>
          <w:sz w:val="24"/>
          <w:lang w:val="bg-BG"/>
        </w:rPr>
        <w:t xml:space="preserve">Бюджет на </w:t>
      </w:r>
      <w:r w:rsidR="00510159" w:rsidRPr="000D165A">
        <w:rPr>
          <w:rFonts w:ascii="Times New Roman" w:hAnsi="Times New Roman"/>
          <w:sz w:val="24"/>
          <w:lang w:val="bg-BG"/>
        </w:rPr>
        <w:t xml:space="preserve">държавното </w:t>
      </w:r>
      <w:r w:rsidRPr="000D165A">
        <w:rPr>
          <w:rFonts w:ascii="Times New Roman" w:hAnsi="Times New Roman"/>
          <w:sz w:val="24"/>
          <w:lang w:val="bg-BG"/>
        </w:rPr>
        <w:t>обществено осигуряване</w:t>
      </w:r>
      <w:bookmarkEnd w:id="454"/>
    </w:p>
    <w:p w14:paraId="4F7A7540" w14:textId="77777777" w:rsidR="000D165A" w:rsidRPr="004A09E5" w:rsidRDefault="000D165A" w:rsidP="000D165A">
      <w:pPr>
        <w:ind w:firstLine="709"/>
        <w:jc w:val="both"/>
        <w:rPr>
          <w:color w:val="0070C0"/>
        </w:rPr>
      </w:pPr>
      <w:bookmarkStart w:id="455" w:name="_Toc136597769"/>
      <w:bookmarkStart w:id="456" w:name="_Toc136601672"/>
      <w:bookmarkStart w:id="457" w:name="_Toc324863446"/>
      <w:bookmarkStart w:id="458" w:name="_Toc326315938"/>
      <w:bookmarkStart w:id="459" w:name="_Toc393728097"/>
      <w:bookmarkStart w:id="460" w:name="_Toc324863447"/>
      <w:bookmarkStart w:id="461" w:name="_Toc261276608"/>
      <w:bookmarkEnd w:id="440"/>
      <w:bookmarkEnd w:id="441"/>
      <w:bookmarkEnd w:id="442"/>
      <w:bookmarkEnd w:id="443"/>
      <w:bookmarkEnd w:id="450"/>
      <w:bookmarkEnd w:id="451"/>
      <w:bookmarkEnd w:id="452"/>
      <w:r w:rsidRPr="00E52C50">
        <w:t xml:space="preserve">Общата сума на </w:t>
      </w:r>
      <w:r w:rsidRPr="00E52C50">
        <w:rPr>
          <w:b/>
        </w:rPr>
        <w:t>приходите</w:t>
      </w:r>
      <w:r w:rsidRPr="00E52C50">
        <w:t xml:space="preserve"> по бюджета на ДОО за 2022 г. възлиза на 9 977,0 млн. лв., което представлява 103,1 % спрямо заложените в актуализирания Закон за бюджета на държавното обществено осигуряване за 2022 г. (ЗБДОО) 9 678,1 млн. лева. Най-голям е делът на приходите от осигурителни вноски (98,6</w:t>
      </w:r>
      <w:r w:rsidRPr="00E52C50">
        <w:rPr>
          <w:lang w:val="en-US"/>
        </w:rPr>
        <w:t> </w:t>
      </w:r>
      <w:r w:rsidRPr="00E52C50">
        <w:t xml:space="preserve">% от общите приходи), които за отчетния период са в размер на 9 841,3 млн. лв.  Изпълнението на приходите от осигурителни вноски спрямо заложените в ЗБДОО за 2022 г. е  103,2 %. Съпоставени с 2021 г., приходите по бюджета </w:t>
      </w:r>
      <w:r w:rsidRPr="004C5D8C">
        <w:t>на ДОО нарастват с 801,5 млн. лв. (8,7</w:t>
      </w:r>
      <w:r w:rsidRPr="004C5D8C">
        <w:rPr>
          <w:lang w:val="en-US"/>
        </w:rPr>
        <w:t> </w:t>
      </w:r>
      <w:r w:rsidRPr="004C5D8C">
        <w:t>%), в т.ч. нарастване на приходите от осигурителни вноски с 1 085,3 млн. лв. или 12,4 %.</w:t>
      </w:r>
    </w:p>
    <w:p w14:paraId="27F0F3E4" w14:textId="77777777" w:rsidR="000D165A" w:rsidRPr="004C5D8C" w:rsidRDefault="000D165A" w:rsidP="000D165A">
      <w:pPr>
        <w:ind w:firstLine="709"/>
        <w:jc w:val="both"/>
      </w:pPr>
      <w:r w:rsidRPr="004C5D8C">
        <w:t>Факторите, които оказват влияние върху състоянието на приходите през 2022 г., са следните:</w:t>
      </w:r>
    </w:p>
    <w:p w14:paraId="61C92AEC" w14:textId="77777777" w:rsidR="000D165A" w:rsidRPr="004C5D8C" w:rsidRDefault="000D165A" w:rsidP="00BD39E0">
      <w:pPr>
        <w:numPr>
          <w:ilvl w:val="0"/>
          <w:numId w:val="56"/>
        </w:numPr>
        <w:ind w:left="851" w:hanging="284"/>
        <w:jc w:val="both"/>
        <w:rPr>
          <w:lang w:eastAsia="en-US"/>
        </w:rPr>
      </w:pPr>
      <w:r w:rsidRPr="004C5D8C">
        <w:rPr>
          <w:lang w:eastAsia="en-US"/>
        </w:rPr>
        <w:t>увеличаване на минималния осигурителен доход за самоосигуряващите се лица от 650 лв. на 710 лв. от 1 април 2022 г.</w:t>
      </w:r>
      <w:r w:rsidRPr="004C5D8C">
        <w:rPr>
          <w:lang w:eastAsia="zh-CN"/>
        </w:rPr>
        <w:t>;</w:t>
      </w:r>
    </w:p>
    <w:p w14:paraId="7D80894E" w14:textId="77777777" w:rsidR="000D165A" w:rsidRPr="002E5AD7" w:rsidRDefault="000D165A" w:rsidP="00BD39E0">
      <w:pPr>
        <w:numPr>
          <w:ilvl w:val="0"/>
          <w:numId w:val="56"/>
        </w:numPr>
        <w:tabs>
          <w:tab w:val="num" w:pos="851"/>
        </w:tabs>
        <w:ind w:left="851" w:hanging="284"/>
        <w:jc w:val="both"/>
        <w:rPr>
          <w:lang w:eastAsia="en-US"/>
        </w:rPr>
      </w:pPr>
      <w:r w:rsidRPr="002E5AD7">
        <w:rPr>
          <w:lang w:eastAsia="en-US"/>
        </w:rPr>
        <w:t>запазване на равнищата на минималните осигурителни доходи по основните икономически дейности и</w:t>
      </w:r>
      <w:r w:rsidRPr="002E5AD7">
        <w:t xml:space="preserve"> квалификационни </w:t>
      </w:r>
      <w:r w:rsidRPr="002E5AD7">
        <w:rPr>
          <w:lang w:eastAsia="en-US"/>
        </w:rPr>
        <w:t>групи професии на нивото от 2021 г., с изключение на позициите, които са под новия размер на минималната работна заплата за 2022 г. (710 лв.), които бяха приравнени на нея от 1 април 2022 г.;</w:t>
      </w:r>
    </w:p>
    <w:p w14:paraId="472072EA" w14:textId="77777777" w:rsidR="000D165A" w:rsidRPr="002E5AD7" w:rsidRDefault="000D165A" w:rsidP="00BD39E0">
      <w:pPr>
        <w:numPr>
          <w:ilvl w:val="0"/>
          <w:numId w:val="56"/>
        </w:numPr>
        <w:tabs>
          <w:tab w:val="num" w:pos="851"/>
        </w:tabs>
        <w:ind w:left="851" w:hanging="284"/>
        <w:jc w:val="both"/>
        <w:rPr>
          <w:lang w:eastAsia="en-US"/>
        </w:rPr>
      </w:pPr>
      <w:r w:rsidRPr="002E5AD7">
        <w:rPr>
          <w:lang w:eastAsia="en-US"/>
        </w:rPr>
        <w:t>увеличение на възнагражденията на педагогическите специалисти и непедагогическия персонал;</w:t>
      </w:r>
    </w:p>
    <w:p w14:paraId="42E56555" w14:textId="77777777" w:rsidR="000D165A" w:rsidRPr="002E5AD7" w:rsidRDefault="000D165A" w:rsidP="00BD39E0">
      <w:pPr>
        <w:numPr>
          <w:ilvl w:val="0"/>
          <w:numId w:val="56"/>
        </w:numPr>
        <w:tabs>
          <w:tab w:val="num" w:pos="851"/>
        </w:tabs>
        <w:ind w:left="851" w:hanging="284"/>
        <w:jc w:val="both"/>
        <w:rPr>
          <w:lang w:eastAsia="en-US"/>
        </w:rPr>
      </w:pPr>
      <w:r w:rsidRPr="002E5AD7">
        <w:rPr>
          <w:lang w:eastAsia="en-US"/>
        </w:rPr>
        <w:t>увеличение на средствата за заплати и възнаграждения на персонала, нает по трудови и служебни правоотношения, включително и на средствата за осигурителни вноски, в бюджетния сектор;</w:t>
      </w:r>
    </w:p>
    <w:p w14:paraId="756D3E0D" w14:textId="77777777" w:rsidR="000D165A" w:rsidRPr="004A09E5" w:rsidRDefault="000D165A" w:rsidP="00BD39E0">
      <w:pPr>
        <w:numPr>
          <w:ilvl w:val="0"/>
          <w:numId w:val="56"/>
        </w:numPr>
        <w:tabs>
          <w:tab w:val="num" w:pos="851"/>
        </w:tabs>
        <w:ind w:left="851" w:hanging="284"/>
        <w:jc w:val="both"/>
        <w:rPr>
          <w:color w:val="0070C0"/>
          <w:lang w:eastAsia="en-US"/>
        </w:rPr>
      </w:pPr>
      <w:r w:rsidRPr="00BB24F3">
        <w:rPr>
          <w:lang w:eastAsia="en-US"/>
        </w:rPr>
        <w:t>увеличение на средствата за заплати и възнаграждения на персонала за изборните длъжности и за заетите в системата на съдебната власт, за които законодателно е регламентиран механизъм за формиране на възнагражденията</w:t>
      </w:r>
      <w:r w:rsidRPr="004A09E5">
        <w:rPr>
          <w:color w:val="0070C0"/>
          <w:lang w:eastAsia="en-US"/>
        </w:rPr>
        <w:t>.</w:t>
      </w:r>
    </w:p>
    <w:p w14:paraId="7AF26032" w14:textId="77777777" w:rsidR="000D165A" w:rsidRPr="004A09E5" w:rsidRDefault="000D165A" w:rsidP="00CC09AC">
      <w:pPr>
        <w:numPr>
          <w:ilvl w:val="0"/>
          <w:numId w:val="25"/>
        </w:numPr>
        <w:tabs>
          <w:tab w:val="num" w:pos="1499"/>
          <w:tab w:val="num" w:pos="2148"/>
        </w:tabs>
        <w:ind w:firstLine="567"/>
        <w:jc w:val="both"/>
        <w:rPr>
          <w:color w:val="0070C0"/>
        </w:rPr>
      </w:pPr>
      <w:r w:rsidRPr="002E5AD7">
        <w:t>увеличението на възнагражденията в частния сектор;</w:t>
      </w:r>
    </w:p>
    <w:p w14:paraId="3F615886" w14:textId="77777777" w:rsidR="000D165A" w:rsidRPr="004A09E5" w:rsidRDefault="000D165A" w:rsidP="000D165A">
      <w:pPr>
        <w:ind w:firstLine="709"/>
        <w:jc w:val="both"/>
        <w:rPr>
          <w:bCs/>
          <w:color w:val="0070C0"/>
        </w:rPr>
      </w:pPr>
      <w:r w:rsidRPr="00690FFF">
        <w:rPr>
          <w:bCs/>
        </w:rPr>
        <w:t>Отчетените неданъчни приходи за 2022 г. по бюджета на ДОО възлизат на 135,7 млн. лв., като преобладават приходите, постъпили по чл. 4б, чл. 4в, чл. 69б от КСО (прехвърлени/възстановени акумулирани средства от осигурителни вноски от</w:t>
      </w:r>
      <w:r w:rsidRPr="00690FFF">
        <w:rPr>
          <w:rFonts w:eastAsia="Calibri"/>
          <w:bCs/>
        </w:rPr>
        <w:t xml:space="preserve"> избор за промяна на осигуряване от универсален пенсионен фонд във фонд „Пенсии“, съответно фонд „Пенсии за лицата по чл. 69“ на ДОО и от професионален пенсионен фонд във фонд „Пенсии“ на ДОО). </w:t>
      </w:r>
      <w:r w:rsidRPr="00690FFF">
        <w:rPr>
          <w:bCs/>
        </w:rPr>
        <w:t>Приходите от глоби, санкции и наказателни лихви са в размер на 29,2 млн. лева.</w:t>
      </w:r>
    </w:p>
    <w:p w14:paraId="148DD7FC" w14:textId="77777777" w:rsidR="000D165A" w:rsidRPr="004553F1" w:rsidRDefault="000D165A" w:rsidP="000D165A">
      <w:pPr>
        <w:tabs>
          <w:tab w:val="num" w:pos="1499"/>
          <w:tab w:val="num" w:pos="2148"/>
        </w:tabs>
        <w:ind w:firstLine="709"/>
        <w:jc w:val="both"/>
        <w:rPr>
          <w:bCs/>
        </w:rPr>
      </w:pPr>
      <w:r w:rsidRPr="004553F1">
        <w:rPr>
          <w:bCs/>
        </w:rPr>
        <w:t xml:space="preserve">Размерът на извършените </w:t>
      </w:r>
      <w:r w:rsidRPr="004553F1">
        <w:rPr>
          <w:b/>
          <w:bCs/>
        </w:rPr>
        <w:t xml:space="preserve">разходи </w:t>
      </w:r>
      <w:r w:rsidRPr="004553F1">
        <w:rPr>
          <w:bCs/>
        </w:rPr>
        <w:t>за 2022 г. по бюджета на ДОО е 18 108,4 млн. лв., което представлява 99,3 % от предвидените в ЗБДОО за 2022 г. средства. Спрямо предходната година общо разходите по бюджета на ДОО са със 793,8 млн. лв. (4,6 %) повече. От структурна гледна точка с най-голям относителен дял в общите разходи са разходите за пенсии</w:t>
      </w:r>
      <w:r>
        <w:rPr>
          <w:bCs/>
        </w:rPr>
        <w:t xml:space="preserve"> (86,3 %)</w:t>
      </w:r>
      <w:r w:rsidRPr="004553F1">
        <w:rPr>
          <w:bCs/>
        </w:rPr>
        <w:t>, обезщетенията и помощи, изплащани на основание Кодекса за социално осигуряване</w:t>
      </w:r>
      <w:r>
        <w:rPr>
          <w:bCs/>
        </w:rPr>
        <w:t xml:space="preserve"> (11,9 %)</w:t>
      </w:r>
      <w:r w:rsidRPr="004553F1">
        <w:rPr>
          <w:bCs/>
        </w:rPr>
        <w:t xml:space="preserve">, както разходите </w:t>
      </w:r>
      <w:r w:rsidRPr="004553F1">
        <w:t>по мярката „60/40“</w:t>
      </w:r>
      <w:r>
        <w:t xml:space="preserve"> (0,9 %)</w:t>
      </w:r>
      <w:r w:rsidRPr="004553F1">
        <w:t xml:space="preserve">, които възлизат на </w:t>
      </w:r>
      <w:r w:rsidRPr="004553F1">
        <w:rPr>
          <w:bCs/>
        </w:rPr>
        <w:t xml:space="preserve">общо 17 955,4 млн. лв. или 99,2 % от общия размер на разходите за годината. </w:t>
      </w:r>
    </w:p>
    <w:p w14:paraId="20A3A714" w14:textId="77777777" w:rsidR="000D165A" w:rsidRDefault="000D165A" w:rsidP="000D165A">
      <w:pPr>
        <w:ind w:firstLine="708"/>
        <w:jc w:val="both"/>
        <w:rPr>
          <w:bCs/>
        </w:rPr>
      </w:pPr>
      <w:r w:rsidRPr="004553F1">
        <w:rPr>
          <w:bCs/>
        </w:rPr>
        <w:t>Отчетените разходи за пенсии по бюджета на ДОО за 2022 г. са в размер на 15 634,7</w:t>
      </w:r>
      <w:r w:rsidRPr="00AA6EF0">
        <w:rPr>
          <w:bCs/>
        </w:rPr>
        <w:t> млн. лв., което е с 1 385,6 млн. лв. повече спрямо 2021 г. През 2022 г. бяха реализирани следните основни мерки в сферата на пенсионната политика</w:t>
      </w:r>
      <w:r>
        <w:rPr>
          <w:bCs/>
        </w:rPr>
        <w:t>:</w:t>
      </w:r>
    </w:p>
    <w:p w14:paraId="414D7D83" w14:textId="77777777" w:rsidR="000D165A" w:rsidRDefault="000D165A" w:rsidP="000D165A">
      <w:pPr>
        <w:ind w:firstLine="708"/>
        <w:jc w:val="both"/>
        <w:rPr>
          <w:bCs/>
        </w:rPr>
      </w:pPr>
      <w:r w:rsidRPr="00AA6EF0">
        <w:rPr>
          <w:bCs/>
        </w:rPr>
        <w:t xml:space="preserve"> – </w:t>
      </w:r>
      <w:r>
        <w:rPr>
          <w:bCs/>
        </w:rPr>
        <w:t>от началото на 2022 г. започна изплащането на</w:t>
      </w:r>
      <w:r w:rsidRPr="00AA6EF0">
        <w:rPr>
          <w:bCs/>
        </w:rPr>
        <w:t xml:space="preserve"> увеличените от 25 декември 2021 г. пенсии</w:t>
      </w:r>
      <w:r>
        <w:rPr>
          <w:bCs/>
        </w:rPr>
        <w:t>;</w:t>
      </w:r>
    </w:p>
    <w:p w14:paraId="54D4DCDC" w14:textId="77777777" w:rsidR="000D165A" w:rsidRDefault="000D165A" w:rsidP="000D165A">
      <w:pPr>
        <w:ind w:firstLine="708"/>
        <w:jc w:val="both"/>
        <w:rPr>
          <w:bCs/>
        </w:rPr>
      </w:pPr>
      <w:r>
        <w:rPr>
          <w:bCs/>
        </w:rPr>
        <w:t>- през</w:t>
      </w:r>
      <w:r w:rsidRPr="00AA6EF0">
        <w:rPr>
          <w:bCs/>
        </w:rPr>
        <w:t xml:space="preserve"> първите шест месеца на годината всички пенсионери получаваха </w:t>
      </w:r>
      <w:r>
        <w:rPr>
          <w:bCs/>
        </w:rPr>
        <w:t xml:space="preserve">и </w:t>
      </w:r>
      <w:r w:rsidRPr="00AA6EF0">
        <w:rPr>
          <w:bCs/>
        </w:rPr>
        <w:t xml:space="preserve">добавка към пенсиите си в размер на </w:t>
      </w:r>
      <w:r>
        <w:rPr>
          <w:bCs/>
        </w:rPr>
        <w:t>60</w:t>
      </w:r>
      <w:r w:rsidRPr="00AA6EF0">
        <w:rPr>
          <w:bCs/>
        </w:rPr>
        <w:t xml:space="preserve"> лв. месечно за сметка на </w:t>
      </w:r>
      <w:r>
        <w:rPr>
          <w:bCs/>
        </w:rPr>
        <w:t xml:space="preserve">средствата, </w:t>
      </w:r>
      <w:r w:rsidRPr="00AA6EF0">
        <w:rPr>
          <w:bCs/>
        </w:rPr>
        <w:t>отпуснатите и заделени в сметка за чужди средства през декември 2021 г.</w:t>
      </w:r>
    </w:p>
    <w:p w14:paraId="0529CEB3" w14:textId="77777777" w:rsidR="000D165A" w:rsidRDefault="000D165A" w:rsidP="000D165A">
      <w:pPr>
        <w:ind w:firstLine="708"/>
        <w:jc w:val="both"/>
      </w:pPr>
      <w:r>
        <w:rPr>
          <w:bCs/>
        </w:rPr>
        <w:t>-</w:t>
      </w:r>
      <w:r w:rsidRPr="00AA6EF0">
        <w:rPr>
          <w:bCs/>
        </w:rPr>
        <w:t xml:space="preserve"> </w:t>
      </w:r>
      <w:r>
        <w:rPr>
          <w:bCs/>
        </w:rPr>
        <w:t>о</w:t>
      </w:r>
      <w:r w:rsidRPr="00AA6EF0">
        <w:rPr>
          <w:bCs/>
        </w:rPr>
        <w:t xml:space="preserve">свен това пенсионерите със </w:t>
      </w:r>
      <w:r w:rsidRPr="00AA6EF0">
        <w:t>завършен ваксинационен курс за COVID-19 до 31 декември 2021 г. или със започнат такъв, или с поставена бустерна доза в периода от 1 януари до 30 юни 2022 г. включително получиха еднократна сума от 75 лв. за сметка отново на заделени средства в сметка за чужди средства</w:t>
      </w:r>
      <w:r>
        <w:t>;</w:t>
      </w:r>
    </w:p>
    <w:p w14:paraId="2FEB5649" w14:textId="77777777" w:rsidR="000D165A" w:rsidRDefault="000D165A" w:rsidP="000D165A">
      <w:pPr>
        <w:ind w:firstLine="708"/>
        <w:jc w:val="both"/>
      </w:pPr>
      <w:r>
        <w:t>- от 1 юли 2022 г. пенсиите бяха увеличени</w:t>
      </w:r>
      <w:r w:rsidRPr="00AA6EF0">
        <w:t xml:space="preserve"> </w:t>
      </w:r>
      <w:r>
        <w:t>с 10 % и към основния размер на пенсията беше включена получаваната до този момент добавка от 60 лв.</w:t>
      </w:r>
    </w:p>
    <w:p w14:paraId="7259FD44" w14:textId="77777777" w:rsidR="000D165A" w:rsidRDefault="000D165A" w:rsidP="000D165A">
      <w:pPr>
        <w:ind w:firstLine="708"/>
        <w:jc w:val="both"/>
      </w:pPr>
      <w:r>
        <w:t>- от 1 октомври 2022 г. бяха увеличени част от пенсиите, като увеличението зависеше от годината на отпускане им;</w:t>
      </w:r>
    </w:p>
    <w:p w14:paraId="0156163D" w14:textId="77777777" w:rsidR="000D165A" w:rsidRDefault="000D165A" w:rsidP="000D165A">
      <w:pPr>
        <w:ind w:firstLine="708"/>
        <w:jc w:val="both"/>
      </w:pPr>
      <w:r>
        <w:t xml:space="preserve">- през м. април и декември всички пенсионери получиха „великденски“ и „коледни“ добавки в размер на 70 лв., за което с ПМС № 43/2022 г. и ПМС № 367/2022 </w:t>
      </w:r>
      <w:r w:rsidRPr="008B4D11">
        <w:t>г. по бюджета на ДОО бяха предоставени трансфери от централния бюджет на стойност</w:t>
      </w:r>
      <w:r>
        <w:t xml:space="preserve"> съответно 142,9 и 142,4 млн. лв.</w:t>
      </w:r>
    </w:p>
    <w:p w14:paraId="5E9FD170" w14:textId="0D0BA5E1" w:rsidR="000D165A" w:rsidRPr="001F68F3" w:rsidRDefault="000D165A" w:rsidP="000D165A">
      <w:pPr>
        <w:ind w:firstLine="708"/>
        <w:jc w:val="both"/>
      </w:pPr>
      <w:r w:rsidRPr="00992605">
        <w:rPr>
          <w:bCs/>
        </w:rPr>
        <w:t>Със З</w:t>
      </w:r>
      <w:r>
        <w:rPr>
          <w:bCs/>
        </w:rPr>
        <w:t>ИД</w:t>
      </w:r>
      <w:r w:rsidRPr="00992605">
        <w:rPr>
          <w:bCs/>
        </w:rPr>
        <w:t xml:space="preserve"> на ЗДОО за 2022 г., считано от 1 юли 2022 г. (ДВ, бр. 51 от 2022 г.), параметрите по бюджета на ДОО бяха изменени, като разходите за пенсии по бюджета на държавното обществено осигуряване бяха увеличени с 1 386,5</w:t>
      </w:r>
      <w:r w:rsidRPr="004D5FFC">
        <w:rPr>
          <w:bCs/>
          <w:lang w:val="ru-RU"/>
        </w:rPr>
        <w:t xml:space="preserve"> </w:t>
      </w:r>
      <w:r w:rsidRPr="00992605">
        <w:rPr>
          <w:bCs/>
        </w:rPr>
        <w:t xml:space="preserve">млн. лв. с оглед финансовото обезпечаване на осъществените на два етапа (от 1 юли 2022 г. и от 1 октомври 2022 г.) промени в параметрите на пенсионната политика. Допълнително с </w:t>
      </w:r>
      <w:r>
        <w:rPr>
          <w:bCs/>
        </w:rPr>
        <w:t>§</w:t>
      </w:r>
      <w:r w:rsidRPr="00992605">
        <w:rPr>
          <w:bCs/>
        </w:rPr>
        <w:t xml:space="preserve"> 31 от преходните и заключителните разпоредби на З</w:t>
      </w:r>
      <w:r>
        <w:rPr>
          <w:bCs/>
        </w:rPr>
        <w:t>ИД</w:t>
      </w:r>
      <w:r w:rsidRPr="00992605">
        <w:rPr>
          <w:bCs/>
        </w:rPr>
        <w:t xml:space="preserve"> на З</w:t>
      </w:r>
      <w:r>
        <w:rPr>
          <w:bCs/>
        </w:rPr>
        <w:t>ДБРБ</w:t>
      </w:r>
      <w:r w:rsidRPr="00992605">
        <w:rPr>
          <w:bCs/>
        </w:rPr>
        <w:t xml:space="preserve"> за 2022 г. (ДВ, бр. 52 от 2022 г.) се регламентира възможността </w:t>
      </w:r>
      <w:r w:rsidRPr="00992605">
        <w:rPr>
          <w:bCs/>
          <w:iCs/>
        </w:rPr>
        <w:t>М</w:t>
      </w:r>
      <w:r>
        <w:rPr>
          <w:bCs/>
          <w:iCs/>
        </w:rPr>
        <w:t>С</w:t>
      </w:r>
      <w:r w:rsidRPr="00992605">
        <w:rPr>
          <w:bCs/>
          <w:iCs/>
        </w:rPr>
        <w:t xml:space="preserve"> да одобри допълнителен трансфер по бюджета на държавното обществено осигуряване за 2022 г. в размер на до 5 500,0 хил. лв. по реда на чл. 109, ал. 3 от З</w:t>
      </w:r>
      <w:r>
        <w:rPr>
          <w:bCs/>
          <w:iCs/>
        </w:rPr>
        <w:t>ПФ</w:t>
      </w:r>
      <w:r w:rsidRPr="00992605">
        <w:rPr>
          <w:bCs/>
          <w:iCs/>
        </w:rPr>
        <w:t xml:space="preserve"> за увеличаване на разходите за персонал на Н</w:t>
      </w:r>
      <w:r>
        <w:rPr>
          <w:bCs/>
          <w:iCs/>
        </w:rPr>
        <w:t>ОИ</w:t>
      </w:r>
      <w:r w:rsidRPr="00992605">
        <w:rPr>
          <w:bCs/>
        </w:rPr>
        <w:t>.</w:t>
      </w:r>
      <w:r>
        <w:rPr>
          <w:bCs/>
        </w:rPr>
        <w:t xml:space="preserve"> </w:t>
      </w:r>
      <w:r w:rsidRPr="00895A4D">
        <w:t xml:space="preserve">Съгласно ПМС № 397 от 2022 г. е одобрен допълнителен трансфер в размер на </w:t>
      </w:r>
      <w:r w:rsidRPr="00895A4D">
        <w:rPr>
          <w:bCs/>
        </w:rPr>
        <w:t>102,0 млн. лв</w:t>
      </w:r>
      <w:r w:rsidRPr="00895A4D">
        <w:rPr>
          <w:b/>
          <w:bCs/>
        </w:rPr>
        <w:t>.</w:t>
      </w:r>
      <w:r w:rsidRPr="00895A4D">
        <w:t xml:space="preserve"> за еднократна сума за компенсация на дохода от пенсии до нивото от месец декември </w:t>
      </w:r>
      <w:r w:rsidRPr="001F68F3">
        <w:t>2021 г. за шест месеца.</w:t>
      </w:r>
    </w:p>
    <w:p w14:paraId="3432A722" w14:textId="77777777" w:rsidR="000D165A" w:rsidRPr="001F68F3" w:rsidRDefault="000D165A" w:rsidP="000D165A">
      <w:pPr>
        <w:ind w:firstLine="709"/>
        <w:jc w:val="both"/>
      </w:pPr>
      <w:r w:rsidRPr="001F68F3">
        <w:t xml:space="preserve"> Отчетените разходи за </w:t>
      </w:r>
      <w:r w:rsidRPr="001F68F3">
        <w:rPr>
          <w:b/>
        </w:rPr>
        <w:t>краткосрочни обезщетения и помощи по КСО</w:t>
      </w:r>
      <w:r w:rsidRPr="001F68F3">
        <w:t xml:space="preserve"> са в размер на 2 </w:t>
      </w:r>
      <w:r w:rsidRPr="004D5FFC">
        <w:rPr>
          <w:lang w:val="ru-RU"/>
        </w:rPr>
        <w:t>162</w:t>
      </w:r>
      <w:r w:rsidRPr="001F68F3">
        <w:t xml:space="preserve">,7 млн. лева. Спрямо предходната година изплатените обезщетения по КСО са с </w:t>
      </w:r>
      <w:r w:rsidRPr="004D5FFC">
        <w:rPr>
          <w:lang w:val="ru-RU"/>
        </w:rPr>
        <w:t>65</w:t>
      </w:r>
      <w:r w:rsidRPr="001F68F3">
        <w:t>,</w:t>
      </w:r>
      <w:r w:rsidRPr="004D5FFC">
        <w:rPr>
          <w:lang w:val="ru-RU"/>
        </w:rPr>
        <w:t>9</w:t>
      </w:r>
      <w:r w:rsidRPr="001F68F3">
        <w:t xml:space="preserve"> млн. лв. (</w:t>
      </w:r>
      <w:r w:rsidRPr="004D5FFC">
        <w:rPr>
          <w:lang w:val="ru-RU"/>
        </w:rPr>
        <w:t>3</w:t>
      </w:r>
      <w:r w:rsidRPr="001F68F3">
        <w:t>,</w:t>
      </w:r>
      <w:r w:rsidRPr="004D5FFC">
        <w:rPr>
          <w:lang w:val="ru-RU"/>
        </w:rPr>
        <w:t>1</w:t>
      </w:r>
      <w:r w:rsidRPr="001F68F3">
        <w:t xml:space="preserve"> %) повече. </w:t>
      </w:r>
      <w:r w:rsidRPr="00DA088F">
        <w:t xml:space="preserve">Най-съществено нарастване сенаблюдава при паричните обезщетения за гледане на малко дете – поради увеличения размер на обезщетението през втората година на майчинството от 650 на 710 лв. от 1 април 2022 г., при паричните обезщетения за временна неработоспособност поради общо заболяване, основно поради продължилата значителна заболяемост от COVID-19 особено в началото на годината, както и при обезщетенията за бременност и раждане. Чувствително намаление се наблюдава при изплатените </w:t>
      </w:r>
      <w:r w:rsidRPr="001F68F3">
        <w:t xml:space="preserve">обезщетения за безработица поради </w:t>
      </w:r>
      <w:r>
        <w:t xml:space="preserve">регистрираните исторически ниски нива на безработица и </w:t>
      </w:r>
      <w:r w:rsidRPr="001F68F3">
        <w:t xml:space="preserve">намаляване на броя на регистрираните лица с право на обезщетение. </w:t>
      </w:r>
    </w:p>
    <w:p w14:paraId="16428272" w14:textId="77777777" w:rsidR="000D165A" w:rsidRPr="009C2ADD" w:rsidRDefault="000D165A" w:rsidP="000D165A">
      <w:pPr>
        <w:ind w:firstLine="709"/>
        <w:jc w:val="both"/>
      </w:pPr>
      <w:r w:rsidRPr="00DA088F">
        <w:rPr>
          <w:bCs/>
        </w:rPr>
        <w:t xml:space="preserve">Извършените </w:t>
      </w:r>
      <w:r w:rsidRPr="00DA088F">
        <w:rPr>
          <w:b/>
        </w:rPr>
        <w:t>разходи и трансфери</w:t>
      </w:r>
      <w:r w:rsidRPr="00DA088F">
        <w:rPr>
          <w:bCs/>
        </w:rPr>
        <w:t xml:space="preserve"> по бюджета на ДОО за запазване на заетостта на работниците и служителите от предприятия с намален оборот в резултата от пандемията от </w:t>
      </w:r>
      <w:r w:rsidRPr="00DA088F">
        <w:rPr>
          <w:bCs/>
          <w:lang w:val="en-US"/>
        </w:rPr>
        <w:t>COVID</w:t>
      </w:r>
      <w:r w:rsidRPr="00DA088F">
        <w:rPr>
          <w:bCs/>
        </w:rPr>
        <w:t>-19 – т.нар. мярка „60/40“ и нейните модификации, са в размер на 162</w:t>
      </w:r>
      <w:r w:rsidRPr="00DA088F">
        <w:t>,1  млн. лв.</w:t>
      </w:r>
    </w:p>
    <w:p w14:paraId="109300A5" w14:textId="77777777" w:rsidR="000D165A" w:rsidRPr="00A34F68" w:rsidRDefault="000D165A" w:rsidP="00CC09AC">
      <w:pPr>
        <w:pStyle w:val="Heading3"/>
        <w:numPr>
          <w:ilvl w:val="1"/>
          <w:numId w:val="26"/>
        </w:numPr>
        <w:tabs>
          <w:tab w:val="left" w:pos="851"/>
          <w:tab w:val="left" w:pos="993"/>
          <w:tab w:val="left" w:pos="1134"/>
        </w:tabs>
        <w:spacing w:before="120" w:after="120"/>
        <w:ind w:left="357" w:firstLine="352"/>
        <w:rPr>
          <w:rFonts w:ascii="Times New Roman" w:hAnsi="Times New Roman"/>
          <w:sz w:val="24"/>
          <w:lang w:val="bg-BG"/>
        </w:rPr>
      </w:pPr>
      <w:bookmarkStart w:id="462" w:name="_Toc51339854"/>
      <w:bookmarkStart w:id="463" w:name="_Toc83045518"/>
      <w:bookmarkStart w:id="464" w:name="_Toc135734250"/>
      <w:bookmarkStart w:id="465" w:name="_Toc146037930"/>
      <w:r w:rsidRPr="009C2ADD">
        <w:rPr>
          <w:rFonts w:ascii="Times New Roman" w:hAnsi="Times New Roman"/>
          <w:sz w:val="24"/>
          <w:lang w:val="bg-BG"/>
        </w:rPr>
        <w:t>Бюджет на Учителски пенсионен фонд</w:t>
      </w:r>
      <w:bookmarkEnd w:id="462"/>
      <w:bookmarkEnd w:id="463"/>
      <w:bookmarkEnd w:id="464"/>
      <w:bookmarkEnd w:id="465"/>
    </w:p>
    <w:p w14:paraId="728C7A61" w14:textId="77777777" w:rsidR="000D165A" w:rsidRPr="00123963" w:rsidRDefault="000D165A" w:rsidP="000D165A">
      <w:pPr>
        <w:ind w:firstLine="709"/>
        <w:jc w:val="both"/>
      </w:pPr>
      <w:r w:rsidRPr="004858BD">
        <w:t xml:space="preserve">Отчетените </w:t>
      </w:r>
      <w:r w:rsidRPr="004858BD">
        <w:rPr>
          <w:b/>
        </w:rPr>
        <w:t>приходи</w:t>
      </w:r>
      <w:r w:rsidRPr="004858BD">
        <w:t xml:space="preserve"> по бюджета на Учителския пенсионен фонд (УПФ) за 202</w:t>
      </w:r>
      <w:r w:rsidRPr="004D5FFC">
        <w:rPr>
          <w:lang w:val="ru-RU"/>
        </w:rPr>
        <w:t>2</w:t>
      </w:r>
      <w:r w:rsidRPr="004858BD">
        <w:t xml:space="preserve"> г. са в размер на 9</w:t>
      </w:r>
      <w:r w:rsidRPr="004D5FFC">
        <w:rPr>
          <w:lang w:val="ru-RU"/>
        </w:rPr>
        <w:t>8</w:t>
      </w:r>
      <w:r w:rsidRPr="004858BD">
        <w:t>,</w:t>
      </w:r>
      <w:r w:rsidRPr="004D5FFC">
        <w:rPr>
          <w:lang w:val="ru-RU"/>
        </w:rPr>
        <w:t>1</w:t>
      </w:r>
      <w:r w:rsidRPr="004858BD">
        <w:t xml:space="preserve"> млн. лв. или изпълнението им възлиза на </w:t>
      </w:r>
      <w:r w:rsidRPr="004D5FFC">
        <w:rPr>
          <w:lang w:val="ru-RU"/>
        </w:rPr>
        <w:t>93</w:t>
      </w:r>
      <w:r w:rsidRPr="004858BD">
        <w:t>,</w:t>
      </w:r>
      <w:r w:rsidRPr="004D5FFC">
        <w:rPr>
          <w:lang w:val="ru-RU"/>
        </w:rPr>
        <w:t>0</w:t>
      </w:r>
      <w:r w:rsidRPr="004858BD">
        <w:t xml:space="preserve"> % от предвидените 105</w:t>
      </w:r>
      <w:r w:rsidRPr="00123963">
        <w:t xml:space="preserve">,5 млн. лв. Същевременно  спрямо 2021 г. приходите нарастват с 6,3 млн. лв. (6,8 %). Постъпленията от осигурителни вноски през годината са в размер на 92,9 млн. лв. или 109,5 % спрямо отчетените през 2021 г. </w:t>
      </w:r>
      <w:r w:rsidRPr="004858BD">
        <w:t xml:space="preserve">Отчетените неданъчни приходи за 2022 г. са в размер на 5,2 млн. лв. или изпълнението им възлиза на 100 %, като отчетените приходи </w:t>
      </w:r>
      <w:r w:rsidRPr="00123963">
        <w:t>почти изцяло са от лихви по ДЦК от портфейла на УПФ.</w:t>
      </w:r>
    </w:p>
    <w:p w14:paraId="123FBD2C" w14:textId="77777777" w:rsidR="000D165A" w:rsidRPr="00123963" w:rsidRDefault="000D165A" w:rsidP="000D165A">
      <w:pPr>
        <w:ind w:firstLine="709"/>
        <w:jc w:val="both"/>
      </w:pPr>
      <w:r w:rsidRPr="00123963">
        <w:t xml:space="preserve">Общите </w:t>
      </w:r>
      <w:r w:rsidRPr="00123963">
        <w:rPr>
          <w:b/>
        </w:rPr>
        <w:t>разходи</w:t>
      </w:r>
      <w:r w:rsidRPr="00123963">
        <w:t xml:space="preserve"> по бюджета на УПФ за 2022 г. са в размер на 69,7 млн. лв. или 83,2 % от планираните. Отчетените разходи почти изцяло представляват изплатени пенсии и добавки от УПФ. </w:t>
      </w:r>
    </w:p>
    <w:p w14:paraId="3249040C" w14:textId="77777777" w:rsidR="000D165A" w:rsidRPr="00123963" w:rsidRDefault="000D165A" w:rsidP="000D165A">
      <w:pPr>
        <w:ind w:firstLine="709"/>
        <w:jc w:val="both"/>
      </w:pPr>
      <w:r w:rsidRPr="00123963">
        <w:t>През 2022 г. по бюджета на УПФ са получени погашения по падежирали ДЦК в размер на 25,2 млн. лв., като не са придобивани ДЦК от нови емисии.</w:t>
      </w:r>
    </w:p>
    <w:p w14:paraId="362D09A4" w14:textId="77777777" w:rsidR="000D165A" w:rsidRPr="004A09E5" w:rsidRDefault="000D165A" w:rsidP="000D165A">
      <w:pPr>
        <w:ind w:firstLine="709"/>
        <w:jc w:val="both"/>
        <w:rPr>
          <w:color w:val="0070C0"/>
        </w:rPr>
      </w:pPr>
    </w:p>
    <w:p w14:paraId="78D7A4C7" w14:textId="77777777" w:rsidR="000D165A" w:rsidRPr="00A34F68" w:rsidRDefault="000D165A" w:rsidP="00CC09AC">
      <w:pPr>
        <w:pStyle w:val="Heading3"/>
        <w:numPr>
          <w:ilvl w:val="1"/>
          <w:numId w:val="26"/>
        </w:numPr>
        <w:tabs>
          <w:tab w:val="left" w:pos="851"/>
          <w:tab w:val="left" w:pos="993"/>
          <w:tab w:val="left" w:pos="1134"/>
        </w:tabs>
        <w:spacing w:before="120" w:after="120"/>
        <w:ind w:left="357" w:firstLine="352"/>
        <w:rPr>
          <w:rFonts w:ascii="Times New Roman" w:hAnsi="Times New Roman"/>
          <w:sz w:val="24"/>
          <w:lang w:val="bg-BG"/>
        </w:rPr>
      </w:pPr>
      <w:bookmarkStart w:id="466" w:name="_Toc51339855"/>
      <w:bookmarkStart w:id="467" w:name="_Toc83045519"/>
      <w:bookmarkStart w:id="468" w:name="_Toc135734251"/>
      <w:bookmarkStart w:id="469" w:name="_Toc146037931"/>
      <w:r w:rsidRPr="00123963">
        <w:rPr>
          <w:rFonts w:ascii="Times New Roman" w:hAnsi="Times New Roman"/>
          <w:sz w:val="24"/>
          <w:lang w:val="bg-BG"/>
        </w:rPr>
        <w:t>Бюджет на фонд „Гарантирани вземания на работниците и служителите”</w:t>
      </w:r>
      <w:bookmarkEnd w:id="466"/>
      <w:bookmarkEnd w:id="467"/>
      <w:bookmarkEnd w:id="468"/>
      <w:bookmarkEnd w:id="469"/>
    </w:p>
    <w:p w14:paraId="03D95C16" w14:textId="77777777" w:rsidR="000D165A" w:rsidRPr="00E53215" w:rsidRDefault="000D165A" w:rsidP="000D165A">
      <w:pPr>
        <w:ind w:firstLine="709"/>
        <w:jc w:val="both"/>
      </w:pPr>
      <w:r w:rsidRPr="00123963">
        <w:rPr>
          <w:b/>
        </w:rPr>
        <w:t>Приходите</w:t>
      </w:r>
      <w:r w:rsidRPr="00123963">
        <w:t xml:space="preserve"> по бюджета на фонд ”Гарантирани вземания на работниците и </w:t>
      </w:r>
      <w:r w:rsidRPr="00794B71">
        <w:t xml:space="preserve">служителите” (ФГВРС) за 2022 г. са в размер на 2,3 млн. лв., което е 91,2 % спрямо предвидените в бюджета на фонда за 2022 г. Постъпилите приходите почти изцяло (99,9 %) представляват получени лихви от ДЦК от портфейла на ФГВРС. Приходите от вноски </w:t>
      </w:r>
      <w:r w:rsidRPr="00E53215">
        <w:t xml:space="preserve">са 0,002 млн. лв. и представляват вноски от работодатели за минали периоди. </w:t>
      </w:r>
    </w:p>
    <w:p w14:paraId="44AE59C9" w14:textId="77777777" w:rsidR="000D165A" w:rsidRPr="00E53215" w:rsidRDefault="000D165A" w:rsidP="000D165A">
      <w:pPr>
        <w:ind w:firstLine="709"/>
        <w:jc w:val="both"/>
      </w:pPr>
      <w:r w:rsidRPr="00E53215">
        <w:t xml:space="preserve">Общите </w:t>
      </w:r>
      <w:r w:rsidRPr="00E53215">
        <w:rPr>
          <w:b/>
        </w:rPr>
        <w:t>разходи</w:t>
      </w:r>
      <w:r w:rsidRPr="00E53215">
        <w:t xml:space="preserve"> по бюджета на ФГВРС за 2022 г. са в размер на 1,2 млн. лв. при предвидени 4,8 млн. лева. От изразходваната сума за гарантирани вземания на работниците и служителите са платени 1,0 млн. лв. </w:t>
      </w:r>
    </w:p>
    <w:p w14:paraId="6FB74AC9" w14:textId="77777777" w:rsidR="000D165A" w:rsidRPr="00E53215" w:rsidRDefault="000D165A" w:rsidP="000D165A">
      <w:pPr>
        <w:ind w:firstLine="709"/>
        <w:jc w:val="both"/>
      </w:pPr>
      <w:r w:rsidRPr="00E53215">
        <w:t>През 2022 г. по сметките на  ФГВРС са получени погашения по ДЦК в размер на 7,4 млн. лв., а закупените ДЦК от нови емисии са в размер на 26,0 млн. лв.</w:t>
      </w:r>
    </w:p>
    <w:p w14:paraId="65BCE7E5" w14:textId="77777777" w:rsidR="000D165A" w:rsidRPr="004A09E5" w:rsidRDefault="000D165A" w:rsidP="000D165A">
      <w:pPr>
        <w:spacing w:after="120"/>
        <w:ind w:firstLine="709"/>
        <w:jc w:val="both"/>
        <w:rPr>
          <w:b/>
          <w:color w:val="0070C0"/>
        </w:rPr>
      </w:pPr>
    </w:p>
    <w:p w14:paraId="1B19252B" w14:textId="77777777" w:rsidR="000D165A" w:rsidRPr="00A34F68" w:rsidRDefault="000D165A" w:rsidP="00CC09AC">
      <w:pPr>
        <w:pStyle w:val="Heading3"/>
        <w:numPr>
          <w:ilvl w:val="1"/>
          <w:numId w:val="26"/>
        </w:numPr>
        <w:tabs>
          <w:tab w:val="left" w:pos="851"/>
          <w:tab w:val="left" w:pos="993"/>
          <w:tab w:val="left" w:pos="1134"/>
        </w:tabs>
        <w:spacing w:before="120" w:after="120"/>
        <w:ind w:left="357" w:firstLine="352"/>
        <w:rPr>
          <w:rFonts w:ascii="Times New Roman" w:hAnsi="Times New Roman"/>
          <w:sz w:val="24"/>
          <w:lang w:val="bg-BG"/>
        </w:rPr>
      </w:pPr>
      <w:bookmarkStart w:id="470" w:name="_Toc51339856"/>
      <w:bookmarkStart w:id="471" w:name="_Toc83045520"/>
      <w:bookmarkStart w:id="472" w:name="_Toc135734252"/>
      <w:bookmarkStart w:id="473" w:name="_Toc146037932"/>
      <w:r w:rsidRPr="00E53215">
        <w:rPr>
          <w:rFonts w:ascii="Times New Roman" w:hAnsi="Times New Roman"/>
          <w:sz w:val="24"/>
          <w:lang w:val="bg-BG"/>
        </w:rPr>
        <w:t>Бюджет на Националната здравноосигурителна каса</w:t>
      </w:r>
      <w:bookmarkEnd w:id="470"/>
      <w:bookmarkEnd w:id="471"/>
      <w:bookmarkEnd w:id="472"/>
      <w:bookmarkEnd w:id="473"/>
    </w:p>
    <w:p w14:paraId="2EB3A875" w14:textId="0973F740" w:rsidR="000D165A" w:rsidRPr="004A09E5" w:rsidRDefault="000D165A" w:rsidP="000D165A">
      <w:pPr>
        <w:ind w:firstLine="709"/>
        <w:jc w:val="both"/>
        <w:rPr>
          <w:color w:val="0070C0"/>
        </w:rPr>
      </w:pPr>
      <w:r w:rsidRPr="00E53215">
        <w:t xml:space="preserve">Общият размер на събраните </w:t>
      </w:r>
      <w:r w:rsidRPr="00E53215">
        <w:rPr>
          <w:b/>
        </w:rPr>
        <w:t>приходи</w:t>
      </w:r>
      <w:r w:rsidRPr="00E53215">
        <w:t xml:space="preserve"> по бюджета на НЗОК за 2022 г. възлиза на 3 831,1 млн. лв., което представлява 101,3 % спрямо предвидените със актуализирания Закон за бюджета на НЗОК (ЗБНЗОК</w:t>
      </w:r>
      <w:r w:rsidRPr="008327EC">
        <w:t>) за 2022 г. – 3 759,2 млн. лева. Постъпленията от здравноосигурителни вноски са в размер на 3 803,5 млн. лв., 101,2 % изпълнение на утвърдените със ЗБНЗОК за 2022 г. средства в размер на 3 759,2 млн. лева. Събраните неданъчни приходи за 2022 г. са 27,6 млн. лв., 119,1 % спрямо заложените в ЗБНЗОК за 2022</w:t>
      </w:r>
      <w:r w:rsidR="00E34021">
        <w:rPr>
          <w:lang w:val="en-US"/>
        </w:rPr>
        <w:t> </w:t>
      </w:r>
      <w:r w:rsidRPr="008327EC">
        <w:t xml:space="preserve">г., като основната част от тях са приходи от глоби, санкции и наказателни лихви. </w:t>
      </w:r>
    </w:p>
    <w:p w14:paraId="3D524F12" w14:textId="77777777" w:rsidR="000D165A" w:rsidRPr="00CD69FE" w:rsidRDefault="000D165A" w:rsidP="000D165A">
      <w:pPr>
        <w:ind w:firstLine="709"/>
        <w:jc w:val="both"/>
        <w:rPr>
          <w:color w:val="0070C0"/>
        </w:rPr>
      </w:pPr>
      <w:r w:rsidRPr="008327EC">
        <w:t>В изпълнение на ПМС № 76</w:t>
      </w:r>
      <w:r>
        <w:t>/</w:t>
      </w:r>
      <w:r w:rsidRPr="008327EC">
        <w:t>2022</w:t>
      </w:r>
      <w:r>
        <w:t xml:space="preserve"> </w:t>
      </w:r>
      <w:r w:rsidRPr="008327EC">
        <w:t>г. и ПМС № 128</w:t>
      </w:r>
      <w:r>
        <w:t>/</w:t>
      </w:r>
      <w:r w:rsidRPr="008327EC">
        <w:t>2022 г. са увеличени получените трансфери от М</w:t>
      </w:r>
      <w:r>
        <w:t>З</w:t>
      </w:r>
      <w:r w:rsidRPr="008327EC">
        <w:t xml:space="preserve"> с 206,9 млн.</w:t>
      </w:r>
      <w:r w:rsidRPr="004D5FFC">
        <w:rPr>
          <w:lang w:val="ru-RU"/>
        </w:rPr>
        <w:t xml:space="preserve"> </w:t>
      </w:r>
      <w:r w:rsidRPr="008327EC">
        <w:t>лв.</w:t>
      </w:r>
      <w:r w:rsidRPr="004D5FFC">
        <w:rPr>
          <w:lang w:val="ru-RU"/>
        </w:rPr>
        <w:t xml:space="preserve"> </w:t>
      </w:r>
      <w:r w:rsidRPr="008327EC">
        <w:t>за осигуряване на средства за заплащане на изпълнителите на медицинска помощ за работа при неблагоприятни условия за срока на обявената извънредна епидемична обстановка съгласно чл. 15а, ал. 1 от Закона за мерките и действията по време на извънредното положение, включително и за заплащане на изпълнителите на медицинска помощ за поставяне на ваксини срещу COVID-19 на здравно неосигурени лица. За дейности във връзка с лечението на лица до 18-годишна възраст и след навършване на тази възраст по чл. 82, ал. 1а, 3 и 6 от Закона за здравето, с ПМС №295</w:t>
      </w:r>
      <w:r>
        <w:t>/</w:t>
      </w:r>
      <w:r w:rsidRPr="008327EC">
        <w:t>2022</w:t>
      </w:r>
      <w:r>
        <w:t xml:space="preserve"> </w:t>
      </w:r>
      <w:r w:rsidRPr="008327EC">
        <w:t>г. са одобрени допълнителни трансфери по бюджета на Националната здравноосигурителна каса от М</w:t>
      </w:r>
      <w:r>
        <w:t>З</w:t>
      </w:r>
      <w:r w:rsidRPr="008327EC">
        <w:t xml:space="preserve"> в размер на 40,2 млн. лв.</w:t>
      </w:r>
      <w:r>
        <w:t xml:space="preserve"> </w:t>
      </w:r>
      <w:r w:rsidRPr="00FE76E8">
        <w:t>В изпълнение на ПМС № 412</w:t>
      </w:r>
      <w:r>
        <w:t>/</w:t>
      </w:r>
      <w:r w:rsidRPr="00FE76E8">
        <w:t xml:space="preserve"> 2022 г. са увеличени получените трансфери от централния бюджет по бюджета на Н</w:t>
      </w:r>
      <w:r>
        <w:t>ЗОК</w:t>
      </w:r>
      <w:r w:rsidRPr="00FE76E8">
        <w:t xml:space="preserve"> с 6,8 млн. лв. за заплащане на здравноосигурителните вноски на лицата с предоставена временна закрила и на лицата по чл. 39, ал. 6, т. 2 и чл. 40а, ал. 3а от Закона за здравното осигуряване, дължими през периода от влизането в сила на Закона за изменение и допълнение на Закона за здравното осигуряване (ДВ, бр. 32 от 2022 г.) до края на 2022 г. Със същото постановление са увеличени и трансферите от М</w:t>
      </w:r>
      <w:r>
        <w:t>З</w:t>
      </w:r>
      <w:r w:rsidRPr="00FE76E8">
        <w:t xml:space="preserve"> с 0,4 млн. лв. за заплащане на медицинската помощ на лицата с предоставена временна закрила и на лицата по чл. 39, ал. 6, т. 2 и чл. 40а, ал. 3а от Закона за здравното осигуряване, оказана до влизането в сила на Закона за изменение и допълнение на Закона за здравното осигуряване (ДВ, бр. 32 от 2022 г.).</w:t>
      </w:r>
      <w:r>
        <w:t xml:space="preserve"> </w:t>
      </w:r>
      <w:r w:rsidRPr="00FE76E8">
        <w:t>Въз основа на приетите постановления са увеличени получените трансфери на НЗОК общо с 254,3 млн. лв.</w:t>
      </w:r>
      <w:r>
        <w:t xml:space="preserve">, </w:t>
      </w:r>
      <w:r w:rsidRPr="00FE76E8">
        <w:t>в т.ч. от М</w:t>
      </w:r>
      <w:r>
        <w:t>З</w:t>
      </w:r>
      <w:r w:rsidRPr="00FE76E8">
        <w:t xml:space="preserve"> с 247,5 млн. лв. и от централния </w:t>
      </w:r>
      <w:r w:rsidRPr="0091225D">
        <w:t>бюджет с 6,8 млн. лв.</w:t>
      </w:r>
      <w:r w:rsidRPr="004D5FFC">
        <w:rPr>
          <w:lang w:val="ru-RU"/>
        </w:rPr>
        <w:t xml:space="preserve">, </w:t>
      </w:r>
      <w:r>
        <w:t>като о</w:t>
      </w:r>
      <w:r w:rsidRPr="0091225D">
        <w:t>бщият размер на предоставените през годината трансфери от централния бюджет е 2 234,2</w:t>
      </w:r>
      <w:r>
        <w:t xml:space="preserve"> млн. лв.</w:t>
      </w:r>
    </w:p>
    <w:p w14:paraId="19B032B8" w14:textId="77777777" w:rsidR="000D165A" w:rsidRPr="004A09E5" w:rsidRDefault="000D165A" w:rsidP="000D165A">
      <w:pPr>
        <w:ind w:firstLine="709"/>
        <w:jc w:val="both"/>
        <w:rPr>
          <w:color w:val="0070C0"/>
        </w:rPr>
      </w:pPr>
      <w:r w:rsidRPr="00CD69FE">
        <w:t xml:space="preserve">Отчетените </w:t>
      </w:r>
      <w:r w:rsidRPr="00CD69FE">
        <w:rPr>
          <w:b/>
        </w:rPr>
        <w:t>разходи</w:t>
      </w:r>
      <w:r w:rsidRPr="00CD69FE">
        <w:t xml:space="preserve"> за 2022 г. са в размер на 6 232,0 млн. лв. и представляват 101,9 % от предвидените в ЗБНЗОК за 2022 г. 6 116,3 млн. лв. </w:t>
      </w:r>
      <w:r w:rsidRPr="00C53CFE">
        <w:t>Преизпълнението спрямо плана е извършено въз основа приети решения на Надзорния съвет на НЗОК, на основание §1, ал.1 от ПЗР на Закона за бюджета на НЗОК за 2022 г., съгласно който преизпълнението на приходите от здравноосигурителни вноски и неданъчни приходи може да се ползва като източник за допълнителни здравноосигурителни плащания над утвърдените разходи и предоставени трансфери по бюджета на НЗОК.</w:t>
      </w:r>
      <w:r>
        <w:t xml:space="preserve"> С</w:t>
      </w:r>
      <w:r w:rsidRPr="00284637">
        <w:t xml:space="preserve"> пост</w:t>
      </w:r>
      <w:r>
        <w:t xml:space="preserve">ановленията на Министерския съвет (посочени по-горе), с които се увеличават получените от НЗОК трансфери, се увеличават и извършваните </w:t>
      </w:r>
      <w:r w:rsidRPr="00284637">
        <w:t xml:space="preserve">разходите и </w:t>
      </w:r>
      <w:r>
        <w:t xml:space="preserve">предоставените </w:t>
      </w:r>
      <w:r w:rsidRPr="00284637">
        <w:t xml:space="preserve">трансферите </w:t>
      </w:r>
      <w:r>
        <w:t xml:space="preserve">от институцията, като предвиденото увеличение е с </w:t>
      </w:r>
      <w:r w:rsidRPr="00284637">
        <w:t>254,3 млн. лв.</w:t>
      </w:r>
    </w:p>
    <w:p w14:paraId="179673C5" w14:textId="77777777" w:rsidR="000D165A" w:rsidRPr="00BE2584" w:rsidRDefault="000D165A" w:rsidP="000D165A">
      <w:pPr>
        <w:ind w:firstLine="709"/>
        <w:jc w:val="both"/>
      </w:pPr>
      <w:r w:rsidRPr="00BE2584">
        <w:t>Най-голям относителен дял в структурата на разходите - 93,2 %, заемат здравноосигурителните плащания, които възлизат на 5 807,2 млн. лв. и</w:t>
      </w:r>
      <w:r w:rsidRPr="00BE2584">
        <w:rPr>
          <w:rFonts w:eastAsia="Calibri"/>
        </w:rPr>
        <w:t xml:space="preserve"> представлява 98,3 % от предвидените със ЗБНЗОК (вкл. резерва, в т.ч. за непредвидени и неотложни разходи) за 2022 г.</w:t>
      </w:r>
      <w:r w:rsidRPr="00BE2584">
        <w:t xml:space="preserve"> Разпределението по отделни видове здравноосигурителни плащания е, както следва: </w:t>
      </w:r>
    </w:p>
    <w:p w14:paraId="01E40584" w14:textId="77777777" w:rsidR="000D165A" w:rsidRPr="00BE2584" w:rsidRDefault="000D165A" w:rsidP="00CC09AC">
      <w:pPr>
        <w:numPr>
          <w:ilvl w:val="0"/>
          <w:numId w:val="31"/>
        </w:numPr>
        <w:tabs>
          <w:tab w:val="num" w:pos="0"/>
          <w:tab w:val="left" w:pos="720"/>
          <w:tab w:val="left" w:pos="1134"/>
        </w:tabs>
        <w:ind w:firstLine="709"/>
        <w:jc w:val="both"/>
        <w:rPr>
          <w:bCs/>
        </w:rPr>
      </w:pPr>
      <w:r w:rsidRPr="00BE2584">
        <w:rPr>
          <w:b/>
          <w:i/>
        </w:rPr>
        <w:t>първична извънболнична медицинска помощ</w:t>
      </w:r>
      <w:r w:rsidRPr="00BE2584">
        <w:rPr>
          <w:i/>
        </w:rPr>
        <w:t xml:space="preserve"> –</w:t>
      </w:r>
      <w:r w:rsidRPr="00BE2584">
        <w:t xml:space="preserve"> 368,7 млн. лева;</w:t>
      </w:r>
      <w:r w:rsidRPr="00BE2584">
        <w:rPr>
          <w:bCs/>
        </w:rPr>
        <w:t xml:space="preserve"> </w:t>
      </w:r>
    </w:p>
    <w:p w14:paraId="23B44E3B" w14:textId="77777777" w:rsidR="000D165A" w:rsidRPr="00BE2584" w:rsidRDefault="000D165A" w:rsidP="00CC09AC">
      <w:pPr>
        <w:numPr>
          <w:ilvl w:val="0"/>
          <w:numId w:val="31"/>
        </w:numPr>
        <w:tabs>
          <w:tab w:val="num" w:pos="0"/>
          <w:tab w:val="left" w:pos="720"/>
          <w:tab w:val="left" w:pos="1134"/>
        </w:tabs>
        <w:ind w:firstLine="709"/>
        <w:jc w:val="both"/>
        <w:rPr>
          <w:i/>
        </w:rPr>
      </w:pPr>
      <w:r w:rsidRPr="00BE2584">
        <w:rPr>
          <w:b/>
          <w:i/>
        </w:rPr>
        <w:t xml:space="preserve">специализирана извънболнична медицинска помощ </w:t>
      </w:r>
      <w:r w:rsidRPr="00BE2584">
        <w:t xml:space="preserve"> – 405,5 млн. лева;</w:t>
      </w:r>
    </w:p>
    <w:p w14:paraId="5729E688" w14:textId="77777777" w:rsidR="000D165A" w:rsidRPr="00BE2584" w:rsidRDefault="000D165A" w:rsidP="00CC09AC">
      <w:pPr>
        <w:numPr>
          <w:ilvl w:val="0"/>
          <w:numId w:val="31"/>
        </w:numPr>
        <w:tabs>
          <w:tab w:val="num" w:pos="0"/>
          <w:tab w:val="left" w:pos="720"/>
          <w:tab w:val="left" w:pos="1134"/>
        </w:tabs>
        <w:ind w:firstLine="709"/>
        <w:jc w:val="both"/>
        <w:rPr>
          <w:b/>
        </w:rPr>
      </w:pPr>
      <w:r w:rsidRPr="00BE2584">
        <w:rPr>
          <w:b/>
          <w:i/>
        </w:rPr>
        <w:t xml:space="preserve">дентална помощ – </w:t>
      </w:r>
      <w:r w:rsidRPr="00BE2584">
        <w:t>256,1 млн. лева;</w:t>
      </w:r>
    </w:p>
    <w:p w14:paraId="7D7DC99E" w14:textId="77777777" w:rsidR="000D165A" w:rsidRPr="00BE2584" w:rsidRDefault="000D165A" w:rsidP="00CC09AC">
      <w:pPr>
        <w:numPr>
          <w:ilvl w:val="0"/>
          <w:numId w:val="31"/>
        </w:numPr>
        <w:tabs>
          <w:tab w:val="num" w:pos="0"/>
          <w:tab w:val="left" w:pos="720"/>
          <w:tab w:val="left" w:pos="1134"/>
        </w:tabs>
        <w:ind w:firstLine="709"/>
        <w:jc w:val="both"/>
        <w:rPr>
          <w:b/>
          <w:i/>
        </w:rPr>
      </w:pPr>
      <w:r w:rsidRPr="00BE2584">
        <w:rPr>
          <w:b/>
          <w:i/>
        </w:rPr>
        <w:t xml:space="preserve">медико-диагностична дейност </w:t>
      </w:r>
      <w:r w:rsidRPr="00BE2584">
        <w:t>– 196,6 млн. лева;</w:t>
      </w:r>
      <w:r w:rsidRPr="00BE2584">
        <w:rPr>
          <w:b/>
          <w:i/>
        </w:rPr>
        <w:t xml:space="preserve"> </w:t>
      </w:r>
    </w:p>
    <w:p w14:paraId="5DACA6E9" w14:textId="77777777" w:rsidR="000D165A" w:rsidRPr="00BE2584" w:rsidRDefault="000D165A" w:rsidP="00CC09AC">
      <w:pPr>
        <w:numPr>
          <w:ilvl w:val="0"/>
          <w:numId w:val="31"/>
        </w:numPr>
        <w:tabs>
          <w:tab w:val="num" w:pos="0"/>
          <w:tab w:val="left" w:pos="720"/>
          <w:tab w:val="left" w:pos="1134"/>
        </w:tabs>
        <w:ind w:firstLine="709"/>
        <w:jc w:val="both"/>
      </w:pPr>
      <w:r w:rsidRPr="00BE2584">
        <w:rPr>
          <w:b/>
          <w:i/>
        </w:rPr>
        <w:t xml:space="preserve">лекарствени продукти, медицински изделия и диетични храни за домашно лечение на територията на страната </w:t>
      </w:r>
      <w:r w:rsidRPr="00BE2584">
        <w:t>– 895,6 млн. лева;</w:t>
      </w:r>
    </w:p>
    <w:p w14:paraId="438C23DE" w14:textId="77777777" w:rsidR="000D165A" w:rsidRPr="00BE2584" w:rsidRDefault="000D165A" w:rsidP="00CC09AC">
      <w:pPr>
        <w:numPr>
          <w:ilvl w:val="0"/>
          <w:numId w:val="31"/>
        </w:numPr>
        <w:tabs>
          <w:tab w:val="num" w:pos="0"/>
          <w:tab w:val="left" w:pos="720"/>
          <w:tab w:val="left" w:pos="1134"/>
        </w:tabs>
        <w:ind w:firstLine="709"/>
        <w:jc w:val="both"/>
      </w:pPr>
      <w:r w:rsidRPr="00BE2584">
        <w:rPr>
          <w:b/>
          <w:i/>
        </w:rPr>
        <w:t xml:space="preserve"> лекарствени продукти за лечение на злокачествени заболявания в условията на болнична медицинска помощ</w:t>
      </w:r>
      <w:r w:rsidRPr="00BE2584">
        <w:t xml:space="preserve"> – 612,6 млн. лева; </w:t>
      </w:r>
    </w:p>
    <w:p w14:paraId="7248D2B6" w14:textId="77777777" w:rsidR="000D165A" w:rsidRPr="00BE2584" w:rsidRDefault="000D165A" w:rsidP="00CC09AC">
      <w:pPr>
        <w:numPr>
          <w:ilvl w:val="0"/>
          <w:numId w:val="31"/>
        </w:numPr>
        <w:tabs>
          <w:tab w:val="num" w:pos="0"/>
          <w:tab w:val="left" w:pos="720"/>
          <w:tab w:val="left" w:pos="1134"/>
        </w:tabs>
        <w:ind w:firstLine="709"/>
        <w:jc w:val="both"/>
      </w:pPr>
      <w:r w:rsidRPr="00BE2584">
        <w:rPr>
          <w:b/>
          <w:i/>
        </w:rPr>
        <w:t>медицински изделия, прилагани в болничната помощ –</w:t>
      </w:r>
      <w:r w:rsidRPr="00BE2584">
        <w:t xml:space="preserve"> 111,8 млн. лева;</w:t>
      </w:r>
    </w:p>
    <w:p w14:paraId="6EC892DD" w14:textId="77777777" w:rsidR="000D165A" w:rsidRPr="00BE2584" w:rsidRDefault="000D165A" w:rsidP="00CC09AC">
      <w:pPr>
        <w:numPr>
          <w:ilvl w:val="0"/>
          <w:numId w:val="31"/>
        </w:numPr>
        <w:tabs>
          <w:tab w:val="num" w:pos="0"/>
          <w:tab w:val="left" w:pos="720"/>
          <w:tab w:val="left" w:pos="1134"/>
        </w:tabs>
        <w:ind w:firstLine="709"/>
        <w:jc w:val="both"/>
      </w:pPr>
      <w:r w:rsidRPr="00BE2584">
        <w:rPr>
          <w:b/>
          <w:i/>
        </w:rPr>
        <w:t>болнична медицинска помощ –</w:t>
      </w:r>
      <w:r w:rsidRPr="00BE2584">
        <w:t xml:space="preserve"> 2 810,6 млн. лева;</w:t>
      </w:r>
    </w:p>
    <w:p w14:paraId="1FB72724" w14:textId="77777777" w:rsidR="000D165A" w:rsidRPr="00BE2584" w:rsidRDefault="000D165A" w:rsidP="00CC09AC">
      <w:pPr>
        <w:numPr>
          <w:ilvl w:val="0"/>
          <w:numId w:val="31"/>
        </w:numPr>
        <w:tabs>
          <w:tab w:val="num" w:pos="0"/>
          <w:tab w:val="left" w:pos="720"/>
          <w:tab w:val="left" w:pos="1134"/>
        </w:tabs>
        <w:ind w:firstLine="709"/>
        <w:jc w:val="both"/>
      </w:pPr>
      <w:r w:rsidRPr="00BE2584">
        <w:rPr>
          <w:b/>
          <w:i/>
        </w:rPr>
        <w:t xml:space="preserve"> други здравноосигурителни плащания  </w:t>
      </w:r>
      <w:r w:rsidRPr="00BE2584">
        <w:t>– 149,7 млн. лева.</w:t>
      </w:r>
    </w:p>
    <w:p w14:paraId="5065577C" w14:textId="77777777" w:rsidR="000D165A" w:rsidRPr="004A09E5" w:rsidRDefault="000D165A" w:rsidP="000D165A">
      <w:pPr>
        <w:ind w:firstLine="709"/>
        <w:jc w:val="both"/>
        <w:rPr>
          <w:color w:val="0070C0"/>
        </w:rPr>
      </w:pPr>
      <w:r w:rsidRPr="00BE2584">
        <w:t>Като здравноосигурителни плащания следва да се третират и преведените 141,9 млн. лв. трансфери по договори за извършване на медицински услуги към  бюджетни организации, в структурата на които има лечебни заведения по чл. 5 от Закона за лечебните заведения. Заедно с преведените трансфери усвоените средства за здравноосигурителни плащания възлизат на 5 949,1 млн. лв.</w:t>
      </w:r>
    </w:p>
    <w:p w14:paraId="5ADA0DDB" w14:textId="77777777" w:rsidR="000D165A" w:rsidRPr="00BE2584" w:rsidRDefault="000D165A" w:rsidP="000D165A">
      <w:pPr>
        <w:ind w:firstLine="709"/>
        <w:jc w:val="both"/>
      </w:pPr>
      <w:r w:rsidRPr="00BE2584">
        <w:t>За 2022 г. са отчетени плащания в размер на 137,9 млн. лв. от предоставения трансфер от МЗ за дейности за здравнонеосигурени лица, лекарствени продукти, за потребителска такса и  за поставяне на ваксини срещу COVID-19.</w:t>
      </w:r>
    </w:p>
    <w:p w14:paraId="7A527447" w14:textId="77777777" w:rsidR="000D165A" w:rsidRPr="00B15E0D" w:rsidRDefault="000D165A" w:rsidP="000D165A">
      <w:pPr>
        <w:ind w:firstLine="709"/>
        <w:jc w:val="both"/>
      </w:pPr>
      <w:r w:rsidRPr="00B15E0D">
        <w:t xml:space="preserve">За осигуряване на средства за заплащане на персонала на изпълнителите на медицинска помощ, пряко ангажиран с дейности по време </w:t>
      </w:r>
      <w:r w:rsidRPr="00B15E0D">
        <w:rPr>
          <w:lang w:val="ru-RU"/>
        </w:rPr>
        <w:t xml:space="preserve"> </w:t>
      </w:r>
      <w:r w:rsidRPr="00B15E0D">
        <w:t>на извънредната епидемична обстановка поради разпространение на COVID-19, през 2022 г. са изразходвани 197,9 млн. лв., в т.ч. 160,3 млн. лв. за изпълнителите на болнична медицинска помощ и 37,6 млн. лв. за изпълнителите на първична и специализирана извънболнична медицинска помощ и медико-диагностичните лаборатории.</w:t>
      </w:r>
    </w:p>
    <w:p w14:paraId="4843D34F" w14:textId="77777777" w:rsidR="000D165A" w:rsidRPr="004A09E5" w:rsidRDefault="000D165A" w:rsidP="000D165A">
      <w:pPr>
        <w:ind w:firstLine="708"/>
        <w:jc w:val="both"/>
        <w:rPr>
          <w:rFonts w:eastAsia="Calibri"/>
          <w:color w:val="0070C0"/>
        </w:rPr>
      </w:pPr>
      <w:r w:rsidRPr="007C663A">
        <w:t xml:space="preserve">Отчетените административни разходи на НЗОК за 2022 г., които включват  разходите за персонал, за текуща издръжка и платени лихви, са в размер на 84,5 млн. лева. </w:t>
      </w:r>
      <w:r w:rsidRPr="007C663A">
        <w:rPr>
          <w:rFonts w:eastAsia="Calibri"/>
        </w:rPr>
        <w:t>Относителният дял на усвоените средства за административни разходи е 1,4 на сто от отчетените общи разходи за годината. Разходите за придобиване на дълготрайни активи и основен ремонт са в размер на 4,5 млн. лева.</w:t>
      </w:r>
    </w:p>
    <w:p w14:paraId="6F0970C3" w14:textId="2CFCA78F" w:rsidR="00EC1776" w:rsidRPr="00983EC5" w:rsidRDefault="00EC1776" w:rsidP="004D74B5">
      <w:pPr>
        <w:pStyle w:val="Heading2"/>
        <w:numPr>
          <w:ilvl w:val="1"/>
          <w:numId w:val="4"/>
        </w:numPr>
        <w:rPr>
          <w:rFonts w:ascii="Times New Roman" w:hAnsi="Times New Roman" w:cs="Times New Roman"/>
          <w:i w:val="0"/>
          <w:iCs w:val="0"/>
          <w:sz w:val="24"/>
        </w:rPr>
      </w:pPr>
      <w:bookmarkStart w:id="474" w:name="_Toc146037933"/>
      <w:r w:rsidRPr="00983EC5">
        <w:rPr>
          <w:rFonts w:ascii="Times New Roman" w:hAnsi="Times New Roman" w:cs="Times New Roman"/>
          <w:i w:val="0"/>
          <w:iCs w:val="0"/>
          <w:sz w:val="24"/>
        </w:rPr>
        <w:t xml:space="preserve">Бюджети по чл. 13, ал. 3 </w:t>
      </w:r>
      <w:r w:rsidR="00E4121B" w:rsidRPr="00983EC5">
        <w:rPr>
          <w:rFonts w:ascii="Times New Roman" w:hAnsi="Times New Roman" w:cs="Times New Roman"/>
          <w:i w:val="0"/>
          <w:iCs w:val="0"/>
          <w:sz w:val="24"/>
        </w:rPr>
        <w:t xml:space="preserve">от </w:t>
      </w:r>
      <w:r w:rsidRPr="00983EC5">
        <w:rPr>
          <w:rFonts w:ascii="Times New Roman" w:hAnsi="Times New Roman" w:cs="Times New Roman"/>
          <w:i w:val="0"/>
          <w:iCs w:val="0"/>
          <w:sz w:val="24"/>
        </w:rPr>
        <w:t>Закона за публичните финанси</w:t>
      </w:r>
      <w:r w:rsidR="009B1291" w:rsidRPr="00983EC5">
        <w:rPr>
          <w:rFonts w:ascii="Times New Roman" w:hAnsi="Times New Roman" w:cs="Times New Roman"/>
          <w:i w:val="0"/>
          <w:iCs w:val="0"/>
          <w:sz w:val="24"/>
        </w:rPr>
        <w:t xml:space="preserve"> и бюджет на</w:t>
      </w:r>
      <w:r w:rsidR="00CF10BC" w:rsidRPr="00983EC5">
        <w:rPr>
          <w:rFonts w:ascii="Times New Roman" w:hAnsi="Times New Roman" w:cs="Times New Roman"/>
          <w:i w:val="0"/>
          <w:iCs w:val="0"/>
          <w:sz w:val="24"/>
        </w:rPr>
        <w:t xml:space="preserve">  Селскостопанска академия</w:t>
      </w:r>
      <w:bookmarkEnd w:id="474"/>
    </w:p>
    <w:p w14:paraId="755C989D" w14:textId="77777777" w:rsidR="00B6625C" w:rsidRPr="00983EC5" w:rsidRDefault="00B6625C" w:rsidP="004D74B5">
      <w:pPr>
        <w:pStyle w:val="Heading3"/>
        <w:numPr>
          <w:ilvl w:val="1"/>
          <w:numId w:val="9"/>
        </w:numPr>
        <w:spacing w:after="120"/>
        <w:rPr>
          <w:rFonts w:ascii="Times New Roman" w:hAnsi="Times New Roman"/>
          <w:sz w:val="24"/>
          <w:lang w:val="bg-BG"/>
        </w:rPr>
      </w:pPr>
      <w:bookmarkStart w:id="475" w:name="_Toc326165959"/>
      <w:bookmarkStart w:id="476" w:name="_Toc326166062"/>
      <w:bookmarkStart w:id="477" w:name="_Toc326226661"/>
      <w:bookmarkStart w:id="478" w:name="_Toc430165310"/>
      <w:bookmarkStart w:id="479" w:name="_Toc462146147"/>
      <w:bookmarkStart w:id="480" w:name="_Toc324863451"/>
      <w:bookmarkStart w:id="481" w:name="_Toc393728103"/>
      <w:bookmarkStart w:id="482" w:name="_Toc146037934"/>
      <w:bookmarkEnd w:id="455"/>
      <w:bookmarkEnd w:id="456"/>
      <w:bookmarkEnd w:id="457"/>
      <w:bookmarkEnd w:id="458"/>
      <w:bookmarkEnd w:id="459"/>
      <w:bookmarkEnd w:id="460"/>
      <w:bookmarkEnd w:id="461"/>
      <w:bookmarkEnd w:id="475"/>
      <w:bookmarkEnd w:id="476"/>
      <w:bookmarkEnd w:id="477"/>
      <w:r w:rsidRPr="00983EC5">
        <w:rPr>
          <w:rFonts w:ascii="Times New Roman" w:hAnsi="Times New Roman"/>
          <w:sz w:val="24"/>
          <w:lang w:val="bg-BG"/>
        </w:rPr>
        <w:t>Държавни висши училища</w:t>
      </w:r>
      <w:bookmarkEnd w:id="478"/>
      <w:bookmarkEnd w:id="479"/>
      <w:bookmarkEnd w:id="482"/>
    </w:p>
    <w:p w14:paraId="62CA980A" w14:textId="77777777" w:rsidR="00983EC5" w:rsidRPr="000A2FC7" w:rsidRDefault="00983EC5" w:rsidP="00983EC5">
      <w:pPr>
        <w:ind w:firstLine="720"/>
        <w:jc w:val="both"/>
      </w:pPr>
      <w:r w:rsidRPr="000A2FC7">
        <w:rPr>
          <w:b/>
        </w:rPr>
        <w:t>Приходите и помощите</w:t>
      </w:r>
      <w:r w:rsidRPr="000A2FC7">
        <w:t xml:space="preserve"> на ДВУ за 202</w:t>
      </w:r>
      <w:r w:rsidRPr="00093242">
        <w:t>2</w:t>
      </w:r>
      <w:r w:rsidRPr="000A2FC7">
        <w:t xml:space="preserve"> г. възлизат на </w:t>
      </w:r>
      <w:r w:rsidRPr="00093242">
        <w:t>406</w:t>
      </w:r>
      <w:r w:rsidRPr="000A2FC7">
        <w:t>,</w:t>
      </w:r>
      <w:r w:rsidRPr="00093242">
        <w:t>0</w:t>
      </w:r>
      <w:r w:rsidRPr="000A2FC7">
        <w:t xml:space="preserve"> млн. лв., което е повече с </w:t>
      </w:r>
      <w:r w:rsidRPr="00093242">
        <w:t>19</w:t>
      </w:r>
      <w:r w:rsidRPr="000A2FC7">
        <w:t>,</w:t>
      </w:r>
      <w:r w:rsidRPr="00093242">
        <w:t>4</w:t>
      </w:r>
      <w:r w:rsidRPr="000A2FC7">
        <w:t xml:space="preserve"> млн. лв. (</w:t>
      </w:r>
      <w:r w:rsidRPr="00093242">
        <w:t>5</w:t>
      </w:r>
      <w:r w:rsidRPr="000A2FC7">
        <w:t>,</w:t>
      </w:r>
      <w:r w:rsidRPr="00093242">
        <w:t>0</w:t>
      </w:r>
      <w:r w:rsidRPr="000A2FC7">
        <w:t xml:space="preserve"> %) спрямо отчетените през 202</w:t>
      </w:r>
      <w:r w:rsidRPr="00093242">
        <w:t>1</w:t>
      </w:r>
      <w:r w:rsidRPr="000A2FC7">
        <w:t xml:space="preserve"> г. Спрямо разчетите към ЗДБРБ за 202</w:t>
      </w:r>
      <w:r w:rsidRPr="00093242">
        <w:t>2</w:t>
      </w:r>
      <w:r w:rsidRPr="000A2FC7">
        <w:t xml:space="preserve"> г. изпълнението е 11</w:t>
      </w:r>
      <w:r w:rsidRPr="00093242">
        <w:t>8</w:t>
      </w:r>
      <w:r w:rsidRPr="000A2FC7">
        <w:t>,</w:t>
      </w:r>
      <w:r w:rsidRPr="00093242">
        <w:t>1</w:t>
      </w:r>
      <w:r w:rsidRPr="000A2FC7">
        <w:t xml:space="preserve"> %. Основна част от тях – </w:t>
      </w:r>
      <w:r w:rsidRPr="00093242">
        <w:t>402</w:t>
      </w:r>
      <w:r w:rsidRPr="000A2FC7">
        <w:t>,</w:t>
      </w:r>
      <w:r w:rsidRPr="00093242">
        <w:t>6</w:t>
      </w:r>
      <w:r w:rsidRPr="000A2FC7">
        <w:t xml:space="preserve"> млн. лв. са неданъчните приходи, а 3,</w:t>
      </w:r>
      <w:r w:rsidRPr="00093242">
        <w:t>5</w:t>
      </w:r>
      <w:r w:rsidRPr="000A2FC7">
        <w:t xml:space="preserve"> млн. лв. са получени помощи и дарения. </w:t>
      </w:r>
    </w:p>
    <w:p w14:paraId="1137A8F7" w14:textId="77777777" w:rsidR="00983EC5" w:rsidRPr="000A2FC7" w:rsidRDefault="00983EC5" w:rsidP="00983EC5">
      <w:pPr>
        <w:ind w:firstLine="720"/>
        <w:jc w:val="both"/>
      </w:pPr>
      <w:r w:rsidRPr="000A2FC7">
        <w:t>Неданъчните приходи нарастват спрямо 202</w:t>
      </w:r>
      <w:r w:rsidRPr="00093242">
        <w:t>1</w:t>
      </w:r>
      <w:r w:rsidRPr="000A2FC7">
        <w:t xml:space="preserve"> г. с </w:t>
      </w:r>
      <w:r w:rsidRPr="00093242">
        <w:t>19</w:t>
      </w:r>
      <w:r w:rsidRPr="000A2FC7">
        <w:t>,</w:t>
      </w:r>
      <w:r w:rsidRPr="00093242">
        <w:t>3</w:t>
      </w:r>
      <w:r w:rsidRPr="000A2FC7">
        <w:t xml:space="preserve"> млн. лв. или </w:t>
      </w:r>
      <w:r w:rsidRPr="00093242">
        <w:t>5</w:t>
      </w:r>
      <w:r w:rsidRPr="000A2FC7">
        <w:t>,0 %. Преобладаващата част от тях (3</w:t>
      </w:r>
      <w:r w:rsidRPr="00093242">
        <w:t>75</w:t>
      </w:r>
      <w:r w:rsidRPr="000A2FC7">
        <w:t>,1 млн. лв.) представляват нетни приходи от продажба на услуги, стоки и продукция и се формират от семестриални такси за обучение на студентите, докторантите и специализантите, както и от приходите по договори за научно–изследователска дейност, проекти на държавните висши училища и др. Тези постъпления представляват 92,</w:t>
      </w:r>
      <w:r w:rsidRPr="00093242">
        <w:t>4</w:t>
      </w:r>
      <w:r w:rsidRPr="000A2FC7">
        <w:t xml:space="preserve"> % от реализираните общо приходи за годината. </w:t>
      </w:r>
    </w:p>
    <w:p w14:paraId="1F59C820" w14:textId="77777777" w:rsidR="00983EC5" w:rsidRPr="000A2FC7" w:rsidRDefault="00983EC5" w:rsidP="00983EC5">
      <w:pPr>
        <w:ind w:firstLine="720"/>
        <w:jc w:val="both"/>
      </w:pPr>
      <w:r w:rsidRPr="000A2FC7">
        <w:t>Приходите от наеми на имущество и земя, реализирани от ДВУ, възлизат на 3</w:t>
      </w:r>
      <w:r w:rsidRPr="00093242">
        <w:t>3</w:t>
      </w:r>
      <w:r w:rsidRPr="000A2FC7">
        <w:t>,</w:t>
      </w:r>
      <w:r w:rsidRPr="00093242">
        <w:t>3</w:t>
      </w:r>
      <w:r w:rsidRPr="000A2FC7">
        <w:rPr>
          <w:lang w:val="ru-RU"/>
        </w:rPr>
        <w:t xml:space="preserve"> </w:t>
      </w:r>
      <w:r w:rsidRPr="000A2FC7">
        <w:t xml:space="preserve">млн. лв. и представляват </w:t>
      </w:r>
      <w:r w:rsidRPr="009A7BC9">
        <w:t>8</w:t>
      </w:r>
      <w:r w:rsidRPr="000A2FC7">
        <w:rPr>
          <w:lang w:val="ru-RU"/>
        </w:rPr>
        <w:t>,</w:t>
      </w:r>
      <w:r w:rsidRPr="009A7BC9">
        <w:rPr>
          <w:lang w:val="ru-RU"/>
        </w:rPr>
        <w:t>2</w:t>
      </w:r>
      <w:r w:rsidRPr="000A2FC7">
        <w:t xml:space="preserve"> % от реализираните общи приходи за 202</w:t>
      </w:r>
      <w:r w:rsidRPr="009A7BC9">
        <w:t>2</w:t>
      </w:r>
      <w:r w:rsidRPr="000A2FC7">
        <w:t xml:space="preserve"> година. Получените помощи и дарения от ДВУ през 202</w:t>
      </w:r>
      <w:r w:rsidRPr="009A7BC9">
        <w:t>2</w:t>
      </w:r>
      <w:r w:rsidRPr="000A2FC7">
        <w:t xml:space="preserve"> г. са в размер на 3,</w:t>
      </w:r>
      <w:r w:rsidRPr="009A7BC9">
        <w:t>5</w:t>
      </w:r>
      <w:r w:rsidRPr="000A2FC7">
        <w:t xml:space="preserve"> млн. лв., в т.ч. </w:t>
      </w:r>
      <w:r w:rsidRPr="009A7BC9">
        <w:t>2</w:t>
      </w:r>
      <w:r w:rsidRPr="000A2FC7">
        <w:t>,</w:t>
      </w:r>
      <w:r w:rsidRPr="009A7BC9">
        <w:t>1</w:t>
      </w:r>
      <w:r w:rsidRPr="000A2FC7">
        <w:t xml:space="preserve"> млн. лв. от страната и 1,</w:t>
      </w:r>
      <w:r w:rsidRPr="009A7BC9">
        <w:t>4</w:t>
      </w:r>
      <w:r w:rsidRPr="000A2FC7">
        <w:t xml:space="preserve"> млн. лв. от чужбина.</w:t>
      </w:r>
    </w:p>
    <w:p w14:paraId="525F3689" w14:textId="77777777" w:rsidR="00983EC5" w:rsidRPr="000A2FC7" w:rsidRDefault="00983EC5" w:rsidP="00983EC5">
      <w:pPr>
        <w:ind w:firstLine="720"/>
        <w:jc w:val="both"/>
      </w:pPr>
      <w:r w:rsidRPr="000A2FC7">
        <w:rPr>
          <w:b/>
        </w:rPr>
        <w:t>Разходите</w:t>
      </w:r>
      <w:r w:rsidRPr="000A2FC7">
        <w:t xml:space="preserve"> по бюджетите на ДВУ за 202</w:t>
      </w:r>
      <w:r w:rsidRPr="00717EBE">
        <w:t>2</w:t>
      </w:r>
      <w:r w:rsidRPr="000A2FC7">
        <w:t xml:space="preserve"> г. възлизат на 1 </w:t>
      </w:r>
      <w:r w:rsidRPr="00717EBE">
        <w:t>156</w:t>
      </w:r>
      <w:r w:rsidRPr="000A2FC7">
        <w:rPr>
          <w:lang w:val="ru-RU"/>
        </w:rPr>
        <w:t>,</w:t>
      </w:r>
      <w:r w:rsidRPr="00717EBE">
        <w:rPr>
          <w:lang w:val="ru-RU"/>
        </w:rPr>
        <w:t>5</w:t>
      </w:r>
      <w:r w:rsidRPr="000A2FC7">
        <w:t xml:space="preserve"> млн. лв., което представлява 1</w:t>
      </w:r>
      <w:r w:rsidRPr="00717EBE">
        <w:t>13</w:t>
      </w:r>
      <w:r w:rsidRPr="000A2FC7">
        <w:t>,</w:t>
      </w:r>
      <w:r w:rsidRPr="00717EBE">
        <w:t>0</w:t>
      </w:r>
      <w:r w:rsidRPr="000A2FC7">
        <w:t xml:space="preserve"> % спрямо предвидените в разчетите към ЗДБРБ за 202</w:t>
      </w:r>
      <w:r w:rsidRPr="00717EBE">
        <w:t>2</w:t>
      </w:r>
      <w:r w:rsidRPr="000A2FC7">
        <w:t xml:space="preserve"> г. Сравнени с 202</w:t>
      </w:r>
      <w:r w:rsidRPr="00717EBE">
        <w:t>1</w:t>
      </w:r>
      <w:r w:rsidRPr="000A2FC7">
        <w:t>  г., разходите на ДВУ бележат увеличение със 1</w:t>
      </w:r>
      <w:r w:rsidRPr="00717EBE">
        <w:t>18</w:t>
      </w:r>
      <w:r w:rsidRPr="000A2FC7">
        <w:t>,</w:t>
      </w:r>
      <w:r w:rsidRPr="00717EBE">
        <w:t>5</w:t>
      </w:r>
      <w:r w:rsidRPr="000A2FC7">
        <w:t xml:space="preserve"> млн. лв. (1</w:t>
      </w:r>
      <w:r w:rsidRPr="00717EBE">
        <w:t>1</w:t>
      </w:r>
      <w:r w:rsidRPr="000A2FC7">
        <w:t>,</w:t>
      </w:r>
      <w:r w:rsidRPr="00717EBE">
        <w:t>4</w:t>
      </w:r>
      <w:r w:rsidRPr="000A2FC7">
        <w:t xml:space="preserve"> %). От общата сума на разходите 7</w:t>
      </w:r>
      <w:r w:rsidRPr="00717EBE">
        <w:t>9</w:t>
      </w:r>
      <w:r w:rsidRPr="000A2FC7">
        <w:t>8,</w:t>
      </w:r>
      <w:r w:rsidRPr="00717EBE">
        <w:t>7</w:t>
      </w:r>
      <w:r w:rsidRPr="000A2FC7">
        <w:t xml:space="preserve"> млн. лв. (</w:t>
      </w:r>
      <w:r w:rsidRPr="00717EBE">
        <w:t>69</w:t>
      </w:r>
      <w:r w:rsidRPr="000A2FC7">
        <w:t>,1 %) са разходите за персонал, като спрямо 202</w:t>
      </w:r>
      <w:r w:rsidRPr="00717EBE">
        <w:t>1</w:t>
      </w:r>
      <w:r w:rsidRPr="000A2FC7">
        <w:t xml:space="preserve"> г. нарастват с </w:t>
      </w:r>
      <w:r w:rsidRPr="00717EBE">
        <w:t>8</w:t>
      </w:r>
      <w:r w:rsidRPr="000A2FC7">
        <w:t>,</w:t>
      </w:r>
      <w:r w:rsidRPr="00717EBE">
        <w:t>2</w:t>
      </w:r>
      <w:r w:rsidRPr="000A2FC7">
        <w:t xml:space="preserve"> %. Втори по големина дял  заемат разходите за издръжка  – 1</w:t>
      </w:r>
      <w:r w:rsidRPr="00717EBE">
        <w:t>83</w:t>
      </w:r>
      <w:r w:rsidRPr="000A2FC7">
        <w:t>,</w:t>
      </w:r>
      <w:r w:rsidRPr="00717EBE">
        <w:t>0</w:t>
      </w:r>
      <w:r w:rsidRPr="000A2FC7">
        <w:t xml:space="preserve"> млн. лв. (1</w:t>
      </w:r>
      <w:r w:rsidRPr="00142805">
        <w:t>5</w:t>
      </w:r>
      <w:r w:rsidRPr="000A2FC7">
        <w:t>,</w:t>
      </w:r>
      <w:r w:rsidRPr="00142805">
        <w:t>8</w:t>
      </w:r>
      <w:r w:rsidRPr="000A2FC7">
        <w:t xml:space="preserve"> %), следвани от капиталовите разходи </w:t>
      </w:r>
      <w:r w:rsidRPr="00142805">
        <w:t>9</w:t>
      </w:r>
      <w:r w:rsidRPr="000A2FC7">
        <w:t>8,</w:t>
      </w:r>
      <w:r w:rsidRPr="00142805">
        <w:t>3</w:t>
      </w:r>
      <w:r w:rsidRPr="000A2FC7">
        <w:t xml:space="preserve"> млн. лв. (8,</w:t>
      </w:r>
      <w:r w:rsidRPr="00142805">
        <w:t>2</w:t>
      </w:r>
      <w:r w:rsidRPr="000A2FC7">
        <w:t xml:space="preserve"> % от всички разходи) и разходите за стипендии – </w:t>
      </w:r>
      <w:r w:rsidRPr="00142805">
        <w:t>73</w:t>
      </w:r>
      <w:r w:rsidRPr="000A2FC7">
        <w:t>,</w:t>
      </w:r>
      <w:r w:rsidRPr="00142805">
        <w:t>2</w:t>
      </w:r>
      <w:r w:rsidRPr="000A2FC7">
        <w:t xml:space="preserve"> млн. лв. (6,</w:t>
      </w:r>
      <w:r w:rsidRPr="00142805">
        <w:t>3</w:t>
      </w:r>
      <w:r w:rsidRPr="000A2FC7">
        <w:t xml:space="preserve"> %). </w:t>
      </w:r>
    </w:p>
    <w:p w14:paraId="29BC077A" w14:textId="77777777" w:rsidR="00983EC5" w:rsidRPr="000A2FC7" w:rsidRDefault="00983EC5" w:rsidP="00983EC5">
      <w:pPr>
        <w:ind w:firstLine="720"/>
        <w:jc w:val="both"/>
        <w:rPr>
          <w:rFonts w:eastAsia="Batang"/>
          <w:lang w:eastAsia="zh-TW"/>
        </w:rPr>
      </w:pPr>
      <w:r w:rsidRPr="000A2FC7">
        <w:rPr>
          <w:lang w:eastAsia="en-US"/>
        </w:rPr>
        <w:t>Към 31.12.202</w:t>
      </w:r>
      <w:r w:rsidRPr="00142805">
        <w:rPr>
          <w:lang w:eastAsia="en-US"/>
        </w:rPr>
        <w:t>2</w:t>
      </w:r>
      <w:r w:rsidRPr="000A2FC7">
        <w:rPr>
          <w:lang w:eastAsia="en-US"/>
        </w:rPr>
        <w:t xml:space="preserve"> г. </w:t>
      </w:r>
      <w:r w:rsidRPr="000A2FC7">
        <w:rPr>
          <w:b/>
          <w:lang w:eastAsia="en-US"/>
        </w:rPr>
        <w:t>просрочените задължения</w:t>
      </w:r>
      <w:r w:rsidRPr="000A2FC7">
        <w:rPr>
          <w:lang w:eastAsia="en-US"/>
        </w:rPr>
        <w:t xml:space="preserve"> на </w:t>
      </w:r>
      <w:r w:rsidRPr="000A2FC7">
        <w:rPr>
          <w:i/>
          <w:lang w:eastAsia="en-US"/>
        </w:rPr>
        <w:t>държавните висши училища</w:t>
      </w:r>
      <w:r w:rsidRPr="000A2FC7">
        <w:rPr>
          <w:i/>
        </w:rPr>
        <w:t>, финансирани от Министерството на образованието и науката,</w:t>
      </w:r>
      <w:r w:rsidRPr="000A2FC7">
        <w:rPr>
          <w:lang w:eastAsia="en-US"/>
        </w:rPr>
        <w:t xml:space="preserve"> са в размер общо </w:t>
      </w:r>
      <w:r w:rsidRPr="00142805">
        <w:rPr>
          <w:lang w:eastAsia="en-US"/>
        </w:rPr>
        <w:t>7</w:t>
      </w:r>
      <w:r w:rsidRPr="000A2FC7">
        <w:rPr>
          <w:lang w:eastAsia="en-US"/>
        </w:rPr>
        <w:t>,</w:t>
      </w:r>
      <w:r w:rsidRPr="00142805">
        <w:rPr>
          <w:lang w:eastAsia="en-US"/>
        </w:rPr>
        <w:t>2</w:t>
      </w:r>
      <w:r w:rsidRPr="000A2FC7">
        <w:rPr>
          <w:lang w:eastAsia="en-US"/>
        </w:rPr>
        <w:t xml:space="preserve"> млн. лв., като н</w:t>
      </w:r>
      <w:r w:rsidRPr="000A2FC7">
        <w:rPr>
          <w:rFonts w:eastAsia="Batang"/>
          <w:lang w:eastAsia="zh-TW"/>
        </w:rPr>
        <w:t xml:space="preserve">ай-голям дял на задълженията има СУ „Св. Климент Охридски“. Сумата нараства с </w:t>
      </w:r>
      <w:r w:rsidRPr="00142805">
        <w:rPr>
          <w:rFonts w:eastAsia="Batang"/>
          <w:lang w:eastAsia="zh-TW"/>
        </w:rPr>
        <w:t>0</w:t>
      </w:r>
      <w:r w:rsidRPr="000A2FC7">
        <w:rPr>
          <w:rFonts w:eastAsia="Batang"/>
          <w:lang w:eastAsia="zh-TW"/>
        </w:rPr>
        <w:t>,</w:t>
      </w:r>
      <w:r w:rsidRPr="00142805">
        <w:rPr>
          <w:rFonts w:eastAsia="Batang"/>
          <w:lang w:eastAsia="zh-TW"/>
        </w:rPr>
        <w:t>3</w:t>
      </w:r>
      <w:r w:rsidRPr="000A2FC7">
        <w:rPr>
          <w:rFonts w:eastAsia="Batang"/>
          <w:lang w:eastAsia="zh-TW"/>
        </w:rPr>
        <w:t xml:space="preserve"> млн. лв. в сравнение с края на 202</w:t>
      </w:r>
      <w:r w:rsidRPr="00142805">
        <w:rPr>
          <w:rFonts w:eastAsia="Batang"/>
          <w:lang w:eastAsia="zh-TW"/>
        </w:rPr>
        <w:t>1</w:t>
      </w:r>
      <w:r w:rsidRPr="000A2FC7">
        <w:rPr>
          <w:rFonts w:eastAsia="Batang"/>
          <w:lang w:eastAsia="zh-TW"/>
        </w:rPr>
        <w:t xml:space="preserve"> г.</w:t>
      </w:r>
    </w:p>
    <w:p w14:paraId="2D77A7C4" w14:textId="77777777" w:rsidR="00983EC5" w:rsidRPr="000A2FC7" w:rsidRDefault="00983EC5" w:rsidP="00983EC5">
      <w:pPr>
        <w:ind w:firstLine="720"/>
        <w:jc w:val="both"/>
      </w:pPr>
      <w:r w:rsidRPr="000A2FC7">
        <w:t xml:space="preserve">Отчетените </w:t>
      </w:r>
      <w:r w:rsidRPr="000A2FC7">
        <w:rPr>
          <w:b/>
        </w:rPr>
        <w:t>задължения към доставчици</w:t>
      </w:r>
      <w:r w:rsidRPr="000A2FC7">
        <w:t xml:space="preserve"> към 31 декември 202</w:t>
      </w:r>
      <w:r w:rsidRPr="00142805">
        <w:t>2</w:t>
      </w:r>
      <w:r w:rsidRPr="000A2FC7">
        <w:t xml:space="preserve"> г. са в размер на </w:t>
      </w:r>
      <w:r w:rsidRPr="00142805">
        <w:t>9</w:t>
      </w:r>
      <w:r w:rsidRPr="000A2FC7">
        <w:t>,</w:t>
      </w:r>
      <w:r w:rsidRPr="00142805">
        <w:t>5</w:t>
      </w:r>
      <w:r w:rsidRPr="000A2FC7">
        <w:t xml:space="preserve"> млн. лв. при предвидени със ЗДБРБ за 202</w:t>
      </w:r>
      <w:r w:rsidRPr="00142805">
        <w:t>2</w:t>
      </w:r>
      <w:r w:rsidRPr="000A2FC7">
        <w:t xml:space="preserve"> г. – 16,7 млн. лв. </w:t>
      </w:r>
    </w:p>
    <w:p w14:paraId="626BD8E0" w14:textId="77777777" w:rsidR="00983EC5" w:rsidRPr="000A2FC7" w:rsidRDefault="00983EC5" w:rsidP="00983EC5">
      <w:pPr>
        <w:ind w:firstLine="720"/>
        <w:jc w:val="both"/>
        <w:rPr>
          <w:lang w:eastAsia="en-US"/>
        </w:rPr>
      </w:pPr>
      <w:r w:rsidRPr="000A2FC7">
        <w:t>Към 31.12.202</w:t>
      </w:r>
      <w:r w:rsidRPr="00142805">
        <w:t>2</w:t>
      </w:r>
      <w:r w:rsidRPr="000A2FC7">
        <w:t xml:space="preserve"> г. отчетените </w:t>
      </w:r>
      <w:r w:rsidRPr="000A2FC7">
        <w:rPr>
          <w:b/>
        </w:rPr>
        <w:t xml:space="preserve">просрочени вземания </w:t>
      </w:r>
      <w:r w:rsidRPr="000A2FC7">
        <w:t xml:space="preserve">са в размер </w:t>
      </w:r>
      <w:r w:rsidRPr="00142805">
        <w:t>3</w:t>
      </w:r>
      <w:r w:rsidRPr="000A2FC7">
        <w:t>,</w:t>
      </w:r>
      <w:r w:rsidRPr="00142805">
        <w:t>6</w:t>
      </w:r>
      <w:r w:rsidRPr="000A2FC7">
        <w:t xml:space="preserve"> млн. лв., основно просрочени вземания от клиенти и наеми. </w:t>
      </w:r>
      <w:r w:rsidRPr="000A2FC7">
        <w:rPr>
          <w:lang w:eastAsia="en-US"/>
        </w:rPr>
        <w:t xml:space="preserve">Просрочените вземания от клиенти са </w:t>
      </w:r>
      <w:r w:rsidRPr="00142805">
        <w:rPr>
          <w:lang w:eastAsia="en-US"/>
        </w:rPr>
        <w:t>1</w:t>
      </w:r>
      <w:r w:rsidRPr="000A2FC7">
        <w:rPr>
          <w:lang w:eastAsia="en-US"/>
        </w:rPr>
        <w:t>,</w:t>
      </w:r>
      <w:r w:rsidRPr="00142805">
        <w:rPr>
          <w:lang w:eastAsia="en-US"/>
        </w:rPr>
        <w:t>9</w:t>
      </w:r>
      <w:r w:rsidRPr="000A2FC7">
        <w:rPr>
          <w:lang w:eastAsia="en-US"/>
        </w:rPr>
        <w:t xml:space="preserve"> млн. лв. и са начислени суми за неизплатени задължения по издадени фактури за обучения, нощувки и вземания от чуждестранни и български студенти. Просрочените  вземания от наеми, лихви и консумативи са 1,</w:t>
      </w:r>
      <w:r w:rsidRPr="00142805">
        <w:rPr>
          <w:lang w:eastAsia="en-US"/>
        </w:rPr>
        <w:t>4</w:t>
      </w:r>
      <w:r w:rsidRPr="000A2FC7">
        <w:rPr>
          <w:lang w:eastAsia="en-US"/>
        </w:rPr>
        <w:t xml:space="preserve"> млн. лв.  и представляват начислени суми за неизплатени задължения за наеми и консумативи от наематели. Дължимите лихви се изчисляват към датата на плащането. </w:t>
      </w:r>
      <w:r w:rsidRPr="00142805">
        <w:rPr>
          <w:color w:val="000000"/>
          <w:lang w:eastAsia="en-US"/>
        </w:rPr>
        <w:t xml:space="preserve">Неизправните наематели са уведомени с писма за </w:t>
      </w:r>
      <w:r w:rsidRPr="00142805">
        <w:rPr>
          <w:lang w:eastAsia="en-US"/>
        </w:rPr>
        <w:t xml:space="preserve">дължимите от тях суми и са заведени съдебни искове с част от фирмите за принудително събиране на наемите и консумативите и прекратяване на договорите. </w:t>
      </w:r>
      <w:r w:rsidRPr="000A2FC7">
        <w:rPr>
          <w:lang w:eastAsia="en-US"/>
        </w:rPr>
        <w:t>Другите просрочени вземания са 0,</w:t>
      </w:r>
      <w:r w:rsidRPr="00142805">
        <w:rPr>
          <w:lang w:eastAsia="en-US"/>
        </w:rPr>
        <w:t>3</w:t>
      </w:r>
      <w:r w:rsidRPr="000A2FC7">
        <w:rPr>
          <w:lang w:eastAsia="en-US"/>
        </w:rPr>
        <w:t xml:space="preserve"> млн. лв. и са начислени суми за неизвършени ремонти по договори, които се изискват по съдебен ред.</w:t>
      </w:r>
    </w:p>
    <w:p w14:paraId="5E6BFEF0" w14:textId="77777777" w:rsidR="00983EC5" w:rsidRPr="000A2FC7" w:rsidRDefault="00983EC5" w:rsidP="00983EC5">
      <w:pPr>
        <w:ind w:firstLine="720"/>
        <w:jc w:val="both"/>
      </w:pPr>
      <w:r w:rsidRPr="000A2FC7">
        <w:t>Към 31.12.202</w:t>
      </w:r>
      <w:r w:rsidRPr="00142805">
        <w:t>2</w:t>
      </w:r>
      <w:r w:rsidRPr="000A2FC7">
        <w:t xml:space="preserve"> г. </w:t>
      </w:r>
      <w:r w:rsidRPr="000A2FC7">
        <w:rPr>
          <w:i/>
        </w:rPr>
        <w:t>държавните висши военни училища (ДВВУ), финансирани от Министерството на отбраната</w:t>
      </w:r>
      <w:r w:rsidRPr="000A2FC7">
        <w:t xml:space="preserve"> нямат отчетени </w:t>
      </w:r>
      <w:r w:rsidRPr="000A2FC7">
        <w:rPr>
          <w:b/>
        </w:rPr>
        <w:t>просрочени задължения</w:t>
      </w:r>
      <w:r w:rsidRPr="000A2FC7">
        <w:t>.</w:t>
      </w:r>
    </w:p>
    <w:p w14:paraId="702016CD" w14:textId="77777777" w:rsidR="00983EC5" w:rsidRPr="000A2FC7" w:rsidRDefault="00983EC5" w:rsidP="00983EC5">
      <w:pPr>
        <w:ind w:firstLine="720"/>
        <w:jc w:val="both"/>
        <w:rPr>
          <w:color w:val="0070C0"/>
        </w:rPr>
      </w:pPr>
      <w:r w:rsidRPr="000A2FC7">
        <w:t>Отчетените в края на 202</w:t>
      </w:r>
      <w:r w:rsidRPr="00C97C7B">
        <w:t>2</w:t>
      </w:r>
      <w:r w:rsidRPr="000A2FC7">
        <w:t xml:space="preserve"> г. </w:t>
      </w:r>
      <w:r w:rsidRPr="000A2FC7">
        <w:rPr>
          <w:b/>
        </w:rPr>
        <w:t>задължения към доставчици</w:t>
      </w:r>
      <w:r w:rsidRPr="000A2FC7">
        <w:t xml:space="preserve"> са в размер на </w:t>
      </w:r>
      <w:r w:rsidRPr="00C97C7B">
        <w:t>2</w:t>
      </w:r>
      <w:r w:rsidRPr="000A2FC7">
        <w:t>,</w:t>
      </w:r>
      <w:r w:rsidRPr="00C97C7B">
        <w:t>3</w:t>
      </w:r>
      <w:r w:rsidRPr="000A2FC7">
        <w:t xml:space="preserve"> млн. лв. и са </w:t>
      </w:r>
      <w:r w:rsidRPr="00C97C7B">
        <w:t>над</w:t>
      </w:r>
      <w:r w:rsidRPr="000A2FC7">
        <w:t xml:space="preserve"> определените със ЗДБРБ за 202</w:t>
      </w:r>
      <w:r w:rsidRPr="00C97C7B">
        <w:t>2</w:t>
      </w:r>
      <w:r w:rsidRPr="000A2FC7">
        <w:t xml:space="preserve"> г. допустими максимални размери на тези задължения (</w:t>
      </w:r>
      <w:r w:rsidRPr="00C97C7B">
        <w:t>228,0 хил</w:t>
      </w:r>
      <w:r w:rsidRPr="000A2FC7">
        <w:t>. лв.).</w:t>
      </w:r>
      <w:r w:rsidRPr="00C97C7B">
        <w:t xml:space="preserve"> Основно това се дължи на одобрения с ПМС  № 328/13.10.2022 г. допълнителен трансфер в размер 4 775,6 хил. лв. за Висше военноморско училище „Никола Йонков Вапцаров”- гр. Варна </w:t>
      </w:r>
      <w:r w:rsidRPr="004D5FFC">
        <w:rPr>
          <w:lang w:val="ru-RU"/>
        </w:rPr>
        <w:t>(</w:t>
      </w:r>
      <w:r w:rsidRPr="00C97C7B">
        <w:t>ВВМУ</w:t>
      </w:r>
      <w:r w:rsidRPr="004D5FFC">
        <w:rPr>
          <w:lang w:val="ru-RU"/>
        </w:rPr>
        <w:t>)</w:t>
      </w:r>
      <w:r w:rsidRPr="00C97C7B">
        <w:t>, чрез бюджета на Министерството на отбраната за 2022 г. за финансиране на първата полярна мисия „Антарктика 2022-2023” на научноизследователския кораб „Св. св. Кирил и Методий".</w:t>
      </w:r>
    </w:p>
    <w:p w14:paraId="1A17999B" w14:textId="77777777" w:rsidR="00983EC5" w:rsidRPr="000A2FC7" w:rsidRDefault="00983EC5" w:rsidP="00983EC5">
      <w:pPr>
        <w:ind w:firstLine="720"/>
        <w:jc w:val="both"/>
        <w:rPr>
          <w:b/>
          <w:u w:val="single"/>
        </w:rPr>
      </w:pPr>
      <w:r w:rsidRPr="000A2FC7">
        <w:t>Към 31.12.202</w:t>
      </w:r>
      <w:r w:rsidRPr="00C97C7B">
        <w:t>2</w:t>
      </w:r>
      <w:r w:rsidRPr="000A2FC7">
        <w:t xml:space="preserve"> г. отчетените </w:t>
      </w:r>
      <w:r w:rsidRPr="000A2FC7">
        <w:rPr>
          <w:b/>
        </w:rPr>
        <w:t>просрочени вземания</w:t>
      </w:r>
      <w:r w:rsidRPr="000A2FC7">
        <w:t xml:space="preserve"> на </w:t>
      </w:r>
      <w:r w:rsidRPr="000A2FC7">
        <w:rPr>
          <w:i/>
        </w:rPr>
        <w:t>ДВВУ</w:t>
      </w:r>
      <w:r w:rsidRPr="000A2FC7">
        <w:t xml:space="preserve"> са в размер 0,2 млн. лв., основно дългосрочни вземания,</w:t>
      </w:r>
      <w:r w:rsidRPr="000A2FC7">
        <w:rPr>
          <w:lang w:eastAsia="en-US"/>
        </w:rPr>
        <w:t xml:space="preserve"> за които са предприети съответните законови мерки за събирането им, като са заведени съдебни дела и са издадени изпълнителни листове за събирането им, а за текущите вземания са изпратени уведомления до контрагентите.</w:t>
      </w:r>
    </w:p>
    <w:p w14:paraId="166C8EC7" w14:textId="77777777" w:rsidR="00983EC5" w:rsidRPr="00E35DAF" w:rsidRDefault="00983EC5" w:rsidP="00E35DAF">
      <w:pPr>
        <w:pStyle w:val="Heading3"/>
        <w:numPr>
          <w:ilvl w:val="1"/>
          <w:numId w:val="9"/>
        </w:numPr>
        <w:spacing w:after="120"/>
        <w:rPr>
          <w:rFonts w:ascii="Times New Roman" w:hAnsi="Times New Roman"/>
          <w:sz w:val="24"/>
          <w:lang w:val="bg-BG"/>
        </w:rPr>
      </w:pPr>
      <w:bookmarkStart w:id="483" w:name="_Toc430165311"/>
      <w:bookmarkStart w:id="484" w:name="_Toc462146148"/>
      <w:bookmarkStart w:id="485" w:name="_Toc494102666"/>
      <w:bookmarkStart w:id="486" w:name="_Toc525125624"/>
      <w:bookmarkStart w:id="487" w:name="_Toc51339859"/>
      <w:bookmarkStart w:id="488" w:name="_Toc137056895"/>
      <w:bookmarkStart w:id="489" w:name="_Toc146037935"/>
      <w:r w:rsidRPr="000A2FC7">
        <w:rPr>
          <w:rFonts w:ascii="Times New Roman" w:hAnsi="Times New Roman"/>
          <w:sz w:val="24"/>
          <w:lang w:val="bg-BG"/>
        </w:rPr>
        <w:t>Българска академия на науките</w:t>
      </w:r>
      <w:bookmarkEnd w:id="483"/>
      <w:bookmarkEnd w:id="484"/>
      <w:bookmarkEnd w:id="485"/>
      <w:bookmarkEnd w:id="486"/>
      <w:bookmarkEnd w:id="487"/>
      <w:bookmarkEnd w:id="488"/>
      <w:bookmarkEnd w:id="489"/>
    </w:p>
    <w:p w14:paraId="5DAE15FF" w14:textId="77777777" w:rsidR="00983EC5" w:rsidRPr="000A2FC7" w:rsidRDefault="00983EC5" w:rsidP="00983EC5">
      <w:pPr>
        <w:ind w:firstLine="720"/>
        <w:jc w:val="both"/>
      </w:pPr>
      <w:r w:rsidRPr="000A2FC7">
        <w:t xml:space="preserve">Отчетените </w:t>
      </w:r>
      <w:r w:rsidRPr="000A2FC7">
        <w:rPr>
          <w:b/>
        </w:rPr>
        <w:t>приходи и помощи</w:t>
      </w:r>
      <w:r w:rsidRPr="000A2FC7">
        <w:t xml:space="preserve"> в системата на БАН към 31.12.202</w:t>
      </w:r>
      <w:r w:rsidRPr="004D5FFC">
        <w:rPr>
          <w:lang w:val="ru-RU"/>
        </w:rPr>
        <w:t>2</w:t>
      </w:r>
      <w:r w:rsidRPr="000A2FC7">
        <w:t xml:space="preserve"> г. са в размер на 2</w:t>
      </w:r>
      <w:r w:rsidRPr="004D5FFC">
        <w:rPr>
          <w:lang w:val="ru-RU"/>
        </w:rPr>
        <w:t>7</w:t>
      </w:r>
      <w:r w:rsidRPr="000A2FC7">
        <w:t>,</w:t>
      </w:r>
      <w:r w:rsidRPr="004D5FFC">
        <w:rPr>
          <w:lang w:val="ru-RU"/>
        </w:rPr>
        <w:t>0</w:t>
      </w:r>
      <w:r w:rsidRPr="000A2FC7">
        <w:t xml:space="preserve"> млн. лв. или </w:t>
      </w:r>
      <w:r w:rsidRPr="004D5FFC">
        <w:rPr>
          <w:lang w:val="ru-RU"/>
        </w:rPr>
        <w:t>86</w:t>
      </w:r>
      <w:r w:rsidRPr="000A2FC7">
        <w:t>,</w:t>
      </w:r>
      <w:r w:rsidRPr="004D5FFC">
        <w:rPr>
          <w:lang w:val="ru-RU"/>
        </w:rPr>
        <w:t>5</w:t>
      </w:r>
      <w:r w:rsidRPr="000A2FC7">
        <w:t xml:space="preserve"> % от заложените 31,2 млн. лв. към ЗДБРБ за 202</w:t>
      </w:r>
      <w:r w:rsidRPr="004D5FFC">
        <w:rPr>
          <w:lang w:val="ru-RU"/>
        </w:rPr>
        <w:t>2</w:t>
      </w:r>
      <w:r w:rsidRPr="000A2FC7">
        <w:t xml:space="preserve"> г. По-голямата част е от реализирани приходи от продажба на услуги, стоки и продукция (</w:t>
      </w:r>
      <w:r w:rsidRPr="004D5FFC">
        <w:rPr>
          <w:lang w:val="ru-RU"/>
        </w:rPr>
        <w:t>71</w:t>
      </w:r>
      <w:r w:rsidRPr="000A2FC7">
        <w:t>,</w:t>
      </w:r>
      <w:r w:rsidRPr="004D5FFC">
        <w:rPr>
          <w:lang w:val="ru-RU"/>
        </w:rPr>
        <w:t>9</w:t>
      </w:r>
      <w:r w:rsidRPr="000A2FC7">
        <w:t> %), и постъпват по линия на международни програми, проекти и по договори за научни разработки. Основна част от реализираните собствени приходи на поделенията в системата на БАН са в резултат от участието в международни проекти за научни разработки. Голяма част от тези приходи са свързани с конкретни договорни задължения и не могат да се използват за общоакадемични нужди.</w:t>
      </w:r>
    </w:p>
    <w:p w14:paraId="7A8ED031" w14:textId="77777777" w:rsidR="00983EC5" w:rsidRPr="000A2FC7" w:rsidRDefault="00983EC5" w:rsidP="00983EC5">
      <w:pPr>
        <w:ind w:firstLine="720"/>
        <w:jc w:val="both"/>
      </w:pPr>
      <w:r w:rsidRPr="000A2FC7">
        <w:t xml:space="preserve">Извършените </w:t>
      </w:r>
      <w:r w:rsidRPr="000A2FC7">
        <w:rPr>
          <w:b/>
        </w:rPr>
        <w:t>разходи</w:t>
      </w:r>
      <w:r w:rsidRPr="000A2FC7">
        <w:t xml:space="preserve"> по бюджета на БАН за 202</w:t>
      </w:r>
      <w:r w:rsidRPr="004D5FFC">
        <w:rPr>
          <w:lang w:val="ru-RU"/>
        </w:rPr>
        <w:t>2</w:t>
      </w:r>
      <w:r w:rsidRPr="000A2FC7">
        <w:t xml:space="preserve"> г. са в размер на 1</w:t>
      </w:r>
      <w:r w:rsidRPr="004D5FFC">
        <w:rPr>
          <w:lang w:val="ru-RU"/>
        </w:rPr>
        <w:t>99</w:t>
      </w:r>
      <w:r w:rsidRPr="000A2FC7">
        <w:t xml:space="preserve">,6 млн. лв. и </w:t>
      </w:r>
      <w:r w:rsidRPr="00475D32">
        <w:t>представляват 12</w:t>
      </w:r>
      <w:r w:rsidRPr="000A2FC7">
        <w:t>3,</w:t>
      </w:r>
      <w:r w:rsidRPr="004D5FFC">
        <w:rPr>
          <w:lang w:val="ru-RU"/>
        </w:rPr>
        <w:t>6</w:t>
      </w:r>
      <w:r w:rsidRPr="000A2FC7">
        <w:t xml:space="preserve"> % спрямо предвидените в разчетите към ЗДБРБ за 202</w:t>
      </w:r>
      <w:r w:rsidRPr="004D5FFC">
        <w:rPr>
          <w:lang w:val="ru-RU"/>
        </w:rPr>
        <w:t>2</w:t>
      </w:r>
      <w:r w:rsidRPr="000A2FC7">
        <w:t xml:space="preserve"> г. Най-голям дял заемат разходите за персонал (75,</w:t>
      </w:r>
      <w:r w:rsidRPr="004D5FFC">
        <w:rPr>
          <w:lang w:val="ru-RU"/>
        </w:rPr>
        <w:t>1</w:t>
      </w:r>
      <w:r w:rsidRPr="000A2FC7">
        <w:t xml:space="preserve"> %), следвани от средствата за издръжка – 1</w:t>
      </w:r>
      <w:r w:rsidRPr="004D5FFC">
        <w:rPr>
          <w:lang w:val="ru-RU"/>
        </w:rPr>
        <w:t>6</w:t>
      </w:r>
      <w:r w:rsidRPr="000A2FC7">
        <w:t xml:space="preserve">,7 % и за капиталови разходи – </w:t>
      </w:r>
      <w:r w:rsidRPr="004D5FFC">
        <w:rPr>
          <w:lang w:val="ru-RU"/>
        </w:rPr>
        <w:t>7</w:t>
      </w:r>
      <w:r w:rsidRPr="000A2FC7">
        <w:t>,</w:t>
      </w:r>
      <w:r w:rsidRPr="004D5FFC">
        <w:rPr>
          <w:lang w:val="ru-RU"/>
        </w:rPr>
        <w:t>0</w:t>
      </w:r>
      <w:r w:rsidRPr="000A2FC7">
        <w:t xml:space="preserve"> на сто. </w:t>
      </w:r>
    </w:p>
    <w:p w14:paraId="53D5F1F8" w14:textId="77777777" w:rsidR="00983EC5" w:rsidRPr="000A2FC7" w:rsidRDefault="00983EC5" w:rsidP="00983EC5">
      <w:pPr>
        <w:ind w:firstLine="720"/>
        <w:jc w:val="both"/>
      </w:pPr>
      <w:r w:rsidRPr="000A2FC7">
        <w:t>За 202</w:t>
      </w:r>
      <w:r w:rsidRPr="004D5FFC">
        <w:rPr>
          <w:lang w:val="ru-RU"/>
        </w:rPr>
        <w:t>2</w:t>
      </w:r>
      <w:r w:rsidRPr="000A2FC7">
        <w:t xml:space="preserve"> г. БАН няма </w:t>
      </w:r>
      <w:r w:rsidRPr="000A2FC7">
        <w:rPr>
          <w:b/>
        </w:rPr>
        <w:t>просрочени задължения</w:t>
      </w:r>
      <w:r w:rsidRPr="000A2FC7">
        <w:t>.</w:t>
      </w:r>
    </w:p>
    <w:p w14:paraId="51B08ED6" w14:textId="086B98BA" w:rsidR="00983EC5" w:rsidRPr="000A2FC7" w:rsidRDefault="00983EC5" w:rsidP="00983EC5">
      <w:pPr>
        <w:ind w:firstLine="720"/>
        <w:jc w:val="both"/>
        <w:rPr>
          <w:lang w:eastAsia="en-US"/>
        </w:rPr>
      </w:pPr>
      <w:r w:rsidRPr="000A2FC7">
        <w:t>Съгласно чл. 5</w:t>
      </w:r>
      <w:r w:rsidR="00A24D95">
        <w:t>6</w:t>
      </w:r>
      <w:r w:rsidRPr="000A2FC7">
        <w:t>, ал. 1 от Закона за държавния бюджет на Република  България за 202</w:t>
      </w:r>
      <w:r w:rsidRPr="004D5FFC">
        <w:rPr>
          <w:lang w:val="ru-RU"/>
        </w:rPr>
        <w:t>2</w:t>
      </w:r>
      <w:r w:rsidRPr="000A2FC7">
        <w:t xml:space="preserve"> г., допустимият максимален размер на </w:t>
      </w:r>
      <w:r w:rsidRPr="000A2FC7">
        <w:rPr>
          <w:b/>
        </w:rPr>
        <w:t>задълженията към доставчици</w:t>
      </w:r>
      <w:r w:rsidRPr="000A2FC7">
        <w:t xml:space="preserve"> за БАН е определен в </w:t>
      </w:r>
      <w:r>
        <w:rPr>
          <w:lang w:eastAsia="en-US"/>
        </w:rPr>
        <w:t xml:space="preserve">размер на 2,8 млн. лв., а отчетените към края на годината възлизат на 1,0 </w:t>
      </w:r>
      <w:r w:rsidRPr="006C7339">
        <w:rPr>
          <w:lang w:eastAsia="en-US"/>
        </w:rPr>
        <w:t>млн. лв.</w:t>
      </w:r>
    </w:p>
    <w:p w14:paraId="7D64761D" w14:textId="77777777" w:rsidR="00983EC5" w:rsidRPr="000A2FC7" w:rsidRDefault="00983EC5" w:rsidP="00983EC5">
      <w:pPr>
        <w:ind w:firstLine="720"/>
        <w:jc w:val="both"/>
        <w:rPr>
          <w:lang w:eastAsia="en-US"/>
        </w:rPr>
      </w:pPr>
      <w:r w:rsidRPr="000A2FC7">
        <w:rPr>
          <w:lang w:eastAsia="en-US"/>
        </w:rPr>
        <w:t>Просрочените вземания на БАН към 31.12.202</w:t>
      </w:r>
      <w:r w:rsidRPr="004D5FFC">
        <w:rPr>
          <w:lang w:val="ru-RU" w:eastAsia="en-US"/>
        </w:rPr>
        <w:t>2</w:t>
      </w:r>
      <w:r w:rsidRPr="000A2FC7">
        <w:rPr>
          <w:lang w:eastAsia="en-US"/>
        </w:rPr>
        <w:t xml:space="preserve"> г. са в размер общо на 1,</w:t>
      </w:r>
      <w:r w:rsidRPr="006C7339">
        <w:rPr>
          <w:lang w:eastAsia="en-US"/>
        </w:rPr>
        <w:t>0</w:t>
      </w:r>
      <w:r w:rsidRPr="000A2FC7">
        <w:rPr>
          <w:lang w:eastAsia="en-US"/>
        </w:rPr>
        <w:t xml:space="preserve"> млн. лв., които представляват неизплатени наеми, консумативи и предоставени услуги. За по-голямата част от несъбраните вземания са заведени съдебни дела.</w:t>
      </w:r>
    </w:p>
    <w:p w14:paraId="12143697" w14:textId="77777777" w:rsidR="00983EC5" w:rsidRPr="00E35DAF" w:rsidRDefault="00983EC5" w:rsidP="00E35DAF">
      <w:pPr>
        <w:pStyle w:val="Heading3"/>
        <w:numPr>
          <w:ilvl w:val="1"/>
          <w:numId w:val="9"/>
        </w:numPr>
        <w:spacing w:after="120"/>
        <w:rPr>
          <w:rFonts w:ascii="Times New Roman" w:hAnsi="Times New Roman"/>
          <w:sz w:val="24"/>
          <w:lang w:val="bg-BG"/>
        </w:rPr>
      </w:pPr>
      <w:bookmarkStart w:id="490" w:name="_Toc51339860"/>
      <w:bookmarkStart w:id="491" w:name="_Toc137056896"/>
      <w:bookmarkStart w:id="492" w:name="_Toc146037936"/>
      <w:r w:rsidRPr="000A2FC7">
        <w:rPr>
          <w:rFonts w:ascii="Times New Roman" w:hAnsi="Times New Roman"/>
          <w:sz w:val="24"/>
          <w:lang w:val="bg-BG"/>
        </w:rPr>
        <w:t>Селскостопанска академия</w:t>
      </w:r>
      <w:bookmarkEnd w:id="490"/>
      <w:bookmarkEnd w:id="491"/>
      <w:bookmarkEnd w:id="492"/>
    </w:p>
    <w:p w14:paraId="2C7F02AB" w14:textId="416C0F25" w:rsidR="00983EC5" w:rsidRPr="000A2FC7" w:rsidRDefault="00983EC5" w:rsidP="00983EC5">
      <w:pPr>
        <w:ind w:firstLine="720"/>
        <w:jc w:val="both"/>
      </w:pPr>
      <w:r w:rsidRPr="000A2FC7">
        <w:rPr>
          <w:b/>
        </w:rPr>
        <w:t>Приходите и помощите</w:t>
      </w:r>
      <w:r w:rsidRPr="000A2FC7">
        <w:t xml:space="preserve"> на ССА за 202</w:t>
      </w:r>
      <w:r w:rsidR="004C043E">
        <w:t>2</w:t>
      </w:r>
      <w:r w:rsidRPr="000A2FC7">
        <w:t xml:space="preserve"> г. възлизат на </w:t>
      </w:r>
      <w:r w:rsidRPr="006C7339">
        <w:t>21</w:t>
      </w:r>
      <w:r w:rsidRPr="000A2FC7">
        <w:t>,</w:t>
      </w:r>
      <w:r w:rsidRPr="006C7339">
        <w:t>4</w:t>
      </w:r>
      <w:r w:rsidRPr="000A2FC7">
        <w:t xml:space="preserve"> млн. лв., което е 1</w:t>
      </w:r>
      <w:r w:rsidRPr="006C7339">
        <w:t>33</w:t>
      </w:r>
      <w:r w:rsidRPr="000A2FC7">
        <w:t>,</w:t>
      </w:r>
      <w:r w:rsidRPr="006C7339">
        <w:t>7</w:t>
      </w:r>
      <w:r w:rsidRPr="000A2FC7">
        <w:t> % от разчетените със ЗДБРБ за 202</w:t>
      </w:r>
      <w:r w:rsidRPr="006C7339">
        <w:t>2</w:t>
      </w:r>
      <w:r w:rsidRPr="000A2FC7">
        <w:t xml:space="preserve"> г.  По-голямата част е от реализирани приходи от продажба на услуги, стоки и продукция (9</w:t>
      </w:r>
      <w:r w:rsidRPr="006C7339">
        <w:t>4</w:t>
      </w:r>
      <w:r w:rsidRPr="000A2FC7">
        <w:t>,</w:t>
      </w:r>
      <w:r w:rsidRPr="006C7339">
        <w:t>4</w:t>
      </w:r>
      <w:r w:rsidRPr="000A2FC7">
        <w:t xml:space="preserve"> %). Спрямо предходната година приходите на ССА са нараснали с </w:t>
      </w:r>
      <w:r w:rsidRPr="006C7339">
        <w:t>4</w:t>
      </w:r>
      <w:r w:rsidRPr="000A2FC7">
        <w:t>,</w:t>
      </w:r>
      <w:r w:rsidRPr="006C7339">
        <w:t>1</w:t>
      </w:r>
      <w:r w:rsidRPr="000A2FC7">
        <w:t xml:space="preserve"> млн. лв. (</w:t>
      </w:r>
      <w:r w:rsidRPr="006C7339">
        <w:t>23</w:t>
      </w:r>
      <w:r w:rsidRPr="000A2FC7">
        <w:t>,6 %). По бюджета на ССА са получени текущи помощи и дарения в размер на 0,</w:t>
      </w:r>
      <w:r w:rsidRPr="006C7339">
        <w:t>2</w:t>
      </w:r>
      <w:r w:rsidRPr="000A2FC7">
        <w:t xml:space="preserve"> млн. лв.</w:t>
      </w:r>
    </w:p>
    <w:p w14:paraId="1F961C5C" w14:textId="77777777" w:rsidR="00983EC5" w:rsidRPr="000A2FC7" w:rsidRDefault="00983EC5" w:rsidP="00983EC5">
      <w:pPr>
        <w:ind w:firstLine="720"/>
        <w:jc w:val="both"/>
      </w:pPr>
      <w:r w:rsidRPr="000A2FC7">
        <w:rPr>
          <w:b/>
        </w:rPr>
        <w:t>Разходите</w:t>
      </w:r>
      <w:r w:rsidRPr="000A2FC7">
        <w:t xml:space="preserve"> по бюджетите на ССА за 202</w:t>
      </w:r>
      <w:r w:rsidRPr="006C7339">
        <w:t>2</w:t>
      </w:r>
      <w:r w:rsidRPr="000A2FC7">
        <w:t xml:space="preserve"> г. възлизат на </w:t>
      </w:r>
      <w:r w:rsidRPr="006C7339">
        <w:t>62</w:t>
      </w:r>
      <w:r w:rsidRPr="000A2FC7">
        <w:t>,</w:t>
      </w:r>
      <w:r w:rsidRPr="006C7339">
        <w:t>5</w:t>
      </w:r>
      <w:r w:rsidRPr="000A2FC7">
        <w:t xml:space="preserve"> млн. лв.</w:t>
      </w:r>
    </w:p>
    <w:p w14:paraId="5CCABEC6" w14:textId="77777777" w:rsidR="00983EC5" w:rsidRPr="000A2FC7" w:rsidRDefault="00983EC5" w:rsidP="00983EC5">
      <w:pPr>
        <w:ind w:firstLine="720"/>
        <w:jc w:val="both"/>
      </w:pPr>
      <w:r w:rsidRPr="000A2FC7">
        <w:t>За 202</w:t>
      </w:r>
      <w:r w:rsidRPr="006C7339">
        <w:t>2</w:t>
      </w:r>
      <w:r w:rsidRPr="000A2FC7">
        <w:t xml:space="preserve"> г. са отчетени </w:t>
      </w:r>
      <w:r w:rsidRPr="006C7339">
        <w:t>60</w:t>
      </w:r>
      <w:r w:rsidRPr="000A2FC7">
        <w:t>,</w:t>
      </w:r>
      <w:r w:rsidRPr="006C7339">
        <w:t>4</w:t>
      </w:r>
      <w:r w:rsidRPr="000A2FC7">
        <w:t xml:space="preserve"> млн. лв. текущи разходи.  Разходите за персонал са в размер на 3</w:t>
      </w:r>
      <w:r w:rsidRPr="006C7339">
        <w:t>9</w:t>
      </w:r>
      <w:r w:rsidRPr="000A2FC7">
        <w:t>,</w:t>
      </w:r>
      <w:r w:rsidRPr="006C7339">
        <w:t>6</w:t>
      </w:r>
      <w:r w:rsidRPr="000A2FC7">
        <w:t xml:space="preserve"> млн. лв. и представляват 6</w:t>
      </w:r>
      <w:r w:rsidRPr="006C7339">
        <w:t>3</w:t>
      </w:r>
      <w:r w:rsidRPr="000A2FC7">
        <w:t>,</w:t>
      </w:r>
      <w:r w:rsidRPr="006C7339">
        <w:t>4</w:t>
      </w:r>
      <w:r w:rsidRPr="000A2FC7">
        <w:t xml:space="preserve"> % от текущите разходи.  </w:t>
      </w:r>
    </w:p>
    <w:p w14:paraId="6905AB76" w14:textId="77777777" w:rsidR="00983EC5" w:rsidRPr="000A2FC7" w:rsidRDefault="00983EC5" w:rsidP="00983EC5">
      <w:pPr>
        <w:ind w:firstLine="720"/>
        <w:jc w:val="both"/>
      </w:pPr>
      <w:r w:rsidRPr="000A2FC7">
        <w:t xml:space="preserve">Отчетените разходи за издръжка  на ССА са в размер на </w:t>
      </w:r>
      <w:r w:rsidRPr="006C7339">
        <w:t>20</w:t>
      </w:r>
      <w:r w:rsidRPr="000A2FC7">
        <w:t>,</w:t>
      </w:r>
      <w:r w:rsidRPr="006C7339">
        <w:t>8</w:t>
      </w:r>
      <w:r w:rsidRPr="000A2FC7">
        <w:t xml:space="preserve"> млн. лв.,  3</w:t>
      </w:r>
      <w:r w:rsidRPr="006C7339">
        <w:t>3</w:t>
      </w:r>
      <w:r w:rsidRPr="000A2FC7">
        <w:t>,</w:t>
      </w:r>
      <w:r w:rsidRPr="006C7339">
        <w:t>3</w:t>
      </w:r>
      <w:r w:rsidRPr="000A2FC7">
        <w:t xml:space="preserve"> % от текущите разходи. </w:t>
      </w:r>
    </w:p>
    <w:p w14:paraId="198FBF89" w14:textId="77777777" w:rsidR="00983EC5" w:rsidRPr="0052746C" w:rsidRDefault="00983EC5" w:rsidP="00983EC5">
      <w:pPr>
        <w:ind w:firstLine="720"/>
        <w:jc w:val="both"/>
      </w:pPr>
      <w:r w:rsidRPr="0052746C">
        <w:t>Отчетените капиталови разходи са в размер на 2,0 млн. лева.</w:t>
      </w:r>
    </w:p>
    <w:p w14:paraId="3AB3B34D" w14:textId="77777777" w:rsidR="00983EC5" w:rsidRPr="000A2FC7" w:rsidRDefault="00983EC5" w:rsidP="00983EC5">
      <w:pPr>
        <w:ind w:firstLine="720"/>
        <w:jc w:val="both"/>
        <w:rPr>
          <w:color w:val="0070C0"/>
        </w:rPr>
      </w:pPr>
      <w:r w:rsidRPr="0052746C">
        <w:rPr>
          <w:b/>
        </w:rPr>
        <w:t>Просрочените задължения</w:t>
      </w:r>
      <w:r w:rsidRPr="0052746C">
        <w:t xml:space="preserve"> на ССА към 31.12.202</w:t>
      </w:r>
      <w:r w:rsidRPr="004D5FFC">
        <w:rPr>
          <w:lang w:val="ru-RU"/>
        </w:rPr>
        <w:t>2</w:t>
      </w:r>
      <w:r w:rsidRPr="0052746C">
        <w:t xml:space="preserve"> г. са в размер на 0,</w:t>
      </w:r>
      <w:r w:rsidRPr="004D5FFC">
        <w:rPr>
          <w:lang w:val="ru-RU"/>
        </w:rPr>
        <w:t>3</w:t>
      </w:r>
      <w:r w:rsidRPr="0052746C">
        <w:t xml:space="preserve"> млн. лв. </w:t>
      </w:r>
    </w:p>
    <w:p w14:paraId="1AF26438" w14:textId="77777777" w:rsidR="00983EC5" w:rsidRPr="0052746C" w:rsidRDefault="00983EC5" w:rsidP="00983EC5">
      <w:pPr>
        <w:ind w:firstLine="720"/>
        <w:jc w:val="both"/>
      </w:pPr>
      <w:r w:rsidRPr="0052746C">
        <w:t xml:space="preserve">Натрупаните задължения се дължат на увеличените цени на горива, торове, препарати, електроенергия и други. </w:t>
      </w:r>
    </w:p>
    <w:p w14:paraId="5FFB8A9D" w14:textId="77777777" w:rsidR="00983EC5" w:rsidRPr="000A2FC7" w:rsidRDefault="00983EC5" w:rsidP="00983EC5">
      <w:pPr>
        <w:ind w:firstLine="720"/>
        <w:jc w:val="both"/>
        <w:rPr>
          <w:color w:val="0070C0"/>
        </w:rPr>
      </w:pPr>
      <w:r w:rsidRPr="0052746C">
        <w:t xml:space="preserve">Произведените семена за посев от институтите на ССА трудно намират реализация, тъй като на пазара се предлагат вносни хибриди на ниска цена. Налага се произведените семена да се преокачествят и да се продадат на по-ниски цени като стокова продукция. </w:t>
      </w:r>
      <w:r w:rsidRPr="0052746C">
        <w:tab/>
        <w:t>Фирми разпространяват сортове, създадени от институтите на ССА, без да изплащат полагащото се роялти на академията, а ССА няма законови лостове да повлияе на този процес.</w:t>
      </w:r>
      <w:r>
        <w:t xml:space="preserve"> </w:t>
      </w:r>
    </w:p>
    <w:p w14:paraId="500193CF" w14:textId="77777777" w:rsidR="00983EC5" w:rsidRPr="0052746C" w:rsidRDefault="00983EC5" w:rsidP="00983EC5">
      <w:pPr>
        <w:ind w:firstLine="720"/>
        <w:jc w:val="both"/>
      </w:pPr>
      <w:r w:rsidRPr="0052746C">
        <w:rPr>
          <w:b/>
        </w:rPr>
        <w:t>Просрочените вземания на ССА</w:t>
      </w:r>
      <w:r w:rsidRPr="0052746C">
        <w:t xml:space="preserve"> към 31.12.2022 г. са в размер на 1,4 млн. лв.</w:t>
      </w:r>
      <w:r w:rsidRPr="004D5FFC">
        <w:rPr>
          <w:lang w:val="ru-RU"/>
        </w:rPr>
        <w:t xml:space="preserve"> </w:t>
      </w:r>
      <w:r w:rsidRPr="0052746C">
        <w:t xml:space="preserve">и са от клиенти. </w:t>
      </w:r>
    </w:p>
    <w:p w14:paraId="67903FD1" w14:textId="77777777" w:rsidR="00983EC5" w:rsidRPr="000A2FC7" w:rsidRDefault="00983EC5" w:rsidP="00983EC5">
      <w:pPr>
        <w:ind w:firstLine="720"/>
        <w:jc w:val="both"/>
        <w:rPr>
          <w:color w:val="0070C0"/>
        </w:rPr>
      </w:pPr>
      <w:r w:rsidRPr="0052746C">
        <w:t>С цел събиране на вземанията са изпратени уведомителни писма до клиентите. Заведени са съдебни и изпълнителни дела. По много от делата има влезли в сила решения и изпълнителни листове. Въпреки това сумите не са събрани до сега, тъй като  клиентите не са открити на посочените от тях адреси. Особено внимание се обръща на събирането на големите вземания и на тези, при които има опасност за изтичане на давностните срокове.</w:t>
      </w:r>
    </w:p>
    <w:p w14:paraId="23ED2A0A" w14:textId="77777777" w:rsidR="00983EC5" w:rsidRPr="00E35DAF" w:rsidRDefault="00983EC5" w:rsidP="00E35DAF">
      <w:pPr>
        <w:pStyle w:val="Heading3"/>
        <w:numPr>
          <w:ilvl w:val="1"/>
          <w:numId w:val="9"/>
        </w:numPr>
        <w:spacing w:after="120"/>
        <w:rPr>
          <w:rFonts w:ascii="Times New Roman" w:hAnsi="Times New Roman"/>
          <w:sz w:val="24"/>
          <w:lang w:val="bg-BG"/>
        </w:rPr>
      </w:pPr>
      <w:bookmarkStart w:id="493" w:name="_Toc51339861"/>
      <w:bookmarkStart w:id="494" w:name="_Toc137056897"/>
      <w:bookmarkStart w:id="495" w:name="_Toc146037937"/>
      <w:r w:rsidRPr="00F162DD">
        <w:rPr>
          <w:rFonts w:ascii="Times New Roman" w:hAnsi="Times New Roman"/>
          <w:sz w:val="24"/>
          <w:lang w:val="bg-BG"/>
        </w:rPr>
        <w:t>Българско национално радио</w:t>
      </w:r>
      <w:bookmarkEnd w:id="493"/>
      <w:bookmarkEnd w:id="494"/>
      <w:bookmarkEnd w:id="495"/>
    </w:p>
    <w:p w14:paraId="5C7297CD" w14:textId="77777777" w:rsidR="00983EC5" w:rsidRPr="000A2FC7" w:rsidRDefault="00983EC5" w:rsidP="00983EC5">
      <w:pPr>
        <w:widowControl w:val="0"/>
        <w:ind w:firstLine="720"/>
        <w:jc w:val="both"/>
        <w:rPr>
          <w:color w:val="0070C0"/>
        </w:rPr>
      </w:pPr>
      <w:r w:rsidRPr="00867BC0">
        <w:t xml:space="preserve">По бюджета на Българското национално радио (БНР) за 2022 г. са отчетени </w:t>
      </w:r>
      <w:r w:rsidRPr="00867BC0">
        <w:rPr>
          <w:b/>
        </w:rPr>
        <w:t>приходи</w:t>
      </w:r>
      <w:r w:rsidRPr="00867BC0">
        <w:t xml:space="preserve"> общо в размер на 1,4 млн. лв., което представлява 77,9 % от заложените приходи в разчетите към ЗДБРБ за 2022 г.  – 1,8 млн. лв. Спрямо 2021 г. неданъчните приходи са с 0,3 млн. лв. по-малко или намаление с 16,4 %. </w:t>
      </w:r>
      <w:r w:rsidRPr="00867BC0">
        <w:rPr>
          <w:lang w:eastAsia="en-US"/>
        </w:rPr>
        <w:t>По-ниският процент изпълнение на приходите спрямо планираните за 2022 г. се дължи на отчетени по-ниски постъпления от рекламна дейност.</w:t>
      </w:r>
      <w:r w:rsidRPr="000A2FC7">
        <w:rPr>
          <w:color w:val="0070C0"/>
        </w:rPr>
        <w:t xml:space="preserve"> </w:t>
      </w:r>
      <w:r w:rsidRPr="00867BC0">
        <w:rPr>
          <w:lang w:eastAsia="en-US"/>
        </w:rPr>
        <w:t xml:space="preserve">Отчетените приходи са постъпления от продажба на услуги, стоки и продукция </w:t>
      </w:r>
      <w:r w:rsidRPr="004D5FFC">
        <w:rPr>
          <w:lang w:val="ru-RU" w:eastAsia="en-US"/>
        </w:rPr>
        <w:t>(</w:t>
      </w:r>
      <w:r w:rsidRPr="00867BC0">
        <w:rPr>
          <w:lang w:eastAsia="en-US"/>
        </w:rPr>
        <w:t>реклама, спонсорство, технически услуги, съвместни продукции, приходи от концертна дейност и лицензионна дейност</w:t>
      </w:r>
      <w:r w:rsidRPr="004D5FFC">
        <w:rPr>
          <w:lang w:val="ru-RU" w:eastAsia="en-US"/>
        </w:rPr>
        <w:t>)</w:t>
      </w:r>
      <w:r w:rsidRPr="00867BC0">
        <w:rPr>
          <w:lang w:eastAsia="en-US"/>
        </w:rPr>
        <w:t>, наеми на имущество, глоби, санкции и наказателни лихви,  помощи и дарения от страната и чужбина и др.</w:t>
      </w:r>
      <w:r>
        <w:rPr>
          <w:lang w:eastAsia="en-US"/>
        </w:rPr>
        <w:t xml:space="preserve"> </w:t>
      </w:r>
    </w:p>
    <w:p w14:paraId="333668F8" w14:textId="77777777" w:rsidR="00983EC5" w:rsidRPr="00854FED" w:rsidRDefault="00983EC5" w:rsidP="00983EC5">
      <w:pPr>
        <w:ind w:firstLine="720"/>
        <w:jc w:val="both"/>
      </w:pPr>
      <w:r w:rsidRPr="00854FED">
        <w:t xml:space="preserve">Отчетените по бюджета на БНР </w:t>
      </w:r>
      <w:r w:rsidRPr="00854FED">
        <w:rPr>
          <w:b/>
        </w:rPr>
        <w:t>разходи</w:t>
      </w:r>
      <w:r w:rsidRPr="00854FED">
        <w:t xml:space="preserve"> са в размер на 57,2 млн. лв., което представлява 98,5 % от предвидените разходи в разчетите към ЗДБРБ за 2022 г. </w:t>
      </w:r>
      <w:r w:rsidRPr="00854FED">
        <w:rPr>
          <w:lang w:eastAsia="en-US"/>
        </w:rPr>
        <w:t xml:space="preserve">Средствата са усвоени за реализирането на основните цели и дейности на БНР по подготовката, създаването и разпространението на национални и регионални програми съгласно разпоредбите на Закона за радиото и телевизията (ЗРТ). </w:t>
      </w:r>
      <w:r w:rsidRPr="00854FED">
        <w:t xml:space="preserve">Българското национално радио съставя, изпълнява, приключва и отчита бюджет съгласно чл. 70, ал. 1 от ЗРТ. </w:t>
      </w:r>
    </w:p>
    <w:p w14:paraId="4965AF3C" w14:textId="77777777" w:rsidR="00983EC5" w:rsidRPr="006411A3" w:rsidRDefault="00983EC5" w:rsidP="00983EC5">
      <w:pPr>
        <w:ind w:firstLine="720"/>
        <w:jc w:val="both"/>
      </w:pPr>
      <w:r w:rsidRPr="00854FED">
        <w:t xml:space="preserve">За периода са отчетени 53,6 млн. лв. </w:t>
      </w:r>
      <w:r w:rsidRPr="00854FED">
        <w:rPr>
          <w:i/>
        </w:rPr>
        <w:t>текущи нелихвени разходи</w:t>
      </w:r>
      <w:r w:rsidRPr="00854FED">
        <w:t xml:space="preserve"> за осъществяването на основната дейност на БНР. Р</w:t>
      </w:r>
      <w:r w:rsidRPr="00854FED">
        <w:rPr>
          <w:bCs/>
        </w:rPr>
        <w:t xml:space="preserve">азходите за персонал са в размер на 34,8 млн. лв. и представляват 65,0 % от текущите разходи. </w:t>
      </w:r>
      <w:r w:rsidRPr="00854FED">
        <w:t xml:space="preserve">Отчетените разходи за издръжка (вкл. платения членски внос и данъци, такси и адм. санкции)  на БНР са в размер на 18,8 млн. лв.,  35,0 % от текущите разходи. Голяма част от разходите за издръжка са за: такси за разпространение на програмите на БНР – 7,5 млн. лв.; възнаграждения за авторски и </w:t>
      </w:r>
      <w:r w:rsidRPr="006411A3">
        <w:t xml:space="preserve">сродни права на сдружения за колективно управление на права – 3,1 млн. лв. и др. Отчетените </w:t>
      </w:r>
      <w:r w:rsidRPr="006411A3">
        <w:rPr>
          <w:i/>
        </w:rPr>
        <w:t>капиталови разходи</w:t>
      </w:r>
      <w:r w:rsidRPr="006411A3">
        <w:t xml:space="preserve"> са в размер на 3,7 млн. лв. и представляват 81,4 % от годишния разчет. По-ниският процент изпълнение на капиталовите разходи се дължи на прекратени с решение процедури, както и на неприключени процедури за възлагане на обществени поръчки в рамките на отчетния период.</w:t>
      </w:r>
      <w:r>
        <w:t xml:space="preserve"> </w:t>
      </w:r>
      <w:r w:rsidRPr="006411A3">
        <w:t>Одобреният в края на месец декември 2022 г. допълнителен трансфер за бюджета на БНР в размер на 1,7 млн. лв.</w:t>
      </w:r>
      <w:r w:rsidRPr="006411A3">
        <w:rPr>
          <w:b/>
        </w:rPr>
        <w:t xml:space="preserve"> </w:t>
      </w:r>
      <w:r w:rsidRPr="006411A3">
        <w:t>за придобиване на дълготрайни активи и осигуряване на високо ниво на защита на информационната и комуникационната инфраструктура</w:t>
      </w:r>
      <w:r w:rsidRPr="004D5FFC">
        <w:rPr>
          <w:lang w:val="ru-RU"/>
        </w:rPr>
        <w:t xml:space="preserve"> (</w:t>
      </w:r>
      <w:r w:rsidRPr="006411A3">
        <w:t>ПМС № 467 от 2022 г.</w:t>
      </w:r>
      <w:r w:rsidRPr="004D5FFC">
        <w:rPr>
          <w:lang w:val="ru-RU"/>
        </w:rPr>
        <w:t>)</w:t>
      </w:r>
      <w:r w:rsidRPr="006411A3">
        <w:t xml:space="preserve"> ще бъде усвоен по предназначение след провеждането на обществена поръчка за избор на изпълнител, което изисква технологично време за провеждане на пазарни консултации, изготвяне на задание и технически спецификации, както и последващото провеждане на открита процедура.</w:t>
      </w:r>
    </w:p>
    <w:p w14:paraId="5D007307" w14:textId="77777777" w:rsidR="00983EC5" w:rsidRPr="006411A3" w:rsidRDefault="00983EC5" w:rsidP="00983EC5">
      <w:pPr>
        <w:ind w:firstLine="720"/>
        <w:jc w:val="both"/>
        <w:rPr>
          <w:bCs/>
        </w:rPr>
      </w:pPr>
      <w:r w:rsidRPr="006411A3">
        <w:rPr>
          <w:lang w:eastAsia="en-US"/>
        </w:rPr>
        <w:t>В разпределението  на разходите по бюджета на БНР е включен преходния остатък за 2021 г. (съгл. чл. 70, ал. 6 от ЗРТ) в размер на 2,5 млн. лв.</w:t>
      </w:r>
      <w:r w:rsidRPr="006411A3">
        <w:rPr>
          <w:b/>
        </w:rPr>
        <w:t xml:space="preserve"> </w:t>
      </w:r>
      <w:r w:rsidRPr="006411A3">
        <w:rPr>
          <w:bCs/>
        </w:rPr>
        <w:t>Общият обем на излъчената от БНР програма е 98 362 часа в т.ч. 516 часа включвания в националния ефир и представлява 100,</w:t>
      </w:r>
      <w:r w:rsidRPr="004D5FFC">
        <w:rPr>
          <w:bCs/>
          <w:lang w:val="ru-RU"/>
        </w:rPr>
        <w:t>2</w:t>
      </w:r>
      <w:r w:rsidRPr="006411A3">
        <w:rPr>
          <w:bCs/>
        </w:rPr>
        <w:t xml:space="preserve"> % изпълнение на планирания годишен обем радиопрограма</w:t>
      </w:r>
      <w:r w:rsidRPr="004D5FFC">
        <w:rPr>
          <w:bCs/>
          <w:lang w:val="ru-RU"/>
        </w:rPr>
        <w:t xml:space="preserve"> </w:t>
      </w:r>
      <w:r w:rsidRPr="006411A3">
        <w:rPr>
          <w:bCs/>
        </w:rPr>
        <w:t xml:space="preserve">/часове/ за 2022 г. </w:t>
      </w:r>
      <w:r w:rsidRPr="004D5FFC">
        <w:rPr>
          <w:bCs/>
          <w:lang w:val="ru-RU"/>
        </w:rPr>
        <w:t>(</w:t>
      </w:r>
      <w:r w:rsidRPr="006411A3">
        <w:rPr>
          <w:bCs/>
        </w:rPr>
        <w:t xml:space="preserve">98 185 часа). </w:t>
      </w:r>
    </w:p>
    <w:p w14:paraId="7549B266" w14:textId="77777777" w:rsidR="00983EC5" w:rsidRPr="00AF4132" w:rsidRDefault="00983EC5" w:rsidP="00983EC5">
      <w:pPr>
        <w:ind w:firstLine="720"/>
        <w:jc w:val="both"/>
        <w:rPr>
          <w:lang w:eastAsia="en-US"/>
        </w:rPr>
      </w:pPr>
      <w:r w:rsidRPr="006411A3">
        <w:t>Общо утвърдените</w:t>
      </w:r>
      <w:r w:rsidRPr="006411A3">
        <w:rPr>
          <w:b/>
        </w:rPr>
        <w:t xml:space="preserve"> </w:t>
      </w:r>
      <w:r w:rsidRPr="006411A3">
        <w:rPr>
          <w:b/>
          <w:i/>
        </w:rPr>
        <w:t>бюджетни взаимоотношения на БНР с централния бюджет</w:t>
      </w:r>
      <w:r w:rsidRPr="006411A3">
        <w:t xml:space="preserve"> за 2022 г. са 58,2 млн. лв., 55,7 млн. лв. съгласно чл. 49, т. </w:t>
      </w:r>
      <w:r w:rsidRPr="004D5FFC">
        <w:rPr>
          <w:lang w:val="ru-RU"/>
        </w:rPr>
        <w:t>1</w:t>
      </w:r>
      <w:r w:rsidRPr="006411A3">
        <w:t xml:space="preserve"> от ЗДБРБ за 2022 г. и 2,4 млн. лв. одобрени допълнителни трансфери съгласно ПМС № 241 от 2022 г. и ПМС № 467 от 2022 г. </w:t>
      </w:r>
      <w:r w:rsidRPr="006411A3">
        <w:rPr>
          <w:lang w:eastAsia="en-US"/>
        </w:rPr>
        <w:t xml:space="preserve">За отчетния период е усвоена сума в размер на 58,2 млн. лв. или 100,0% от размера на бюджетните взаимоотношения на БНР с централния бюджет по </w:t>
      </w:r>
      <w:r w:rsidRPr="00AF4132">
        <w:rPr>
          <w:lang w:eastAsia="en-US"/>
        </w:rPr>
        <w:t>уточнен план.</w:t>
      </w:r>
    </w:p>
    <w:p w14:paraId="274DF19C" w14:textId="77777777" w:rsidR="00983EC5" w:rsidRPr="00AF4132" w:rsidRDefault="00983EC5" w:rsidP="00983EC5">
      <w:pPr>
        <w:ind w:firstLine="720"/>
        <w:jc w:val="both"/>
        <w:rPr>
          <w:bCs/>
        </w:rPr>
      </w:pPr>
      <w:r w:rsidRPr="00AF4132">
        <w:rPr>
          <w:bCs/>
        </w:rPr>
        <w:t xml:space="preserve">Към 31.12.2022 г. </w:t>
      </w:r>
      <w:r w:rsidRPr="00AF4132">
        <w:rPr>
          <w:b/>
          <w:bCs/>
        </w:rPr>
        <w:t>просрочените задължения</w:t>
      </w:r>
      <w:r w:rsidRPr="00AF4132">
        <w:rPr>
          <w:bCs/>
        </w:rPr>
        <w:t xml:space="preserve"> на БНР са в размер на 2,5 млн. лв. </w:t>
      </w:r>
      <w:r w:rsidRPr="00AF4132">
        <w:rPr>
          <w:lang w:eastAsia="en-US"/>
        </w:rPr>
        <w:t>и основно представляват просрочени задължения за данъци, такси и административни санкции - 2,5  млн. лв. към Столична община за такса смет за минали периоди, в т.ч. 1,0 млн. лв. за лихви.</w:t>
      </w:r>
      <w:r w:rsidRPr="00AF4132">
        <w:rPr>
          <w:bCs/>
        </w:rPr>
        <w:t xml:space="preserve"> </w:t>
      </w:r>
    </w:p>
    <w:p w14:paraId="743ABF91" w14:textId="77777777" w:rsidR="00983EC5" w:rsidRPr="00AF4132" w:rsidRDefault="00983EC5" w:rsidP="00983EC5">
      <w:pPr>
        <w:ind w:firstLine="720"/>
        <w:jc w:val="both"/>
        <w:rPr>
          <w:lang w:eastAsia="en-US"/>
        </w:rPr>
      </w:pPr>
      <w:r w:rsidRPr="00AF4132">
        <w:rPr>
          <w:lang w:eastAsia="en-US"/>
        </w:rPr>
        <w:t>При утвърден допустим максимален размер на задължения 2,0 млн. лв. съгласно чл. 56, ал. 1 от ЗДБРБ за 2022 г., задълженията на БНР към доставчици са в размер на 1,2 млн. лв. и представляват задължения за: такси за разпространение на програмите – 0,7 млн. лв.; разходи за издръжка – 0,</w:t>
      </w:r>
      <w:r w:rsidRPr="004D5FFC">
        <w:rPr>
          <w:lang w:val="ru-RU" w:eastAsia="en-US"/>
        </w:rPr>
        <w:t>5</w:t>
      </w:r>
      <w:r w:rsidRPr="00AF4132">
        <w:rPr>
          <w:lang w:eastAsia="en-US"/>
        </w:rPr>
        <w:t xml:space="preserve"> млн. лв. </w:t>
      </w:r>
      <w:r w:rsidRPr="004D5FFC">
        <w:rPr>
          <w:lang w:val="ru-RU" w:eastAsia="en-US"/>
        </w:rPr>
        <w:t>(</w:t>
      </w:r>
      <w:r w:rsidRPr="00AF4132">
        <w:rPr>
          <w:lang w:eastAsia="en-US"/>
        </w:rPr>
        <w:t>вода, горива и енергия, разходи за телекомуникационни услуги и абонаментна поддръжка на софтуер и техника, за охрана, почистване и други услуги, материали, текущ ремонт, командировки, задължения за придобиване на нефинансови активи и др.</w:t>
      </w:r>
      <w:r w:rsidRPr="004D5FFC">
        <w:rPr>
          <w:lang w:val="ru-RU" w:eastAsia="en-US"/>
        </w:rPr>
        <w:t>)</w:t>
      </w:r>
      <w:r w:rsidRPr="00AF4132">
        <w:rPr>
          <w:lang w:eastAsia="en-US"/>
        </w:rPr>
        <w:t>.</w:t>
      </w:r>
    </w:p>
    <w:p w14:paraId="0CD40BF9" w14:textId="77777777" w:rsidR="00983EC5" w:rsidRPr="00AF4132" w:rsidRDefault="00983EC5" w:rsidP="00983EC5">
      <w:pPr>
        <w:ind w:firstLine="720"/>
        <w:jc w:val="both"/>
        <w:rPr>
          <w:lang w:eastAsia="en-US"/>
        </w:rPr>
      </w:pPr>
      <w:r w:rsidRPr="00AF4132">
        <w:rPr>
          <w:b/>
          <w:bCs/>
          <w:lang w:eastAsia="en-US"/>
        </w:rPr>
        <w:t xml:space="preserve">Просрочени вземания </w:t>
      </w:r>
      <w:r w:rsidRPr="00AF4132">
        <w:rPr>
          <w:bCs/>
          <w:lang w:eastAsia="en-US"/>
        </w:rPr>
        <w:t xml:space="preserve">– 0,6 млн. лв. </w:t>
      </w:r>
      <w:r w:rsidRPr="00AF4132">
        <w:rPr>
          <w:lang w:eastAsia="en-US"/>
        </w:rPr>
        <w:t>просрочени вземания от клиенти (вземания</w:t>
      </w:r>
      <w:r w:rsidRPr="004D5FFC">
        <w:rPr>
          <w:lang w:val="ru-RU" w:eastAsia="en-US"/>
        </w:rPr>
        <w:t xml:space="preserve"> </w:t>
      </w:r>
      <w:r w:rsidRPr="00AF4132">
        <w:rPr>
          <w:lang w:eastAsia="en-US"/>
        </w:rPr>
        <w:t xml:space="preserve">за излъчена, но неплатена реклама, неплатен наем и консумативи от наематели, вземания за технически услуги, несъбрани суми по спонсорски договор, от глоби, санкции, наказателни лихви и обезщетения) и други вземания (предоставени аванси към доставчици на услуги -предоставени аванси за строителство и услуги). </w:t>
      </w:r>
    </w:p>
    <w:p w14:paraId="3DDC1152" w14:textId="77777777" w:rsidR="00983EC5" w:rsidRPr="00E35DAF" w:rsidRDefault="00983EC5" w:rsidP="00E35DAF">
      <w:pPr>
        <w:pStyle w:val="Heading3"/>
        <w:numPr>
          <w:ilvl w:val="1"/>
          <w:numId w:val="9"/>
        </w:numPr>
        <w:spacing w:after="120"/>
        <w:rPr>
          <w:rFonts w:ascii="Times New Roman" w:hAnsi="Times New Roman"/>
          <w:sz w:val="24"/>
          <w:lang w:val="bg-BG"/>
        </w:rPr>
      </w:pPr>
      <w:bookmarkStart w:id="496" w:name="_Toc51339862"/>
      <w:bookmarkStart w:id="497" w:name="_Toc137056898"/>
      <w:bookmarkStart w:id="498" w:name="_Toc146037938"/>
      <w:r w:rsidRPr="00AF4132">
        <w:rPr>
          <w:rFonts w:ascii="Times New Roman" w:hAnsi="Times New Roman"/>
          <w:sz w:val="24"/>
          <w:lang w:val="bg-BG"/>
        </w:rPr>
        <w:t>Българска национална телевизия</w:t>
      </w:r>
      <w:bookmarkEnd w:id="496"/>
      <w:bookmarkEnd w:id="497"/>
      <w:bookmarkEnd w:id="498"/>
    </w:p>
    <w:p w14:paraId="3E9143AA" w14:textId="77777777" w:rsidR="00983EC5" w:rsidRPr="00F878EE" w:rsidRDefault="00983EC5" w:rsidP="00983EC5">
      <w:pPr>
        <w:ind w:firstLine="720"/>
        <w:jc w:val="both"/>
      </w:pPr>
      <w:bookmarkStart w:id="499" w:name="_Toc393728099"/>
      <w:bookmarkStart w:id="500" w:name="_Toc430165314"/>
      <w:bookmarkStart w:id="501" w:name="_Toc462146151"/>
      <w:bookmarkStart w:id="502" w:name="_Toc494102669"/>
      <w:bookmarkStart w:id="503" w:name="_Toc525125627"/>
      <w:r w:rsidRPr="006C48E6">
        <w:t xml:space="preserve">По бюджета на БНТ за 2022 г. са отчетени </w:t>
      </w:r>
      <w:r w:rsidRPr="006C48E6">
        <w:rPr>
          <w:b/>
        </w:rPr>
        <w:t>приходи</w:t>
      </w:r>
      <w:r w:rsidRPr="006C48E6">
        <w:t xml:space="preserve"> в размер на 10,7 млн. лв., което представлява 106,5 % от разчетените към ЗДБРБ за 2022 г. приходи от 10,0 млн. лв. Спрямо 2021 г. отчетените </w:t>
      </w:r>
      <w:r w:rsidRPr="006C48E6">
        <w:rPr>
          <w:i/>
        </w:rPr>
        <w:t xml:space="preserve">неданъчните приходи </w:t>
      </w:r>
      <w:r w:rsidRPr="006C48E6">
        <w:t xml:space="preserve">са с 0,5 млн. лв. по-малко или отчетеният спад от 4,4 %. </w:t>
      </w:r>
      <w:r w:rsidRPr="006C48E6">
        <w:rPr>
          <w:lang w:eastAsia="en-US"/>
        </w:rPr>
        <w:t xml:space="preserve">Отчетените приходи са постъпления от продажба на услуги, стоки и продукция </w:t>
      </w:r>
      <w:r w:rsidRPr="004D5FFC">
        <w:rPr>
          <w:lang w:val="ru-RU" w:eastAsia="en-US"/>
        </w:rPr>
        <w:t>(</w:t>
      </w:r>
      <w:r w:rsidRPr="006C48E6">
        <w:rPr>
          <w:lang w:eastAsia="en-US"/>
        </w:rPr>
        <w:t>реклама, технически услуги, спонсорство, продажба на програми, приходи от почивно дело, приходи от участия в предизборни форми, приходи от преразпределени продуцентски права, приходи от изработка на филми, предавания и др.</w:t>
      </w:r>
      <w:r w:rsidRPr="004D5FFC">
        <w:rPr>
          <w:lang w:val="ru-RU" w:eastAsia="en-US"/>
        </w:rPr>
        <w:t>)</w:t>
      </w:r>
      <w:r w:rsidRPr="006C48E6">
        <w:rPr>
          <w:lang w:eastAsia="en-US"/>
        </w:rPr>
        <w:t xml:space="preserve">, наеми на имущество, глоби, санкции и наказателни лихви, помощи и дарения от </w:t>
      </w:r>
      <w:r w:rsidRPr="00F878EE">
        <w:rPr>
          <w:lang w:eastAsia="en-US"/>
        </w:rPr>
        <w:t>страната и чужбина и др.</w:t>
      </w:r>
    </w:p>
    <w:p w14:paraId="65DDB888" w14:textId="77777777" w:rsidR="00983EC5" w:rsidRPr="00F878EE" w:rsidRDefault="00983EC5" w:rsidP="00983EC5">
      <w:pPr>
        <w:ind w:firstLine="720"/>
        <w:jc w:val="both"/>
      </w:pPr>
      <w:r w:rsidRPr="00F878EE">
        <w:t xml:space="preserve">Българската национална телевизия съставя, изпълнява, приключва и отчита бюджет съгласно чл. 70, ал. 1 от Закона за радиото и телевизията. </w:t>
      </w:r>
    </w:p>
    <w:p w14:paraId="05FD2934" w14:textId="77777777" w:rsidR="00983EC5" w:rsidRPr="00F878EE" w:rsidRDefault="00983EC5" w:rsidP="00983EC5">
      <w:pPr>
        <w:ind w:firstLine="720"/>
        <w:jc w:val="both"/>
      </w:pPr>
      <w:r w:rsidRPr="00F878EE">
        <w:t xml:space="preserve">Отчетените по бюджета на БНТ за 2022 г. </w:t>
      </w:r>
      <w:r w:rsidRPr="00F878EE">
        <w:rPr>
          <w:b/>
        </w:rPr>
        <w:t>разходи</w:t>
      </w:r>
      <w:r w:rsidRPr="00F878EE">
        <w:t xml:space="preserve"> са в размер на 93,8 млн. лв., което представлява 102,4 %  от предвидените в разчета към ЗДБРБ за 2022 г. </w:t>
      </w:r>
    </w:p>
    <w:p w14:paraId="5C2263AA" w14:textId="77777777" w:rsidR="00983EC5" w:rsidRPr="00F878EE" w:rsidRDefault="00983EC5" w:rsidP="00983EC5">
      <w:pPr>
        <w:ind w:firstLine="720"/>
        <w:jc w:val="both"/>
      </w:pPr>
      <w:r w:rsidRPr="00F878EE">
        <w:t xml:space="preserve">За 2022 г. са отчетени 71,7 млн. лв. </w:t>
      </w:r>
      <w:r w:rsidRPr="00F878EE">
        <w:rPr>
          <w:i/>
        </w:rPr>
        <w:t xml:space="preserve">текущи разходи </w:t>
      </w:r>
      <w:r w:rsidRPr="00F878EE">
        <w:t xml:space="preserve">и 22,1 млн. лв. </w:t>
      </w:r>
      <w:r w:rsidRPr="00F878EE">
        <w:rPr>
          <w:i/>
        </w:rPr>
        <w:t>капиталови разходи.</w:t>
      </w:r>
      <w:r w:rsidRPr="00F878EE">
        <w:t xml:space="preserve"> </w:t>
      </w:r>
    </w:p>
    <w:p w14:paraId="2E565E4E" w14:textId="77777777" w:rsidR="00983EC5" w:rsidRPr="00F878EE" w:rsidRDefault="00983EC5" w:rsidP="00983EC5">
      <w:pPr>
        <w:ind w:firstLine="720"/>
        <w:jc w:val="both"/>
      </w:pPr>
      <w:r w:rsidRPr="00F878EE">
        <w:t>За отчетния период разходите за персонал са в размер на 39,</w:t>
      </w:r>
      <w:r>
        <w:t>8</w:t>
      </w:r>
      <w:r w:rsidRPr="00F878EE">
        <w:t xml:space="preserve"> млн. лв. и представляват 42,4 % от текущите разходи. Отчетените разходи за издръжка (вкл. платените за членски внос, данъци, такси и адм. санкции) на БНТ са в размер на 31,9 млн. лв. </w:t>
      </w:r>
      <w:r w:rsidRPr="00F816B8">
        <w:rPr>
          <w:bCs/>
          <w:lang w:eastAsia="en-US"/>
        </w:rPr>
        <w:t xml:space="preserve">Голяма част от разходите за издръжка са за: </w:t>
      </w:r>
      <w:r w:rsidRPr="00F816B8">
        <w:rPr>
          <w:lang w:eastAsia="en-US"/>
        </w:rPr>
        <w:t xml:space="preserve">възнаграждения за авторски и сродни права на сдружения за колективно управление на права – 7,8 млн. лв.; </w:t>
      </w:r>
      <w:r w:rsidRPr="00F816B8">
        <w:rPr>
          <w:bCs/>
          <w:lang w:eastAsia="en-US"/>
        </w:rPr>
        <w:t>такси за цифрово наземно разпространение на телевизионни програми 7,0 млн. лв.</w:t>
      </w:r>
      <w:r w:rsidRPr="00F816B8">
        <w:rPr>
          <w:lang w:eastAsia="en-US"/>
        </w:rPr>
        <w:t>;</w:t>
      </w:r>
      <w:r w:rsidRPr="00F816B8">
        <w:rPr>
          <w:rFonts w:ascii="Arial" w:hAnsi="Arial"/>
          <w:b/>
          <w:lang w:eastAsia="en-US"/>
        </w:rPr>
        <w:t xml:space="preserve"> </w:t>
      </w:r>
      <w:r w:rsidRPr="00F816B8">
        <w:rPr>
          <w:lang w:eastAsia="en-US"/>
        </w:rPr>
        <w:t>външни продукции – 3,1 млн. лв.; материали, услуги и наеми за предавания – 1,7 млн. лв.; международни трасета и унилатерали – 1,1 млн. лв.; информационни услуги – 0,7 млн. лв. Отчетените капиталови разходи в размер на 22,1 млн. лв. са изразходвани за: придобиване на дълготрайни активи и основен ремонт – 11,9 млн. лв., в т.ч. 6,1 млн. лв. по чл. 70, ал. 4, т. 2 от Закона за радиото и телевизията, съгласно чл. 49, т. 2 от ЗДБРБ за 2022 г. и 2,0 млн. лв. съгласно ПМС № 436 от 2022 г.; филмопроизводство – 6,0 млн. лв.; отстъпени права за излъчване на български програми, чужди програми и на европейски и световни първенства – 4,2 млн. лв.</w:t>
      </w:r>
    </w:p>
    <w:p w14:paraId="426C9F3E" w14:textId="77777777" w:rsidR="00983EC5" w:rsidRPr="00673ECB" w:rsidRDefault="00983EC5" w:rsidP="00983EC5">
      <w:pPr>
        <w:ind w:firstLine="720"/>
        <w:jc w:val="both"/>
        <w:rPr>
          <w:lang w:eastAsia="en-US"/>
        </w:rPr>
      </w:pPr>
      <w:r w:rsidRPr="00673ECB">
        <w:rPr>
          <w:lang w:eastAsia="en-US"/>
        </w:rPr>
        <w:t>В разпределението  на разходите по бюджета на обществената медия е включен преходния остатък за 2021 г. (съгл. чл. 70, ал. 6 от ЗРТ) в размер на 1,1 млн. лв.</w:t>
      </w:r>
    </w:p>
    <w:p w14:paraId="5C25DD3F" w14:textId="77777777" w:rsidR="00983EC5" w:rsidRPr="00673ECB" w:rsidRDefault="00983EC5" w:rsidP="00983EC5">
      <w:pPr>
        <w:ind w:firstLine="720"/>
        <w:jc w:val="both"/>
        <w:rPr>
          <w:lang w:eastAsia="en-US"/>
        </w:rPr>
      </w:pPr>
      <w:r w:rsidRPr="00673ECB">
        <w:rPr>
          <w:lang w:eastAsia="en-US"/>
        </w:rPr>
        <w:tab/>
        <w:t>За отчетния период средствата са усвоени за реализирането на основните цели и дейности на БНТ по подготовката, създаването и разпространението на телевизионни програми съгласно разпоредбите на Закона за радиото и телевизията.</w:t>
      </w:r>
    </w:p>
    <w:p w14:paraId="33A59DEB" w14:textId="77777777" w:rsidR="00983EC5" w:rsidRPr="00673ECB" w:rsidRDefault="00983EC5" w:rsidP="00983EC5">
      <w:pPr>
        <w:ind w:firstLine="720"/>
        <w:jc w:val="both"/>
        <w:rPr>
          <w:lang w:eastAsia="en-US"/>
        </w:rPr>
      </w:pPr>
      <w:r w:rsidRPr="00673ECB">
        <w:rPr>
          <w:lang w:eastAsia="en-US"/>
        </w:rPr>
        <w:t>Обемът на излъчената от БНТ програма е 35 040 часа и представлява 100,0% изпълнение на планирания годишен обем телевизионна програма/часове за 2022 г.</w:t>
      </w:r>
    </w:p>
    <w:p w14:paraId="73A806A7" w14:textId="77777777" w:rsidR="00983EC5" w:rsidRDefault="00983EC5" w:rsidP="00983EC5">
      <w:pPr>
        <w:ind w:firstLine="720"/>
        <w:jc w:val="both"/>
        <w:rPr>
          <w:lang w:eastAsia="en-US"/>
        </w:rPr>
      </w:pPr>
      <w:r w:rsidRPr="00A861A3">
        <w:rPr>
          <w:lang w:eastAsia="en-US"/>
        </w:rPr>
        <w:t xml:space="preserve">Общо утвърдените </w:t>
      </w:r>
      <w:r w:rsidRPr="00A861A3">
        <w:rPr>
          <w:b/>
          <w:i/>
          <w:lang w:eastAsia="en-US"/>
        </w:rPr>
        <w:t>бюджетни взаимоотношения</w:t>
      </w:r>
      <w:r w:rsidRPr="004D5FFC">
        <w:rPr>
          <w:lang w:val="ru-RU" w:eastAsia="en-US"/>
        </w:rPr>
        <w:t xml:space="preserve"> </w:t>
      </w:r>
      <w:r w:rsidRPr="00A861A3">
        <w:rPr>
          <w:lang w:eastAsia="en-US"/>
        </w:rPr>
        <w:t>на БНТ с централния бюджет са 83,6 млн. лв., в т.ч.: 80,6 млн. лв. съгласно чл. 49, т. 2 от ЗДБРБ за 2022 г. и 3,0 млн. лв. одобрени допълнителни трансфери съгласно ПМС № 31 от 2022 г., ПМС № 241 от 2022 г. и ПМС № 436 от 2022 г.</w:t>
      </w:r>
      <w:r>
        <w:rPr>
          <w:lang w:eastAsia="en-US"/>
        </w:rPr>
        <w:t xml:space="preserve"> </w:t>
      </w:r>
      <w:r w:rsidRPr="00A861A3">
        <w:rPr>
          <w:lang w:eastAsia="en-US"/>
        </w:rPr>
        <w:t>За отчетния период е усвоена сума в размер на 83,6 млн. лв. или 100,0% от размера на бюджетните взаимоотношения на БНТ с централния бюджет по уточнен план.</w:t>
      </w:r>
    </w:p>
    <w:p w14:paraId="10141D0C" w14:textId="77777777" w:rsidR="00983EC5" w:rsidRPr="00AE7C42" w:rsidRDefault="00983EC5" w:rsidP="00983EC5">
      <w:pPr>
        <w:tabs>
          <w:tab w:val="num" w:pos="1134"/>
        </w:tabs>
        <w:ind w:firstLine="720"/>
        <w:jc w:val="both"/>
        <w:rPr>
          <w:lang w:eastAsia="en-US"/>
        </w:rPr>
      </w:pPr>
      <w:r w:rsidRPr="00AE7C42">
        <w:rPr>
          <w:bCs/>
          <w:lang w:eastAsia="en-US"/>
        </w:rPr>
        <w:t>Просрочени задължения</w:t>
      </w:r>
      <w:r w:rsidRPr="00AE7C42">
        <w:rPr>
          <w:b/>
          <w:bCs/>
          <w:lang w:eastAsia="en-US"/>
        </w:rPr>
        <w:t xml:space="preserve"> </w:t>
      </w:r>
      <w:r w:rsidRPr="00AE7C42">
        <w:rPr>
          <w:lang w:eastAsia="en-US"/>
        </w:rPr>
        <w:t>на БНТ към доставчици са в размер на 7,3 млн. лв.  и представляват:</w:t>
      </w:r>
      <w:r>
        <w:rPr>
          <w:lang w:eastAsia="en-US"/>
        </w:rPr>
        <w:t xml:space="preserve"> </w:t>
      </w:r>
      <w:r w:rsidRPr="00AE7C42">
        <w:rPr>
          <w:lang w:eastAsia="en-US"/>
        </w:rPr>
        <w:t>задължения към доставчици в страната – 7,2 млн. лв., в т.ч.: 7,1 млн. лв. за разпространение на телевизионни програми, отстъпени права и разходи за предавания; 990 лв. за доставка на телевизионно оборудване, материали, техника и консумативи; 86 970 лв. за спортни права за излъчване на български първенства, социологически изследвания и други събития. Основната част от неразплатената сума са задължения за разпространение на програмите на БНТ – 7,0 млн. лв., в т.ч.: 4,9 млн. лв. по договор с „БТК“ ЕАД и 2,1 млн. лв. по договор с Виваком България ЕАД;</w:t>
      </w:r>
      <w:r>
        <w:rPr>
          <w:lang w:eastAsia="en-US"/>
        </w:rPr>
        <w:t xml:space="preserve"> </w:t>
      </w:r>
      <w:r w:rsidRPr="00AE7C42">
        <w:rPr>
          <w:lang w:eastAsia="en-US"/>
        </w:rPr>
        <w:t>задължения по договори за външни продукции – 0,1 млн. лв.</w:t>
      </w:r>
    </w:p>
    <w:p w14:paraId="6EAB09E2" w14:textId="77777777" w:rsidR="00983EC5" w:rsidRPr="000A2FC7" w:rsidRDefault="00983EC5" w:rsidP="00983EC5">
      <w:pPr>
        <w:ind w:firstLine="720"/>
        <w:jc w:val="both"/>
        <w:rPr>
          <w:color w:val="0070C0"/>
          <w:lang w:eastAsia="en-US"/>
        </w:rPr>
      </w:pPr>
      <w:bookmarkStart w:id="504" w:name="_heading=h.l6jjnt5hhfm" w:colFirst="0" w:colLast="0"/>
      <w:bookmarkEnd w:id="504"/>
      <w:r>
        <w:rPr>
          <w:lang w:eastAsia="en-US"/>
        </w:rPr>
        <w:t>П</w:t>
      </w:r>
      <w:r w:rsidRPr="00AE7C42">
        <w:rPr>
          <w:lang w:eastAsia="en-US"/>
        </w:rPr>
        <w:t>ри утвърден допустим максимален размер на задължения 10,0 млн. лв. съгласно чл. 56, ал. 1 от ЗДБРБ за 20</w:t>
      </w:r>
      <w:r w:rsidRPr="004D5FFC">
        <w:rPr>
          <w:lang w:val="ru-RU" w:eastAsia="en-US"/>
        </w:rPr>
        <w:t>2</w:t>
      </w:r>
      <w:r w:rsidRPr="00AE7C42">
        <w:rPr>
          <w:lang w:eastAsia="en-US"/>
        </w:rPr>
        <w:t>2</w:t>
      </w:r>
      <w:r w:rsidRPr="004D5FFC">
        <w:rPr>
          <w:lang w:val="ru-RU" w:eastAsia="en-US"/>
        </w:rPr>
        <w:t xml:space="preserve"> </w:t>
      </w:r>
      <w:r w:rsidRPr="00AE7C42">
        <w:rPr>
          <w:lang w:eastAsia="en-US"/>
        </w:rPr>
        <w:t>г., задълженията на БНТ към доставчици са в размер на 8,7 млн. лв. и представляват задължения за: такси за цифрово наземно разпространение на телевизионни програми – 7,8 млн. лв.; текуща издръжка – 0,7 млн. лв.; възнаграждения за авторски и сродни права на сдруженията за колективно управление на права</w:t>
      </w:r>
      <w:r w:rsidRPr="004D5FFC">
        <w:rPr>
          <w:lang w:val="ru-RU" w:eastAsia="en-US"/>
        </w:rPr>
        <w:t xml:space="preserve"> – </w:t>
      </w:r>
      <w:r w:rsidRPr="00AE7C42">
        <w:rPr>
          <w:lang w:eastAsia="en-US"/>
        </w:rPr>
        <w:t>0,1 млн. лв. и външни продукции</w:t>
      </w:r>
      <w:r w:rsidRPr="004D5FFC">
        <w:rPr>
          <w:lang w:val="ru-RU" w:eastAsia="en-US"/>
        </w:rPr>
        <w:t xml:space="preserve"> – </w:t>
      </w:r>
      <w:r w:rsidRPr="00AE7C42">
        <w:rPr>
          <w:lang w:eastAsia="en-US"/>
        </w:rPr>
        <w:t>0,1 млн. лв.</w:t>
      </w:r>
      <w:r w:rsidRPr="000A2FC7">
        <w:rPr>
          <w:color w:val="0070C0"/>
          <w:lang w:eastAsia="en-US"/>
        </w:rPr>
        <w:t xml:space="preserve"> </w:t>
      </w:r>
    </w:p>
    <w:p w14:paraId="32A7099B" w14:textId="77777777" w:rsidR="00983EC5" w:rsidRPr="003C77CB" w:rsidRDefault="00983EC5" w:rsidP="00983EC5">
      <w:pPr>
        <w:ind w:firstLine="720"/>
        <w:jc w:val="both"/>
        <w:rPr>
          <w:lang w:eastAsia="en-US"/>
        </w:rPr>
      </w:pPr>
      <w:r>
        <w:rPr>
          <w:bCs/>
          <w:lang w:eastAsia="en-US"/>
        </w:rPr>
        <w:t>П</w:t>
      </w:r>
      <w:r w:rsidRPr="003C77CB">
        <w:rPr>
          <w:bCs/>
          <w:lang w:eastAsia="en-US"/>
        </w:rPr>
        <w:t xml:space="preserve">росрочените вземания  на БНТ </w:t>
      </w:r>
      <w:r w:rsidRPr="003C77CB">
        <w:rPr>
          <w:lang w:eastAsia="en-US"/>
        </w:rPr>
        <w:t>са в размер на 1,0 млн. лв., в т.ч.: 0,9 млн. лв. просрочени вземания от клиенти и 0,</w:t>
      </w:r>
      <w:r w:rsidRPr="004D5FFC">
        <w:rPr>
          <w:lang w:val="ru-RU" w:eastAsia="en-US"/>
        </w:rPr>
        <w:t>1</w:t>
      </w:r>
      <w:r w:rsidRPr="003C77CB">
        <w:rPr>
          <w:lang w:eastAsia="en-US"/>
        </w:rPr>
        <w:t xml:space="preserve"> млн. лв. просрочени вземания от концесии и наеми, и представляват:</w:t>
      </w:r>
    </w:p>
    <w:p w14:paraId="4D28455E" w14:textId="77777777" w:rsidR="00983EC5" w:rsidRPr="003C77CB" w:rsidRDefault="00983EC5" w:rsidP="00BD39E0">
      <w:pPr>
        <w:numPr>
          <w:ilvl w:val="0"/>
          <w:numId w:val="45"/>
        </w:numPr>
        <w:tabs>
          <w:tab w:val="num" w:pos="0"/>
          <w:tab w:val="left" w:pos="1134"/>
        </w:tabs>
        <w:ind w:left="0" w:firstLine="720"/>
        <w:jc w:val="both"/>
        <w:rPr>
          <w:lang w:eastAsia="en-US"/>
        </w:rPr>
      </w:pPr>
      <w:r w:rsidRPr="003C77CB">
        <w:rPr>
          <w:lang w:eastAsia="en-US"/>
        </w:rPr>
        <w:t>вземания по съдебни спорове – 0,4 млн. лв. За сумите са заведени дела. Тези вземания са с по-дълъг период на събираемост, поради удължената съдебна процедура;</w:t>
      </w:r>
    </w:p>
    <w:p w14:paraId="1CF9FA9F" w14:textId="77777777" w:rsidR="00983EC5" w:rsidRPr="003C77CB" w:rsidRDefault="00983EC5" w:rsidP="00BD39E0">
      <w:pPr>
        <w:numPr>
          <w:ilvl w:val="0"/>
          <w:numId w:val="45"/>
        </w:numPr>
        <w:tabs>
          <w:tab w:val="num" w:pos="0"/>
          <w:tab w:val="left" w:pos="1134"/>
        </w:tabs>
        <w:ind w:left="0" w:firstLine="720"/>
        <w:jc w:val="both"/>
        <w:rPr>
          <w:lang w:eastAsia="en-US"/>
        </w:rPr>
      </w:pPr>
      <w:r w:rsidRPr="003C77CB">
        <w:rPr>
          <w:lang w:eastAsia="en-US"/>
        </w:rPr>
        <w:t>вземания от др. клиенти</w:t>
      </w:r>
      <w:r w:rsidRPr="004D5FFC">
        <w:rPr>
          <w:lang w:val="ru-RU" w:eastAsia="en-US"/>
        </w:rPr>
        <w:t xml:space="preserve"> </w:t>
      </w:r>
      <w:r w:rsidRPr="003C77CB">
        <w:rPr>
          <w:lang w:eastAsia="en-US"/>
        </w:rPr>
        <w:t>– 0,</w:t>
      </w:r>
      <w:r w:rsidRPr="004D5FFC">
        <w:rPr>
          <w:lang w:val="ru-RU" w:eastAsia="en-US"/>
        </w:rPr>
        <w:t>1</w:t>
      </w:r>
      <w:r w:rsidRPr="003C77CB">
        <w:rPr>
          <w:lang w:eastAsia="en-US"/>
        </w:rPr>
        <w:t xml:space="preserve"> млн. лв. Сумите представляват неразменени данъчни фактури по бартерни договори и др. По-голяма част от вземанията са несъбираеми, поради факта, че клиентите отказват да </w:t>
      </w:r>
      <w:r>
        <w:rPr>
          <w:lang w:eastAsia="en-US"/>
        </w:rPr>
        <w:t>издадат фактури</w:t>
      </w:r>
      <w:r w:rsidRPr="003C77CB">
        <w:rPr>
          <w:lang w:eastAsia="en-US"/>
        </w:rPr>
        <w:t>;</w:t>
      </w:r>
    </w:p>
    <w:p w14:paraId="3D106693" w14:textId="77777777" w:rsidR="00983EC5" w:rsidRPr="003C77CB" w:rsidRDefault="00983EC5" w:rsidP="00BD39E0">
      <w:pPr>
        <w:numPr>
          <w:ilvl w:val="0"/>
          <w:numId w:val="45"/>
        </w:numPr>
        <w:tabs>
          <w:tab w:val="num" w:pos="0"/>
          <w:tab w:val="left" w:pos="1134"/>
        </w:tabs>
        <w:ind w:left="0" w:firstLine="720"/>
        <w:jc w:val="both"/>
        <w:rPr>
          <w:lang w:eastAsia="en-US"/>
        </w:rPr>
      </w:pPr>
      <w:r w:rsidRPr="003C77CB">
        <w:rPr>
          <w:lang w:eastAsia="en-US"/>
        </w:rPr>
        <w:t>вземания от рекламни агенции и др. клиенти – 0,</w:t>
      </w:r>
      <w:r w:rsidRPr="004D5FFC">
        <w:rPr>
          <w:lang w:val="ru-RU" w:eastAsia="en-US"/>
        </w:rPr>
        <w:t>5</w:t>
      </w:r>
      <w:r w:rsidRPr="003C77CB">
        <w:rPr>
          <w:lang w:eastAsia="en-US"/>
        </w:rPr>
        <w:t xml:space="preserve"> млн. лв. Просрочените вземания са за месеците октомври и ноември 2022 г.;</w:t>
      </w:r>
    </w:p>
    <w:p w14:paraId="393BF3D0" w14:textId="77777777" w:rsidR="00983EC5" w:rsidRPr="003C77CB" w:rsidRDefault="00983EC5" w:rsidP="00BD39E0">
      <w:pPr>
        <w:numPr>
          <w:ilvl w:val="0"/>
          <w:numId w:val="45"/>
        </w:numPr>
        <w:tabs>
          <w:tab w:val="num" w:pos="0"/>
          <w:tab w:val="left" w:pos="1134"/>
        </w:tabs>
        <w:ind w:left="0" w:firstLine="720"/>
        <w:jc w:val="both"/>
        <w:rPr>
          <w:lang w:eastAsia="en-US"/>
        </w:rPr>
      </w:pPr>
      <w:r w:rsidRPr="003C77CB">
        <w:rPr>
          <w:lang w:eastAsia="en-US"/>
        </w:rPr>
        <w:t xml:space="preserve">вземания за извършени технически услуги на чужди телевизии и други фирми </w:t>
      </w:r>
      <w:r w:rsidRPr="004D5FFC">
        <w:rPr>
          <w:lang w:val="ru-RU" w:eastAsia="en-US"/>
        </w:rPr>
        <w:t xml:space="preserve">– </w:t>
      </w:r>
      <w:r w:rsidRPr="003C77CB">
        <w:rPr>
          <w:lang w:eastAsia="en-US"/>
        </w:rPr>
        <w:t>34 683 лв. Предприети са мерки относно събираемостта на вземанията, както и за недопускане предоставянето на повторни услуги на телевизиите, с които БНТ има неуредени взаимоотношения;</w:t>
      </w:r>
    </w:p>
    <w:p w14:paraId="4C05474E" w14:textId="77777777" w:rsidR="00983EC5" w:rsidRPr="003C77CB" w:rsidRDefault="00983EC5" w:rsidP="00BD39E0">
      <w:pPr>
        <w:pStyle w:val="ListParagraph"/>
        <w:numPr>
          <w:ilvl w:val="0"/>
          <w:numId w:val="76"/>
        </w:numPr>
        <w:tabs>
          <w:tab w:val="num" w:pos="0"/>
          <w:tab w:val="num" w:pos="851"/>
          <w:tab w:val="num" w:pos="1134"/>
        </w:tabs>
        <w:ind w:left="0" w:firstLine="720"/>
        <w:jc w:val="both"/>
        <w:rPr>
          <w:lang w:eastAsia="en-US"/>
        </w:rPr>
      </w:pPr>
      <w:r w:rsidRPr="003C77CB">
        <w:rPr>
          <w:lang w:eastAsia="en-US"/>
        </w:rPr>
        <w:t>вземания на регионалните телевизионни центрове – 44 218 лв. (за излъчена, но неплатена реклама и спонсорство, неплатени наеми и консумативни разходи</w:t>
      </w:r>
      <w:r w:rsidRPr="004D5FFC">
        <w:rPr>
          <w:lang w:val="ru-RU" w:eastAsia="en-US"/>
        </w:rPr>
        <w:t>)</w:t>
      </w:r>
      <w:r w:rsidRPr="003C77CB">
        <w:rPr>
          <w:lang w:eastAsia="en-US"/>
        </w:rPr>
        <w:t>.</w:t>
      </w:r>
    </w:p>
    <w:p w14:paraId="018D65E3" w14:textId="77777777" w:rsidR="00983EC5" w:rsidRPr="00E35DAF" w:rsidRDefault="00983EC5" w:rsidP="00E35DAF">
      <w:pPr>
        <w:pStyle w:val="Heading3"/>
        <w:numPr>
          <w:ilvl w:val="1"/>
          <w:numId w:val="9"/>
        </w:numPr>
        <w:spacing w:after="120"/>
        <w:rPr>
          <w:rFonts w:ascii="Times New Roman" w:hAnsi="Times New Roman"/>
          <w:sz w:val="24"/>
          <w:lang w:val="bg-BG"/>
        </w:rPr>
      </w:pPr>
      <w:bookmarkStart w:id="505" w:name="_Toc51339863"/>
      <w:bookmarkStart w:id="506" w:name="_Toc137056899"/>
      <w:bookmarkStart w:id="507" w:name="_Toc146037939"/>
      <w:r w:rsidRPr="0020200B">
        <w:rPr>
          <w:rFonts w:ascii="Times New Roman" w:hAnsi="Times New Roman"/>
          <w:sz w:val="24"/>
          <w:lang w:val="bg-BG"/>
        </w:rPr>
        <w:t>Българска телеграфна агенция</w:t>
      </w:r>
      <w:bookmarkEnd w:id="499"/>
      <w:bookmarkEnd w:id="500"/>
      <w:bookmarkEnd w:id="501"/>
      <w:bookmarkEnd w:id="502"/>
      <w:bookmarkEnd w:id="503"/>
      <w:bookmarkEnd w:id="505"/>
      <w:bookmarkEnd w:id="506"/>
      <w:bookmarkEnd w:id="507"/>
    </w:p>
    <w:p w14:paraId="288A742E" w14:textId="77777777" w:rsidR="00983EC5" w:rsidRPr="00146C71" w:rsidRDefault="00983EC5" w:rsidP="00983EC5">
      <w:pPr>
        <w:tabs>
          <w:tab w:val="right" w:pos="7938"/>
        </w:tabs>
        <w:ind w:firstLine="720"/>
        <w:jc w:val="both"/>
      </w:pPr>
      <w:r w:rsidRPr="00146C71">
        <w:t xml:space="preserve">Общият размер на </w:t>
      </w:r>
      <w:r w:rsidRPr="00146C71">
        <w:rPr>
          <w:b/>
        </w:rPr>
        <w:t>приходите</w:t>
      </w:r>
      <w:r w:rsidRPr="00146C71">
        <w:t xml:space="preserve"> за 202</w:t>
      </w:r>
      <w:r w:rsidRPr="004D5FFC">
        <w:rPr>
          <w:lang w:val="ru-RU"/>
        </w:rPr>
        <w:t>2</w:t>
      </w:r>
      <w:r w:rsidRPr="00146C71">
        <w:t xml:space="preserve"> г. на Българската телеграфна агенция e </w:t>
      </w:r>
      <w:r w:rsidRPr="004D5FFC">
        <w:rPr>
          <w:lang w:val="ru-RU"/>
        </w:rPr>
        <w:t>0</w:t>
      </w:r>
      <w:r w:rsidRPr="00146C71">
        <w:t>,</w:t>
      </w:r>
      <w:r w:rsidRPr="004D5FFC">
        <w:rPr>
          <w:lang w:val="ru-RU"/>
        </w:rPr>
        <w:t>8</w:t>
      </w:r>
      <w:r w:rsidRPr="00146C71">
        <w:t xml:space="preserve"> млн. лв., което е повече от 2,6 пъти повече от предвидените за годината 0,3 млн. лв. Основните приходи са получени от продажби на информационни продукти и услуги. </w:t>
      </w:r>
    </w:p>
    <w:p w14:paraId="6297E3D3" w14:textId="77777777" w:rsidR="00983EC5" w:rsidRPr="000A2FC7" w:rsidRDefault="00983EC5" w:rsidP="00983EC5">
      <w:pPr>
        <w:tabs>
          <w:tab w:val="right" w:pos="7938"/>
        </w:tabs>
        <w:ind w:firstLine="720"/>
        <w:jc w:val="both"/>
        <w:rPr>
          <w:color w:val="0070C0"/>
        </w:rPr>
      </w:pPr>
      <w:r w:rsidRPr="00146C71">
        <w:t xml:space="preserve">Отчетените общи </w:t>
      </w:r>
      <w:r w:rsidRPr="00146C71">
        <w:rPr>
          <w:b/>
        </w:rPr>
        <w:t>разходи</w:t>
      </w:r>
      <w:r w:rsidRPr="00146C71">
        <w:t xml:space="preserve"> за 2022 г. по бюджета на БТА са в размер на 10,2 млн. лв</w:t>
      </w:r>
      <w:r>
        <w:t>.</w:t>
      </w:r>
      <w:r w:rsidRPr="007A2706">
        <w:rPr>
          <w:lang w:eastAsia="en-US"/>
        </w:rPr>
        <w:t xml:space="preserve"> което е 97,5 % от годишния разчет за 2022 г.</w:t>
      </w:r>
      <w:r w:rsidRPr="00146C71">
        <w:t xml:space="preserve"> Изразходваните средства са свързани с основната дейност на агенцията, както и подсигуряване на допълнителни технически средства в помещенията, устройства за усилване </w:t>
      </w:r>
      <w:r w:rsidRPr="00D823F9">
        <w:t xml:space="preserve">на връзката и сигнала, с които да започне организирането на мероприятия онлайн, както и да бъде подсигурено качественото им пряко излъчване. С най-голям относителен дял от общите разходи - 81,5 %, са разходите за персонал – 8,3 млн. лева. Разходите за издръжка ( вкл. разходите за глоби, санкции и наказателни лихви) за 2022 г. са в размер на 1,6 млн. лв. </w:t>
      </w:r>
      <w:r>
        <w:t>Отчетените капиталови разходи са в размер на 0,3 млн. лв.</w:t>
      </w:r>
    </w:p>
    <w:p w14:paraId="780BF632" w14:textId="77777777" w:rsidR="00983EC5" w:rsidRPr="00A82958" w:rsidRDefault="00983EC5" w:rsidP="00983EC5">
      <w:pPr>
        <w:ind w:firstLine="720"/>
        <w:jc w:val="both"/>
        <w:rPr>
          <w:sz w:val="18"/>
        </w:rPr>
      </w:pPr>
      <w:r w:rsidRPr="007A2706">
        <w:t>Общо утвърдените</w:t>
      </w:r>
      <w:r w:rsidRPr="007A2706">
        <w:rPr>
          <w:b/>
          <w:i/>
        </w:rPr>
        <w:t xml:space="preserve"> бюджетни взаимоотношения на БТА </w:t>
      </w:r>
      <w:r w:rsidRPr="007A2706">
        <w:t>със ЗДБРБ за 2022 г. са в размер на10,1 млн. лв. След изменението на Закона за БТА на агенцията са одобрени допълнителни трансфери за изпълнение на планираните дейности, свързани с подобряване изпълнението на функциите предвидени в закона. Отчетените трансфери са в размер</w:t>
      </w:r>
      <w:r w:rsidRPr="007A2706">
        <w:rPr>
          <w:b/>
        </w:rPr>
        <w:t xml:space="preserve"> </w:t>
      </w:r>
      <w:r w:rsidRPr="007A2706">
        <w:t>на 13,3 млн. лв.</w:t>
      </w:r>
      <w:r>
        <w:t xml:space="preserve"> </w:t>
      </w:r>
      <w:r w:rsidRPr="007A2706">
        <w:rPr>
          <w:lang w:eastAsia="en-US"/>
        </w:rPr>
        <w:t xml:space="preserve">или 100 % от размера на бюджетните взаимоотношения на БТА </w:t>
      </w:r>
      <w:r w:rsidRPr="00A82958">
        <w:rPr>
          <w:lang w:eastAsia="en-US"/>
        </w:rPr>
        <w:t>с централния бюджет по уточнен план</w:t>
      </w:r>
      <w:r w:rsidRPr="00A82958">
        <w:t xml:space="preserve">. </w:t>
      </w:r>
    </w:p>
    <w:p w14:paraId="7DF0CAE8" w14:textId="77777777" w:rsidR="00983EC5" w:rsidRPr="00A82958" w:rsidRDefault="00983EC5" w:rsidP="00983EC5">
      <w:pPr>
        <w:tabs>
          <w:tab w:val="right" w:pos="7938"/>
        </w:tabs>
        <w:ind w:firstLine="720"/>
        <w:jc w:val="both"/>
      </w:pPr>
      <w:r w:rsidRPr="00A82958">
        <w:tab/>
        <w:t xml:space="preserve">Със Закона за държавния бюджет на Република България за 2022 г. е утвърден максимален  размер на задълженията към доставчици от 0,020 млн. лв., като към 31.12.2022 г. БТА е отчела 0,011 млн. лв. задължения към доставчици. </w:t>
      </w:r>
    </w:p>
    <w:p w14:paraId="39444861" w14:textId="40FBB2A2" w:rsidR="009C1EBF" w:rsidRPr="008628B7" w:rsidRDefault="009C1EBF" w:rsidP="004D74B5">
      <w:pPr>
        <w:pStyle w:val="Heading2"/>
        <w:numPr>
          <w:ilvl w:val="1"/>
          <w:numId w:val="4"/>
        </w:numPr>
        <w:spacing w:before="360"/>
        <w:ind w:left="1145" w:hanging="357"/>
        <w:rPr>
          <w:rFonts w:ascii="Times New Roman" w:hAnsi="Times New Roman" w:cs="Times New Roman"/>
          <w:i w:val="0"/>
          <w:iCs w:val="0"/>
          <w:sz w:val="24"/>
        </w:rPr>
      </w:pPr>
      <w:bookmarkStart w:id="508" w:name="_Toc146037940"/>
      <w:r w:rsidRPr="008628B7">
        <w:rPr>
          <w:rFonts w:ascii="Times New Roman" w:hAnsi="Times New Roman" w:cs="Times New Roman"/>
          <w:i w:val="0"/>
          <w:iCs w:val="0"/>
          <w:sz w:val="24"/>
        </w:rPr>
        <w:t>Сметки за средствата от Европейския съюз на бюджетни организации</w:t>
      </w:r>
      <w:bookmarkEnd w:id="508"/>
      <w:r w:rsidRPr="008628B7">
        <w:rPr>
          <w:rFonts w:ascii="Times New Roman" w:hAnsi="Times New Roman" w:cs="Times New Roman"/>
          <w:i w:val="0"/>
          <w:iCs w:val="0"/>
          <w:sz w:val="24"/>
        </w:rPr>
        <w:t xml:space="preserve"> </w:t>
      </w:r>
    </w:p>
    <w:p w14:paraId="7BAC5CEC" w14:textId="61B9158B" w:rsidR="002C05A1" w:rsidRPr="008628B7" w:rsidRDefault="002C05A1" w:rsidP="004D74B5">
      <w:pPr>
        <w:pStyle w:val="Heading3"/>
        <w:numPr>
          <w:ilvl w:val="1"/>
          <w:numId w:val="10"/>
        </w:numPr>
        <w:spacing w:before="120"/>
        <w:ind w:left="1077" w:hanging="357"/>
        <w:rPr>
          <w:rFonts w:ascii="Times New Roman" w:hAnsi="Times New Roman"/>
          <w:sz w:val="24"/>
          <w:lang w:val="bg-BG"/>
        </w:rPr>
      </w:pPr>
      <w:bookmarkStart w:id="509" w:name="_Toc83045529"/>
      <w:bookmarkStart w:id="510" w:name="_Toc136597771"/>
      <w:bookmarkStart w:id="511" w:name="_Toc136601674"/>
      <w:bookmarkStart w:id="512" w:name="_Toc261276611"/>
      <w:bookmarkStart w:id="513" w:name="_Toc262637654"/>
      <w:bookmarkStart w:id="514" w:name="_Toc324863454"/>
      <w:bookmarkStart w:id="515" w:name="_Toc393728106"/>
      <w:bookmarkStart w:id="516" w:name="_Toc146037941"/>
      <w:bookmarkEnd w:id="480"/>
      <w:bookmarkEnd w:id="481"/>
      <w:r w:rsidRPr="008628B7">
        <w:rPr>
          <w:rFonts w:ascii="Times New Roman" w:hAnsi="Times New Roman"/>
          <w:sz w:val="24"/>
          <w:lang w:val="bg-BG"/>
        </w:rPr>
        <w:t>Сметка за средствата от Европейския съюз на Национал</w:t>
      </w:r>
      <w:r w:rsidR="00D7482F" w:rsidRPr="008628B7">
        <w:rPr>
          <w:rFonts w:ascii="Times New Roman" w:hAnsi="Times New Roman"/>
          <w:sz w:val="24"/>
          <w:lang w:val="bg-BG"/>
        </w:rPr>
        <w:t>ния</w:t>
      </w:r>
      <w:r w:rsidRPr="008628B7">
        <w:rPr>
          <w:rFonts w:ascii="Times New Roman" w:hAnsi="Times New Roman"/>
          <w:sz w:val="24"/>
          <w:lang w:val="bg-BG"/>
        </w:rPr>
        <w:t xml:space="preserve"> фонд</w:t>
      </w:r>
      <w:bookmarkEnd w:id="516"/>
      <w:r w:rsidRPr="008628B7">
        <w:rPr>
          <w:rFonts w:ascii="Times New Roman" w:hAnsi="Times New Roman"/>
          <w:sz w:val="24"/>
          <w:lang w:val="bg-BG"/>
        </w:rPr>
        <w:t xml:space="preserve"> </w:t>
      </w:r>
      <w:bookmarkEnd w:id="509"/>
    </w:p>
    <w:p w14:paraId="0CC46E54" w14:textId="77777777" w:rsidR="00135ADC" w:rsidRDefault="00135ADC" w:rsidP="00C8261E">
      <w:pPr>
        <w:pStyle w:val="BodyText"/>
        <w:spacing w:after="0"/>
        <w:ind w:right="23" w:firstLine="709"/>
        <w:jc w:val="both"/>
      </w:pPr>
      <w:bookmarkStart w:id="517" w:name="_Toc136597770"/>
      <w:bookmarkStart w:id="518" w:name="_Toc136601673"/>
      <w:bookmarkStart w:id="519" w:name="_Toc261276609"/>
      <w:bookmarkStart w:id="520" w:name="_Toc262637652"/>
      <w:bookmarkStart w:id="521" w:name="_Toc324863452"/>
      <w:bookmarkStart w:id="522" w:name="_Toc393728104"/>
      <w:bookmarkStart w:id="523" w:name="_Toc11323453"/>
      <w:bookmarkStart w:id="524" w:name="_Toc18316987"/>
      <w:bookmarkStart w:id="525" w:name="_Toc83045530"/>
      <w:bookmarkStart w:id="526" w:name="_Toc136273545"/>
      <w:r w:rsidRPr="0006595D">
        <w:t>Дирекция „Национален фонд” (НФ) е Сертифициращ орган и орган, отговорен за получаване на средствата от Структурните фондове и Кохезионния фонд (СКФ) на Европейския съюз (ЕС) през програмния период 2007–2013 г. съгласно Решение на Министерския съвет № 988/27.12.2005 г., както и по двустранните програми за трансгранично сътрудничество по външните граници на ЕС (ПТСВГ), финансирани от Инструмента за предприсъединителна помощ (ИПП), съгласно Решение на Министерския съвет № 523 от 31.07.2007 г. Също така, съгласно</w:t>
      </w:r>
      <w:r w:rsidRPr="0006595D">
        <w:rPr>
          <w:rFonts w:asciiTheme="minorHAnsi" w:eastAsiaTheme="minorHAnsi" w:hAnsiTheme="minorHAnsi" w:cstheme="minorBidi"/>
          <w:lang w:eastAsia="en-US"/>
        </w:rPr>
        <w:t xml:space="preserve"> </w:t>
      </w:r>
      <w:r w:rsidRPr="0006595D">
        <w:t>Решение на Министерския съвет № 792/19.12.2013 г. НФ е определен за Сертифициращ орган и орган, отговорен за получаване на средствата по програмите, финансирани със средствата от Европейския фонд за регионално развитие (ЕФРР), Европейския социален фонд (ЕСФ), Кохезионния фонд (КФ), Инициативата за младежка заетост (ИМЗ) и Фонда за европейско подпомагане на най-нуждаещите се лица (ФЕПНЛ), както и по ПТСВГ, финансирани от (ИПП II) с Решение на Министерския съвет № 156 от 21.03.2014 г.</w:t>
      </w:r>
    </w:p>
    <w:p w14:paraId="66C952DF" w14:textId="77777777" w:rsidR="00135ADC" w:rsidRDefault="00135ADC" w:rsidP="00C8261E">
      <w:pPr>
        <w:pStyle w:val="BodyText"/>
        <w:spacing w:after="0"/>
        <w:ind w:right="23" w:firstLine="709"/>
        <w:jc w:val="both"/>
      </w:pPr>
      <w:r w:rsidRPr="00A44F14">
        <w:t>Изпълнява функциите на Счетоводен орган, отговорен за изпращане на: заявления за плащане и изготвянето на годишните счетоводни отчети през програмен период 2021 - 2027 г. по програмите, съфинансирани от Европейския фонд за регионално развитие, Европейския социален фонд+, Кохезионния фонд, Фонда за справедлив преход и по двустранните програми за трансгранично сътрудничество по външните граници на| Европейския съюз и извършване на плащания към УО по програмите, съфинансирани от ЕФРР, ЕСФ+, КФ, ФСП и по ПТСВГ на Европейския съюз</w:t>
      </w:r>
      <w:r>
        <w:t>.</w:t>
      </w:r>
    </w:p>
    <w:p w14:paraId="547D245B" w14:textId="77777777" w:rsidR="00135ADC" w:rsidRDefault="00135ADC" w:rsidP="00C8261E">
      <w:pPr>
        <w:pStyle w:val="BodyText"/>
        <w:spacing w:after="0"/>
        <w:ind w:right="23" w:firstLine="709"/>
        <w:jc w:val="both"/>
      </w:pPr>
      <w:r w:rsidRPr="00A12CC4">
        <w:t>Изпълнява функциите на координиращо звено на национално равнище, отговорно за подготовката на подзаконовата нормативна уредба и системата за управление и контрол, извършване на наблюдение, контрол и плащания във връзка с изпълнението на Плана за възстановяване и устойчивост, подготовка и изпращане на пакета документи с искане за плащане към Европейската комисия, планирането, бюджетирането и финансово-счетоводната отчетност на средствата по Механизма за възстановяване и устойчивост</w:t>
      </w:r>
      <w:r>
        <w:t xml:space="preserve"> (МВУ)</w:t>
      </w:r>
      <w:r w:rsidRPr="00A12CC4">
        <w:t xml:space="preserve"> и извършване на плащания (</w:t>
      </w:r>
      <w:r>
        <w:t>отпускане на лимити) към СНД/КП.</w:t>
      </w:r>
    </w:p>
    <w:p w14:paraId="5FE88DC0" w14:textId="77777777" w:rsidR="00135ADC" w:rsidRPr="00A44F14" w:rsidRDefault="00135ADC" w:rsidP="00C8261E">
      <w:pPr>
        <w:pStyle w:val="BodyText"/>
        <w:spacing w:after="0"/>
        <w:ind w:right="23" w:firstLine="709"/>
        <w:jc w:val="both"/>
      </w:pPr>
      <w:r w:rsidRPr="0045163D">
        <w:t xml:space="preserve">Изпълнява функциите на орган, отговорен за получаване на финансирането по Резерва за приспособяване във </w:t>
      </w:r>
      <w:r>
        <w:t>връзка с последиците от Брекзит.</w:t>
      </w:r>
    </w:p>
    <w:p w14:paraId="7792DEA8" w14:textId="77777777" w:rsidR="00135ADC" w:rsidRPr="006A2918" w:rsidRDefault="00135ADC" w:rsidP="00C8261E">
      <w:pPr>
        <w:pStyle w:val="BodyText"/>
        <w:spacing w:after="0"/>
        <w:ind w:right="23" w:firstLine="709"/>
        <w:jc w:val="both"/>
      </w:pPr>
      <w:r w:rsidRPr="00893E40">
        <w:t>Дирекция „Национален фонд”</w:t>
      </w:r>
      <w:r>
        <w:t xml:space="preserve"> </w:t>
      </w:r>
      <w:r w:rsidRPr="006A2918">
        <w:t xml:space="preserve">изпълнява функциите на централен съкровищен орган по програма ФАР и Преходния финансов инструмент (ПФИ), Разплащателен орган по КФ (Регламент 1164/94)/ИСПА и на Компетентен орган по програма САПАРД.   </w:t>
      </w:r>
    </w:p>
    <w:p w14:paraId="5874C00D" w14:textId="77777777" w:rsidR="00135ADC" w:rsidRPr="006A2918" w:rsidRDefault="00135ADC" w:rsidP="00C8261E">
      <w:pPr>
        <w:pStyle w:val="BodyText"/>
        <w:spacing w:after="0"/>
        <w:ind w:right="23" w:firstLine="709"/>
        <w:jc w:val="both"/>
      </w:pPr>
      <w:r w:rsidRPr="00893E40">
        <w:t xml:space="preserve">Дирекцията </w:t>
      </w:r>
      <w:r w:rsidRPr="006A2918">
        <w:t>е определена за централен съкровищен орган за средствата и сертификацията на разходите по Норвежкия финансов механизъм (НФМ) 2014–2021 г. и Финансовия механизъм на Европейското икономическо пространство (ФМ на ЕИП) 2014–2021 г.</w:t>
      </w:r>
    </w:p>
    <w:p w14:paraId="11F897A7" w14:textId="22680160" w:rsidR="00135ADC" w:rsidRPr="003F6FFE" w:rsidRDefault="00135ADC" w:rsidP="00C8261E">
      <w:pPr>
        <w:pStyle w:val="BodyText"/>
        <w:spacing w:after="0"/>
        <w:ind w:right="23" w:firstLine="709"/>
        <w:jc w:val="both"/>
        <w:rPr>
          <w:color w:val="0070C0"/>
        </w:rPr>
      </w:pPr>
      <w:r w:rsidRPr="00BE7272">
        <w:t>В съответствие с годишните закони за държавния бюджет средствата от помощта от ЕС и Офиса на ЕИП и НФМ и съответното националното съфинансиране се осигуряват чрез сметка</w:t>
      </w:r>
      <w:r w:rsidR="00603C08">
        <w:t>та</w:t>
      </w:r>
      <w:r w:rsidRPr="00BE7272">
        <w:t xml:space="preserve"> за средства от Е</w:t>
      </w:r>
      <w:r w:rsidR="00571184">
        <w:t>вропейския съюз</w:t>
      </w:r>
      <w:r w:rsidRPr="00BE7272">
        <w:t xml:space="preserve"> на Националн</w:t>
      </w:r>
      <w:r w:rsidR="00571184">
        <w:t>ия</w:t>
      </w:r>
      <w:r w:rsidRPr="00BE7272">
        <w:t xml:space="preserve"> фонд.</w:t>
      </w:r>
      <w:r w:rsidRPr="003F6FFE">
        <w:rPr>
          <w:color w:val="0070C0"/>
        </w:rPr>
        <w:t xml:space="preserve"> </w:t>
      </w:r>
    </w:p>
    <w:p w14:paraId="08DEAED9" w14:textId="012BFD04" w:rsidR="00135ADC" w:rsidRPr="00947B21" w:rsidRDefault="00135ADC" w:rsidP="00C8261E">
      <w:pPr>
        <w:pStyle w:val="BodyText"/>
        <w:spacing w:after="0"/>
        <w:ind w:right="23" w:firstLine="709"/>
        <w:jc w:val="both"/>
      </w:pPr>
      <w:r w:rsidRPr="00947B21">
        <w:t>Изпълнението на проектите по програмите, съфинансирани със средства от ЕС, се извършва от Изпълнителните агенции/Управляващите органи/Програмните оператори. За целите на касовата отчетност всички активи, пасиви, съответно приходи и разходи на Изпълнителните агенции/Управляващите органи /Програмни оператори се консолидират в сметката за средства</w:t>
      </w:r>
      <w:r w:rsidR="00603C08">
        <w:t>та</w:t>
      </w:r>
      <w:r w:rsidRPr="00947B21">
        <w:t xml:space="preserve"> от Е</w:t>
      </w:r>
      <w:r w:rsidR="00603C08">
        <w:t>вропейския съюз</w:t>
      </w:r>
      <w:r w:rsidRPr="00947B21">
        <w:t xml:space="preserve"> на Националния фонд, независимо че са организационно и юридически част от структурата на други министерства и ведомства.</w:t>
      </w:r>
    </w:p>
    <w:p w14:paraId="61E671C1" w14:textId="22406120" w:rsidR="00135ADC" w:rsidRPr="003F6FFE" w:rsidRDefault="00135ADC" w:rsidP="00C8261E">
      <w:pPr>
        <w:pStyle w:val="BodyText"/>
        <w:spacing w:after="0"/>
        <w:ind w:right="23" w:firstLine="709"/>
        <w:jc w:val="both"/>
        <w:rPr>
          <w:bCs/>
          <w:color w:val="0070C0"/>
        </w:rPr>
      </w:pPr>
      <w:r w:rsidRPr="003856E6">
        <w:rPr>
          <w:bCs/>
        </w:rPr>
        <w:t>По сметките на НФ към 31.12.2022 г. са постъпили приходи (нето) в размер на 5</w:t>
      </w:r>
      <w:r>
        <w:rPr>
          <w:bCs/>
        </w:rPr>
        <w:t> </w:t>
      </w:r>
      <w:r w:rsidRPr="003856E6">
        <w:rPr>
          <w:bCs/>
        </w:rPr>
        <w:t>291</w:t>
      </w:r>
      <w:r>
        <w:rPr>
          <w:bCs/>
        </w:rPr>
        <w:t>,</w:t>
      </w:r>
      <w:r w:rsidRPr="003856E6">
        <w:rPr>
          <w:bCs/>
        </w:rPr>
        <w:t xml:space="preserve">5 млн. лева по програмите, съфинансирани от </w:t>
      </w:r>
      <w:r>
        <w:rPr>
          <w:bCs/>
        </w:rPr>
        <w:t>ЕФРР</w:t>
      </w:r>
      <w:r w:rsidRPr="003856E6">
        <w:rPr>
          <w:bCs/>
        </w:rPr>
        <w:t xml:space="preserve">, </w:t>
      </w:r>
      <w:r>
        <w:rPr>
          <w:bCs/>
        </w:rPr>
        <w:t>ЕСФ</w:t>
      </w:r>
      <w:r w:rsidRPr="003856E6">
        <w:rPr>
          <w:bCs/>
        </w:rPr>
        <w:t xml:space="preserve"> (включително Инициативата за младежка заетост), </w:t>
      </w:r>
      <w:r>
        <w:rPr>
          <w:bCs/>
        </w:rPr>
        <w:t>КФ</w:t>
      </w:r>
      <w:r w:rsidRPr="003856E6">
        <w:rPr>
          <w:bCs/>
        </w:rPr>
        <w:t xml:space="preserve"> и </w:t>
      </w:r>
      <w:r>
        <w:rPr>
          <w:bCs/>
        </w:rPr>
        <w:t>ФЕПНЛ</w:t>
      </w:r>
      <w:r w:rsidRPr="003856E6">
        <w:rPr>
          <w:bCs/>
        </w:rPr>
        <w:t xml:space="preserve"> на ЕС за финансовата рамка, както </w:t>
      </w:r>
      <w:r>
        <w:rPr>
          <w:bCs/>
        </w:rPr>
        <w:t>ЕСФ</w:t>
      </w:r>
      <w:r w:rsidRPr="003856E6">
        <w:rPr>
          <w:bCs/>
        </w:rPr>
        <w:t xml:space="preserve">+, </w:t>
      </w:r>
      <w:r>
        <w:rPr>
          <w:bCs/>
        </w:rPr>
        <w:t>МВУ</w:t>
      </w:r>
      <w:r w:rsidRPr="003856E6">
        <w:rPr>
          <w:bCs/>
        </w:rPr>
        <w:t>, ПТСВГ, ФМ на ЕИП и НФМ, като в тази сума са включени и отразените (нето) в отчетността на НФ операции по постъпването по банковите бюджетни сметки на Министерство</w:t>
      </w:r>
      <w:r w:rsidR="00F879BA">
        <w:rPr>
          <w:bCs/>
        </w:rPr>
        <w:t>то</w:t>
      </w:r>
      <w:r w:rsidRPr="003856E6">
        <w:rPr>
          <w:bCs/>
        </w:rPr>
        <w:t xml:space="preserve"> на регионалното развитие и благоустройството (МРРБ) на чуждото финансиране по ПТСВГ и изплатените средства от получения ресурс към бенефициенти извън страната.</w:t>
      </w:r>
      <w:r w:rsidRPr="003F6FFE">
        <w:rPr>
          <w:bCs/>
          <w:color w:val="0070C0"/>
        </w:rPr>
        <w:t xml:space="preserve"> </w:t>
      </w:r>
    </w:p>
    <w:p w14:paraId="60A6D86C" w14:textId="77777777" w:rsidR="00135ADC" w:rsidRPr="00CB20D7" w:rsidRDefault="00135ADC" w:rsidP="00C8261E">
      <w:pPr>
        <w:pStyle w:val="BodyText"/>
        <w:spacing w:after="0"/>
        <w:ind w:right="23" w:firstLine="709"/>
        <w:jc w:val="both"/>
      </w:pPr>
      <w:r w:rsidRPr="00CB20D7">
        <w:t>Равномерността на постъпване на средствата от ЕС и другите донори зависи основно от скоростта и ритмичността на усвояване на средствата от Управляващите органи/Програмните оператори, срока за сключване на договори с изпълнители по проектите, както и спецификата на самите проекти. Следва да се има предвид, че при възстановяване на разходите по оперативните програми в периода 2014-2020 Европейската комисия (ЕК) задържа текущо 10</w:t>
      </w:r>
      <w:r>
        <w:t xml:space="preserve"> </w:t>
      </w:r>
      <w:r w:rsidRPr="00CB20D7">
        <w:t>% от стойността на заявените разходи през счетоводна година, които се очаква да бъдат възстановени от ЕК при годишното уравняване на сметките.</w:t>
      </w:r>
    </w:p>
    <w:p w14:paraId="7BC982DE" w14:textId="77777777" w:rsidR="00135ADC" w:rsidRPr="003856E6" w:rsidRDefault="00135ADC" w:rsidP="00C8261E">
      <w:pPr>
        <w:pStyle w:val="BodyText"/>
        <w:spacing w:after="0"/>
        <w:ind w:right="23" w:firstLine="709"/>
        <w:jc w:val="both"/>
        <w:rPr>
          <w:bCs/>
        </w:rPr>
      </w:pPr>
      <w:r w:rsidRPr="003856E6">
        <w:rPr>
          <w:bCs/>
        </w:rPr>
        <w:t>Извършените разходи (нето) за периода с натрупване чрез сметките на НФ възлизат на 662</w:t>
      </w:r>
      <w:r>
        <w:rPr>
          <w:bCs/>
        </w:rPr>
        <w:t>,</w:t>
      </w:r>
      <w:r w:rsidRPr="003856E6">
        <w:rPr>
          <w:bCs/>
        </w:rPr>
        <w:t>4 млн. лева. По видове разходи изпълнението е както следва: 72</w:t>
      </w:r>
      <w:r>
        <w:rPr>
          <w:bCs/>
        </w:rPr>
        <w:t>,</w:t>
      </w:r>
      <w:r w:rsidRPr="003856E6">
        <w:rPr>
          <w:bCs/>
        </w:rPr>
        <w:t>13</w:t>
      </w:r>
      <w:r>
        <w:rPr>
          <w:bCs/>
        </w:rPr>
        <w:t xml:space="preserve"> </w:t>
      </w:r>
      <w:r w:rsidRPr="003856E6">
        <w:rPr>
          <w:bCs/>
        </w:rPr>
        <w:t>% от общата стойност са капиталови трансфери, 26</w:t>
      </w:r>
      <w:r>
        <w:rPr>
          <w:bCs/>
        </w:rPr>
        <w:t>,</w:t>
      </w:r>
      <w:r w:rsidRPr="003856E6">
        <w:rPr>
          <w:bCs/>
        </w:rPr>
        <w:t>73</w:t>
      </w:r>
      <w:r>
        <w:rPr>
          <w:bCs/>
        </w:rPr>
        <w:t xml:space="preserve"> </w:t>
      </w:r>
      <w:r w:rsidRPr="003856E6">
        <w:rPr>
          <w:bCs/>
        </w:rPr>
        <w:t>% са субсидии, 1</w:t>
      </w:r>
      <w:r>
        <w:rPr>
          <w:bCs/>
        </w:rPr>
        <w:t>,</w:t>
      </w:r>
      <w:r w:rsidRPr="003856E6">
        <w:rPr>
          <w:bCs/>
        </w:rPr>
        <w:t>14</w:t>
      </w:r>
      <w:r>
        <w:rPr>
          <w:bCs/>
        </w:rPr>
        <w:t xml:space="preserve"> </w:t>
      </w:r>
      <w:r w:rsidRPr="003856E6">
        <w:rPr>
          <w:bCs/>
        </w:rPr>
        <w:t>% предоставени текущи и капиталови трансфери за чужбина и 0</w:t>
      </w:r>
      <w:r>
        <w:rPr>
          <w:bCs/>
        </w:rPr>
        <w:t>,</w:t>
      </w:r>
      <w:r w:rsidRPr="003856E6">
        <w:rPr>
          <w:bCs/>
        </w:rPr>
        <w:t>001</w:t>
      </w:r>
      <w:r>
        <w:rPr>
          <w:bCs/>
        </w:rPr>
        <w:t xml:space="preserve"> </w:t>
      </w:r>
      <w:r w:rsidRPr="003856E6">
        <w:rPr>
          <w:bCs/>
        </w:rPr>
        <w:t>% - издръжка.</w:t>
      </w:r>
    </w:p>
    <w:p w14:paraId="7CAE8478" w14:textId="77777777" w:rsidR="00135ADC" w:rsidRPr="003F6FFE" w:rsidRDefault="00135ADC" w:rsidP="00C8261E">
      <w:pPr>
        <w:pStyle w:val="BodyText"/>
        <w:spacing w:after="0"/>
        <w:ind w:right="23" w:firstLine="709"/>
        <w:jc w:val="both"/>
        <w:rPr>
          <w:bCs/>
          <w:color w:val="0070C0"/>
        </w:rPr>
      </w:pPr>
      <w:r w:rsidRPr="003856E6">
        <w:rPr>
          <w:bCs/>
        </w:rPr>
        <w:t>Трансферите (нето), временните безлихвени заеми (нето) и временна възмездна финансова помощ за разглеждания период са на стойност 1</w:t>
      </w:r>
      <w:r>
        <w:rPr>
          <w:bCs/>
        </w:rPr>
        <w:t> </w:t>
      </w:r>
      <w:r w:rsidRPr="003856E6">
        <w:rPr>
          <w:bCs/>
        </w:rPr>
        <w:t>063</w:t>
      </w:r>
      <w:r>
        <w:rPr>
          <w:bCs/>
        </w:rPr>
        <w:t>,</w:t>
      </w:r>
      <w:r w:rsidRPr="003856E6">
        <w:rPr>
          <w:bCs/>
        </w:rPr>
        <w:t>5 млн. лв. (включват предоставените трансфери към бенефициенти по Оперативните програми (ОП) на ЕС - програмен период 2014 – 2020 г., ПТСВГ за периода 2014 – 2020 г., ФМ на ЕИП 2014–2021 г. и НФМ 2014–2021 г., както и възстановени трансфери от бенефициенти-бюджетни организации за неусвоени суми по приключили проекти, за недопустими разходи или други надплащания. В консолидираната отчетност на НФ са отразени и трансфери (нето) към бенефициенти – бюджетни организации, които са за сметка на средства, предоставени от държавите-партньори по ПТСВГ</w:t>
      </w:r>
      <w:r w:rsidRPr="003856E6">
        <w:rPr>
          <w:bCs/>
          <w:color w:val="0070C0"/>
        </w:rPr>
        <w:t>.</w:t>
      </w:r>
      <w:r>
        <w:rPr>
          <w:bCs/>
          <w:color w:val="0070C0"/>
        </w:rPr>
        <w:t xml:space="preserve"> </w:t>
      </w:r>
    </w:p>
    <w:p w14:paraId="4E1CD951" w14:textId="77777777" w:rsidR="00135ADC" w:rsidRPr="00AD52D2" w:rsidRDefault="00135ADC" w:rsidP="00C8261E">
      <w:pPr>
        <w:ind w:right="23" w:firstLine="709"/>
        <w:jc w:val="both"/>
        <w:rPr>
          <w:bCs/>
        </w:rPr>
      </w:pPr>
      <w:r w:rsidRPr="00AD52D2">
        <w:rPr>
          <w:bCs/>
        </w:rPr>
        <w:t>Във връзка с изпълнение на програмите и проектите по програмен период 2014 – 2020 г., 2021 – 2027 г., ФМ на ЕИП и НФМ и НПВУ по сметките на НФ са получени трансфери от централния бюджет на стойност 335</w:t>
      </w:r>
      <w:r>
        <w:rPr>
          <w:bCs/>
        </w:rPr>
        <w:t>,</w:t>
      </w:r>
      <w:r w:rsidRPr="00AD52D2">
        <w:rPr>
          <w:bCs/>
        </w:rPr>
        <w:t>6 млн. лева.</w:t>
      </w:r>
    </w:p>
    <w:p w14:paraId="43C9DDA7" w14:textId="77777777" w:rsidR="00135ADC" w:rsidRPr="00AD52D2" w:rsidRDefault="00135ADC" w:rsidP="00C8261E">
      <w:pPr>
        <w:ind w:right="23" w:firstLine="709"/>
        <w:jc w:val="both"/>
        <w:rPr>
          <w:bCs/>
        </w:rPr>
      </w:pPr>
      <w:r w:rsidRPr="00AD52D2">
        <w:rPr>
          <w:bCs/>
        </w:rPr>
        <w:t>Общата сума от други приходи (корективи за касови постъпления, отчетени за дължими суми от бенефициенти), отчетени по сметката за средства от ЕС на НФ, са в размер на 2</w:t>
      </w:r>
      <w:r>
        <w:rPr>
          <w:bCs/>
        </w:rPr>
        <w:t>,</w:t>
      </w:r>
      <w:r w:rsidRPr="00AD52D2">
        <w:rPr>
          <w:bCs/>
        </w:rPr>
        <w:t>2 млн. лева.</w:t>
      </w:r>
    </w:p>
    <w:p w14:paraId="324938B8" w14:textId="77777777" w:rsidR="00135ADC" w:rsidRPr="00AD52D2" w:rsidRDefault="00135ADC" w:rsidP="00135ADC">
      <w:pPr>
        <w:spacing w:before="120"/>
        <w:ind w:right="23" w:firstLine="686"/>
        <w:jc w:val="both"/>
        <w:rPr>
          <w:b/>
          <w:bCs/>
          <w:szCs w:val="20"/>
        </w:rPr>
      </w:pPr>
      <w:r w:rsidRPr="00AD52D2">
        <w:rPr>
          <w:b/>
          <w:bCs/>
          <w:szCs w:val="20"/>
        </w:rPr>
        <w:t>Структурни и Кохезионен фондове (СКФ) 2007 – 2013 г.</w:t>
      </w:r>
    </w:p>
    <w:p w14:paraId="3E11B7A5" w14:textId="77777777" w:rsidR="00135ADC" w:rsidRPr="003F6FFE" w:rsidRDefault="00135ADC" w:rsidP="00135ADC">
      <w:pPr>
        <w:ind w:right="23" w:firstLine="684"/>
        <w:jc w:val="both"/>
        <w:rPr>
          <w:bCs/>
          <w:color w:val="0070C0"/>
        </w:rPr>
      </w:pPr>
      <w:r w:rsidRPr="00AD52D2">
        <w:rPr>
          <w:bCs/>
          <w:szCs w:val="20"/>
        </w:rPr>
        <w:t>През отчетния период са отчетени (нето) възстановени суми от бенефициенти на стойност на 59</w:t>
      </w:r>
      <w:r>
        <w:rPr>
          <w:bCs/>
          <w:szCs w:val="20"/>
        </w:rPr>
        <w:t>,</w:t>
      </w:r>
      <w:r w:rsidRPr="00AD52D2">
        <w:rPr>
          <w:bCs/>
          <w:szCs w:val="20"/>
        </w:rPr>
        <w:t>1 млн. лв., а възстановеното авансово финансиране по реда на ДДС6/2011 г</w:t>
      </w:r>
      <w:r w:rsidRPr="00AD52D2">
        <w:rPr>
          <w:szCs w:val="20"/>
        </w:rPr>
        <w:t xml:space="preserve">. </w:t>
      </w:r>
      <w:r w:rsidRPr="00AD52D2">
        <w:rPr>
          <w:bCs/>
          <w:szCs w:val="20"/>
        </w:rPr>
        <w:t>е в размер на 1</w:t>
      </w:r>
      <w:r>
        <w:rPr>
          <w:bCs/>
          <w:szCs w:val="20"/>
        </w:rPr>
        <w:t>,</w:t>
      </w:r>
      <w:r w:rsidRPr="00AD52D2">
        <w:rPr>
          <w:bCs/>
          <w:szCs w:val="20"/>
        </w:rPr>
        <w:t>7 млн. лева.</w:t>
      </w:r>
      <w:r w:rsidRPr="003F6FFE">
        <w:rPr>
          <w:bCs/>
          <w:color w:val="0070C0"/>
        </w:rPr>
        <w:t xml:space="preserve"> </w:t>
      </w:r>
    </w:p>
    <w:p w14:paraId="48BF15C0" w14:textId="77777777" w:rsidR="00135ADC" w:rsidRPr="00E66E7A" w:rsidRDefault="00135ADC" w:rsidP="00135ADC">
      <w:pPr>
        <w:tabs>
          <w:tab w:val="left" w:pos="570"/>
          <w:tab w:val="num" w:pos="741"/>
        </w:tabs>
        <w:spacing w:before="120"/>
        <w:ind w:right="23"/>
        <w:jc w:val="both"/>
        <w:rPr>
          <w:b/>
          <w:bCs/>
        </w:rPr>
      </w:pPr>
      <w:r w:rsidRPr="003F6FFE">
        <w:rPr>
          <w:color w:val="0070C0"/>
          <w:szCs w:val="20"/>
        </w:rPr>
        <w:tab/>
        <w:t xml:space="preserve">  </w:t>
      </w:r>
      <w:r w:rsidRPr="00E66E7A">
        <w:rPr>
          <w:b/>
          <w:bCs/>
        </w:rPr>
        <w:t>Европейски фонд за регионално развитие, Европейски социален фонд (включително Инициативата за младежка заетост), Кохезионния фонд и ФЕПНЛ на Европейския съюз за финансова рамка 2014 – 2020 г.</w:t>
      </w:r>
    </w:p>
    <w:p w14:paraId="65B2344C" w14:textId="77777777" w:rsidR="00135ADC" w:rsidRPr="00880180" w:rsidRDefault="00135ADC" w:rsidP="007D5AB6">
      <w:pPr>
        <w:ind w:right="23" w:firstLine="686"/>
        <w:jc w:val="both"/>
        <w:rPr>
          <w:bCs/>
          <w:szCs w:val="20"/>
        </w:rPr>
      </w:pPr>
      <w:r w:rsidRPr="00880180">
        <w:rPr>
          <w:bCs/>
          <w:szCs w:val="20"/>
        </w:rPr>
        <w:t>Общо получените средства (нето) от ЕК за периода са в размер на 2</w:t>
      </w:r>
      <w:r>
        <w:rPr>
          <w:bCs/>
          <w:szCs w:val="20"/>
        </w:rPr>
        <w:t> </w:t>
      </w:r>
      <w:r w:rsidRPr="00880180">
        <w:rPr>
          <w:bCs/>
          <w:szCs w:val="20"/>
        </w:rPr>
        <w:t>221</w:t>
      </w:r>
      <w:r>
        <w:rPr>
          <w:bCs/>
          <w:szCs w:val="20"/>
        </w:rPr>
        <w:t>,</w:t>
      </w:r>
      <w:r w:rsidRPr="00880180">
        <w:rPr>
          <w:bCs/>
          <w:szCs w:val="20"/>
        </w:rPr>
        <w:t>0 млн. лв. (в тях влизат и получените приходи по REACT-EU в размер на 543</w:t>
      </w:r>
      <w:r>
        <w:rPr>
          <w:bCs/>
          <w:szCs w:val="20"/>
        </w:rPr>
        <w:t>,</w:t>
      </w:r>
      <w:r w:rsidRPr="00880180">
        <w:rPr>
          <w:bCs/>
          <w:szCs w:val="20"/>
        </w:rPr>
        <w:t>5 млн. лева) и са разпределени както следва:</w:t>
      </w:r>
    </w:p>
    <w:p w14:paraId="008D47BE"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„Иновации и конкурентоспособност” – 723</w:t>
      </w:r>
      <w:r>
        <w:rPr>
          <w:bCs/>
          <w:szCs w:val="20"/>
        </w:rPr>
        <w:t>,</w:t>
      </w:r>
      <w:r w:rsidRPr="00880180">
        <w:rPr>
          <w:bCs/>
          <w:szCs w:val="20"/>
        </w:rPr>
        <w:t>5 млн. лв. (вкл. REACT-EU в размер на 246</w:t>
      </w:r>
      <w:r>
        <w:rPr>
          <w:bCs/>
          <w:szCs w:val="20"/>
        </w:rPr>
        <w:t>,</w:t>
      </w:r>
      <w:r w:rsidRPr="00880180">
        <w:rPr>
          <w:bCs/>
          <w:szCs w:val="20"/>
        </w:rPr>
        <w:t xml:space="preserve">0 млн. лева);  </w:t>
      </w:r>
    </w:p>
    <w:p w14:paraId="4705E85D"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„Добро управление” – 108</w:t>
      </w:r>
      <w:r>
        <w:rPr>
          <w:bCs/>
          <w:szCs w:val="20"/>
        </w:rPr>
        <w:t>,</w:t>
      </w:r>
      <w:r w:rsidRPr="00880180">
        <w:rPr>
          <w:bCs/>
          <w:szCs w:val="20"/>
        </w:rPr>
        <w:t>8 млн. л</w:t>
      </w:r>
      <w:r>
        <w:rPr>
          <w:bCs/>
          <w:szCs w:val="20"/>
        </w:rPr>
        <w:t>е</w:t>
      </w:r>
      <w:r w:rsidRPr="00880180">
        <w:rPr>
          <w:bCs/>
          <w:szCs w:val="20"/>
        </w:rPr>
        <w:t>в</w:t>
      </w:r>
      <w:r>
        <w:rPr>
          <w:bCs/>
          <w:szCs w:val="20"/>
        </w:rPr>
        <w:t>а</w:t>
      </w:r>
      <w:r w:rsidRPr="00880180">
        <w:rPr>
          <w:bCs/>
          <w:szCs w:val="20"/>
        </w:rPr>
        <w:t>;</w:t>
      </w:r>
    </w:p>
    <w:p w14:paraId="48B0154C"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„Транспорт и транспортна инфраструктура” – 207</w:t>
      </w:r>
      <w:r>
        <w:rPr>
          <w:bCs/>
          <w:szCs w:val="20"/>
        </w:rPr>
        <w:t>,</w:t>
      </w:r>
      <w:r w:rsidRPr="00880180">
        <w:rPr>
          <w:bCs/>
          <w:szCs w:val="20"/>
        </w:rPr>
        <w:t>5 млн. л</w:t>
      </w:r>
      <w:r>
        <w:rPr>
          <w:bCs/>
          <w:szCs w:val="20"/>
        </w:rPr>
        <w:t>е</w:t>
      </w:r>
      <w:r w:rsidRPr="00880180">
        <w:rPr>
          <w:bCs/>
          <w:szCs w:val="20"/>
        </w:rPr>
        <w:t>в</w:t>
      </w:r>
      <w:r>
        <w:rPr>
          <w:bCs/>
          <w:szCs w:val="20"/>
        </w:rPr>
        <w:t>а</w:t>
      </w:r>
      <w:r w:rsidRPr="00880180">
        <w:rPr>
          <w:bCs/>
          <w:szCs w:val="20"/>
        </w:rPr>
        <w:t>;</w:t>
      </w:r>
    </w:p>
    <w:p w14:paraId="262DDDED"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„Околна среда 2014 – 2020 г.“ – 369</w:t>
      </w:r>
      <w:r>
        <w:rPr>
          <w:bCs/>
          <w:szCs w:val="20"/>
        </w:rPr>
        <w:t>,</w:t>
      </w:r>
      <w:r w:rsidRPr="00880180">
        <w:rPr>
          <w:bCs/>
          <w:szCs w:val="20"/>
        </w:rPr>
        <w:t>3 млн. л</w:t>
      </w:r>
      <w:r>
        <w:rPr>
          <w:bCs/>
          <w:szCs w:val="20"/>
        </w:rPr>
        <w:t>е</w:t>
      </w:r>
      <w:r w:rsidRPr="00880180">
        <w:rPr>
          <w:bCs/>
          <w:szCs w:val="20"/>
        </w:rPr>
        <w:t>в</w:t>
      </w:r>
      <w:r>
        <w:rPr>
          <w:bCs/>
          <w:szCs w:val="20"/>
        </w:rPr>
        <w:t>а</w:t>
      </w:r>
      <w:r w:rsidRPr="00880180">
        <w:rPr>
          <w:bCs/>
          <w:szCs w:val="20"/>
        </w:rPr>
        <w:t>.;</w:t>
      </w:r>
    </w:p>
    <w:p w14:paraId="48A7945B" w14:textId="77777777" w:rsidR="00135ADC" w:rsidRPr="00880180" w:rsidRDefault="00135ADC" w:rsidP="00BD39E0">
      <w:pPr>
        <w:numPr>
          <w:ilvl w:val="0"/>
          <w:numId w:val="79"/>
        </w:numPr>
        <w:tabs>
          <w:tab w:val="clear" w:pos="702"/>
          <w:tab w:val="left" w:pos="1134"/>
        </w:tabs>
        <w:ind w:left="0" w:right="23" w:firstLine="810"/>
        <w:jc w:val="both"/>
        <w:rPr>
          <w:bCs/>
          <w:color w:val="00B0F0"/>
          <w:szCs w:val="20"/>
        </w:rPr>
      </w:pPr>
      <w:r w:rsidRPr="00880180">
        <w:rPr>
          <w:bCs/>
          <w:szCs w:val="20"/>
        </w:rPr>
        <w:t>ОП „Развитие на човешките ресурси 2014 - 2020 г.” – 349</w:t>
      </w:r>
      <w:r>
        <w:rPr>
          <w:bCs/>
          <w:szCs w:val="20"/>
        </w:rPr>
        <w:t>,</w:t>
      </w:r>
      <w:r w:rsidRPr="00880180">
        <w:rPr>
          <w:bCs/>
          <w:szCs w:val="20"/>
        </w:rPr>
        <w:t>1 млн. лв.</w:t>
      </w:r>
      <w:r w:rsidRPr="00880180">
        <w:rPr>
          <w:szCs w:val="20"/>
        </w:rPr>
        <w:t xml:space="preserve"> (</w:t>
      </w:r>
      <w:r w:rsidRPr="00880180">
        <w:rPr>
          <w:bCs/>
          <w:szCs w:val="20"/>
        </w:rPr>
        <w:t>вкл. REACT-EU в размер на 190</w:t>
      </w:r>
      <w:r>
        <w:rPr>
          <w:bCs/>
          <w:szCs w:val="20"/>
        </w:rPr>
        <w:t>,</w:t>
      </w:r>
      <w:r w:rsidRPr="00880180">
        <w:rPr>
          <w:bCs/>
          <w:szCs w:val="20"/>
        </w:rPr>
        <w:t>7 млн. лева);</w:t>
      </w:r>
    </w:p>
    <w:p w14:paraId="5FF336EE"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Инициативата за младежка заетост – 8</w:t>
      </w:r>
      <w:r>
        <w:rPr>
          <w:bCs/>
          <w:szCs w:val="20"/>
        </w:rPr>
        <w:t>,</w:t>
      </w:r>
      <w:r w:rsidRPr="00880180">
        <w:rPr>
          <w:bCs/>
          <w:szCs w:val="20"/>
        </w:rPr>
        <w:t>5 млн. л</w:t>
      </w:r>
      <w:r>
        <w:rPr>
          <w:bCs/>
          <w:szCs w:val="20"/>
        </w:rPr>
        <w:t>е</w:t>
      </w:r>
      <w:r w:rsidRPr="00880180">
        <w:rPr>
          <w:bCs/>
          <w:szCs w:val="20"/>
        </w:rPr>
        <w:t>в</w:t>
      </w:r>
      <w:r>
        <w:rPr>
          <w:bCs/>
          <w:szCs w:val="20"/>
        </w:rPr>
        <w:t>а</w:t>
      </w:r>
      <w:r w:rsidRPr="00880180">
        <w:rPr>
          <w:bCs/>
          <w:szCs w:val="20"/>
        </w:rPr>
        <w:t>.;</w:t>
      </w:r>
    </w:p>
    <w:p w14:paraId="108F3A6E"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„Региони в растеж“ – 230</w:t>
      </w:r>
      <w:r>
        <w:rPr>
          <w:bCs/>
          <w:szCs w:val="20"/>
        </w:rPr>
        <w:t>,</w:t>
      </w:r>
      <w:r w:rsidRPr="00880180">
        <w:rPr>
          <w:bCs/>
          <w:szCs w:val="20"/>
        </w:rPr>
        <w:t>7 млн. лв. (вкл. REACT-EU в размер на 44</w:t>
      </w:r>
      <w:r>
        <w:rPr>
          <w:bCs/>
          <w:szCs w:val="20"/>
        </w:rPr>
        <w:t>,</w:t>
      </w:r>
      <w:r w:rsidRPr="00880180">
        <w:rPr>
          <w:bCs/>
          <w:szCs w:val="20"/>
        </w:rPr>
        <w:t>0 млн. лева);</w:t>
      </w:r>
    </w:p>
    <w:p w14:paraId="61C14C00"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за храни и/или основно материално подпомагане от Фонда за европейско подпомагане на най-нуждаещите се лица в България за периода 2014 – 2020 г. – 38</w:t>
      </w:r>
      <w:r>
        <w:rPr>
          <w:bCs/>
          <w:szCs w:val="20"/>
        </w:rPr>
        <w:t>,</w:t>
      </w:r>
      <w:r w:rsidRPr="00880180">
        <w:rPr>
          <w:bCs/>
          <w:szCs w:val="20"/>
        </w:rPr>
        <w:t>1 млн. лв. (вкл. REACT-EU в размер на 36</w:t>
      </w:r>
      <w:r>
        <w:rPr>
          <w:bCs/>
          <w:szCs w:val="20"/>
        </w:rPr>
        <w:t>,</w:t>
      </w:r>
      <w:r w:rsidRPr="00880180">
        <w:rPr>
          <w:bCs/>
          <w:szCs w:val="20"/>
        </w:rPr>
        <w:t>1 млн. лева) и</w:t>
      </w:r>
    </w:p>
    <w:p w14:paraId="4F8D8520" w14:textId="77777777" w:rsidR="00135ADC" w:rsidRDefault="00135ADC" w:rsidP="00BD39E0">
      <w:pPr>
        <w:numPr>
          <w:ilvl w:val="0"/>
          <w:numId w:val="79"/>
        </w:numPr>
        <w:tabs>
          <w:tab w:val="clear" w:pos="702"/>
          <w:tab w:val="left" w:pos="1134"/>
        </w:tabs>
        <w:ind w:left="0" w:right="23" w:firstLine="810"/>
        <w:jc w:val="both"/>
        <w:rPr>
          <w:bCs/>
          <w:szCs w:val="20"/>
        </w:rPr>
      </w:pPr>
      <w:r w:rsidRPr="00880180">
        <w:rPr>
          <w:bCs/>
          <w:szCs w:val="20"/>
        </w:rPr>
        <w:t>ОП „Наука и образование за интелигентен растеж” – 185</w:t>
      </w:r>
      <w:r>
        <w:rPr>
          <w:bCs/>
          <w:szCs w:val="20"/>
        </w:rPr>
        <w:t>,</w:t>
      </w:r>
      <w:r w:rsidRPr="00880180">
        <w:rPr>
          <w:bCs/>
          <w:szCs w:val="20"/>
        </w:rPr>
        <w:t>5 млн. лв. (вкл. REACT-EU в размер на 26</w:t>
      </w:r>
      <w:r>
        <w:rPr>
          <w:bCs/>
          <w:szCs w:val="20"/>
        </w:rPr>
        <w:t>,</w:t>
      </w:r>
      <w:r w:rsidRPr="00880180">
        <w:rPr>
          <w:bCs/>
          <w:szCs w:val="20"/>
        </w:rPr>
        <w:t>7 млн. лева).</w:t>
      </w:r>
    </w:p>
    <w:p w14:paraId="0338F066" w14:textId="1D506A74" w:rsidR="00135ADC" w:rsidRPr="00880180" w:rsidRDefault="00135ADC" w:rsidP="00625611">
      <w:pPr>
        <w:tabs>
          <w:tab w:val="left" w:pos="1134"/>
        </w:tabs>
        <w:ind w:right="23" w:firstLine="720"/>
        <w:jc w:val="both"/>
        <w:rPr>
          <w:bCs/>
          <w:szCs w:val="20"/>
        </w:rPr>
      </w:pPr>
      <w:r w:rsidRPr="008B6232">
        <w:rPr>
          <w:bCs/>
          <w:szCs w:val="20"/>
        </w:rPr>
        <w:t xml:space="preserve">Спрямо заложените приходи </w:t>
      </w:r>
      <w:r>
        <w:rPr>
          <w:bCs/>
          <w:szCs w:val="20"/>
        </w:rPr>
        <w:t xml:space="preserve">по оперативните програми </w:t>
      </w:r>
      <w:r w:rsidRPr="008B6232">
        <w:rPr>
          <w:bCs/>
          <w:szCs w:val="20"/>
        </w:rPr>
        <w:t>в годишните разчети на сметката за средствата от E</w:t>
      </w:r>
      <w:r w:rsidR="00792267">
        <w:rPr>
          <w:bCs/>
          <w:szCs w:val="20"/>
        </w:rPr>
        <w:t>вропейския съюз</w:t>
      </w:r>
      <w:r w:rsidRPr="008B6232">
        <w:rPr>
          <w:bCs/>
          <w:szCs w:val="20"/>
        </w:rPr>
        <w:t xml:space="preserve"> на Националния фонд изпълнението е </w:t>
      </w:r>
      <w:r>
        <w:rPr>
          <w:bCs/>
          <w:szCs w:val="20"/>
        </w:rPr>
        <w:t>118 процента</w:t>
      </w:r>
      <w:r w:rsidRPr="008B6232">
        <w:rPr>
          <w:bCs/>
          <w:szCs w:val="20"/>
        </w:rPr>
        <w:t>.</w:t>
      </w:r>
    </w:p>
    <w:p w14:paraId="3A6B2F61" w14:textId="77777777" w:rsidR="00135ADC" w:rsidRPr="00880180" w:rsidRDefault="00135ADC" w:rsidP="00625611">
      <w:pPr>
        <w:tabs>
          <w:tab w:val="left" w:pos="1134"/>
        </w:tabs>
        <w:ind w:right="23" w:firstLine="720"/>
        <w:jc w:val="both"/>
        <w:rPr>
          <w:bCs/>
          <w:szCs w:val="20"/>
        </w:rPr>
      </w:pPr>
      <w:r w:rsidRPr="00880180">
        <w:rPr>
          <w:bCs/>
          <w:color w:val="00B0F0"/>
          <w:szCs w:val="20"/>
        </w:rPr>
        <w:t xml:space="preserve">  </w:t>
      </w:r>
      <w:r w:rsidRPr="00880180">
        <w:rPr>
          <w:bCs/>
          <w:szCs w:val="20"/>
        </w:rPr>
        <w:t xml:space="preserve">Направените разходи (нето) по Оперативни програми и трансферите (нето) към бюджетни организации и операции с активи към края на годината са на стойност </w:t>
      </w:r>
      <w:r w:rsidRPr="0086122D">
        <w:rPr>
          <w:bCs/>
          <w:szCs w:val="20"/>
          <w:lang w:val="ru-RU"/>
        </w:rPr>
        <w:t>1</w:t>
      </w:r>
      <w:r>
        <w:rPr>
          <w:bCs/>
          <w:szCs w:val="20"/>
          <w:lang w:val="ru-RU"/>
        </w:rPr>
        <w:t> </w:t>
      </w:r>
      <w:r w:rsidRPr="00880180">
        <w:rPr>
          <w:bCs/>
          <w:szCs w:val="20"/>
        </w:rPr>
        <w:t>947</w:t>
      </w:r>
      <w:r>
        <w:rPr>
          <w:bCs/>
          <w:szCs w:val="20"/>
        </w:rPr>
        <w:t>,</w:t>
      </w:r>
      <w:r w:rsidRPr="00880180">
        <w:rPr>
          <w:bCs/>
          <w:szCs w:val="20"/>
        </w:rPr>
        <w:t>8 млн. лв. (в тях влизат и извършените разходи по REACT-EU в размер на 180</w:t>
      </w:r>
      <w:r>
        <w:rPr>
          <w:bCs/>
          <w:szCs w:val="20"/>
        </w:rPr>
        <w:t>,</w:t>
      </w:r>
      <w:r w:rsidRPr="00880180">
        <w:rPr>
          <w:bCs/>
          <w:szCs w:val="20"/>
        </w:rPr>
        <w:t>0 млн. лева), като разпределението по Оперативни програми е следното:</w:t>
      </w:r>
    </w:p>
    <w:p w14:paraId="3D056A2B" w14:textId="77777777" w:rsidR="00135ADC" w:rsidRPr="00880180" w:rsidRDefault="00135ADC" w:rsidP="00BD39E0">
      <w:pPr>
        <w:numPr>
          <w:ilvl w:val="0"/>
          <w:numId w:val="79"/>
        </w:numPr>
        <w:tabs>
          <w:tab w:val="clear" w:pos="702"/>
          <w:tab w:val="left" w:pos="1134"/>
        </w:tabs>
        <w:ind w:left="0" w:right="23" w:firstLine="810"/>
        <w:jc w:val="both"/>
        <w:rPr>
          <w:bCs/>
          <w:color w:val="00B0F0"/>
          <w:szCs w:val="20"/>
        </w:rPr>
      </w:pPr>
      <w:r w:rsidRPr="00880180">
        <w:rPr>
          <w:bCs/>
          <w:szCs w:val="20"/>
        </w:rPr>
        <w:t>ОП „Развитие на човешките ресурси 2014 - 2020 г.” – 225</w:t>
      </w:r>
      <w:r>
        <w:rPr>
          <w:bCs/>
          <w:szCs w:val="20"/>
        </w:rPr>
        <w:t>,</w:t>
      </w:r>
      <w:r w:rsidRPr="00880180">
        <w:rPr>
          <w:bCs/>
          <w:szCs w:val="20"/>
        </w:rPr>
        <w:t>2 млн. лв.</w:t>
      </w:r>
      <w:r w:rsidRPr="00880180">
        <w:rPr>
          <w:szCs w:val="20"/>
        </w:rPr>
        <w:t xml:space="preserve"> </w:t>
      </w:r>
      <w:r w:rsidRPr="00880180">
        <w:rPr>
          <w:bCs/>
          <w:szCs w:val="20"/>
        </w:rPr>
        <w:t>(вкл. REACT-EU в размер на 100</w:t>
      </w:r>
      <w:r>
        <w:rPr>
          <w:bCs/>
          <w:szCs w:val="20"/>
        </w:rPr>
        <w:t>,</w:t>
      </w:r>
      <w:r w:rsidRPr="003052BA">
        <w:rPr>
          <w:bCs/>
          <w:szCs w:val="20"/>
          <w:lang w:val="ru-RU"/>
        </w:rPr>
        <w:t>3</w:t>
      </w:r>
      <w:r w:rsidRPr="00880180">
        <w:rPr>
          <w:bCs/>
          <w:szCs w:val="20"/>
        </w:rPr>
        <w:t xml:space="preserve"> млн. лева);</w:t>
      </w:r>
    </w:p>
    <w:p w14:paraId="13C6BA82"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Инициативата за младежка заетост – възстановени (нето) средства в размер на 14</w:t>
      </w:r>
      <w:r>
        <w:rPr>
          <w:bCs/>
          <w:szCs w:val="20"/>
        </w:rPr>
        <w:t>,</w:t>
      </w:r>
      <w:r w:rsidRPr="00880180">
        <w:rPr>
          <w:bCs/>
          <w:szCs w:val="20"/>
        </w:rPr>
        <w:t>0 млн. л</w:t>
      </w:r>
      <w:r>
        <w:rPr>
          <w:bCs/>
          <w:szCs w:val="20"/>
        </w:rPr>
        <w:t>е</w:t>
      </w:r>
      <w:r w:rsidRPr="00880180">
        <w:rPr>
          <w:bCs/>
          <w:szCs w:val="20"/>
        </w:rPr>
        <w:t>в</w:t>
      </w:r>
      <w:r>
        <w:rPr>
          <w:bCs/>
          <w:szCs w:val="20"/>
        </w:rPr>
        <w:t>а</w:t>
      </w:r>
      <w:r w:rsidRPr="00880180">
        <w:rPr>
          <w:bCs/>
          <w:szCs w:val="20"/>
        </w:rPr>
        <w:t>;</w:t>
      </w:r>
    </w:p>
    <w:p w14:paraId="49EDBA42"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за храни и/или основно материално подпомагане от Фонда за европейско подпомагане на най-нуждаещите се лица в България за периода 2014 – 2020 г. – 41</w:t>
      </w:r>
      <w:r>
        <w:rPr>
          <w:bCs/>
          <w:szCs w:val="20"/>
        </w:rPr>
        <w:t>,</w:t>
      </w:r>
      <w:r w:rsidRPr="0086122D">
        <w:rPr>
          <w:bCs/>
          <w:szCs w:val="20"/>
          <w:lang w:val="ru-RU"/>
        </w:rPr>
        <w:t>7</w:t>
      </w:r>
      <w:r w:rsidRPr="00880180">
        <w:rPr>
          <w:bCs/>
          <w:szCs w:val="20"/>
        </w:rPr>
        <w:t xml:space="preserve"> млн. лева (вкл. REACT-EU в размер на 38</w:t>
      </w:r>
      <w:r>
        <w:rPr>
          <w:bCs/>
          <w:szCs w:val="20"/>
        </w:rPr>
        <w:t>,</w:t>
      </w:r>
      <w:r w:rsidRPr="00880180">
        <w:rPr>
          <w:bCs/>
          <w:szCs w:val="20"/>
        </w:rPr>
        <w:t>1 млн. лева);</w:t>
      </w:r>
    </w:p>
    <w:p w14:paraId="400F562F"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„Иновации и конкурентоспособност” – 573</w:t>
      </w:r>
      <w:r>
        <w:rPr>
          <w:bCs/>
          <w:szCs w:val="20"/>
        </w:rPr>
        <w:t>,</w:t>
      </w:r>
      <w:r w:rsidRPr="00880180">
        <w:rPr>
          <w:bCs/>
          <w:szCs w:val="20"/>
        </w:rPr>
        <w:t>1 млн. лв. (вкл. REACT-EU в размер на 36</w:t>
      </w:r>
      <w:r>
        <w:rPr>
          <w:bCs/>
          <w:szCs w:val="20"/>
        </w:rPr>
        <w:t>,</w:t>
      </w:r>
      <w:r w:rsidRPr="00880180">
        <w:rPr>
          <w:bCs/>
          <w:szCs w:val="20"/>
        </w:rPr>
        <w:t>2 млн. лева);</w:t>
      </w:r>
    </w:p>
    <w:p w14:paraId="276A2B9B"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„Добро управление” – 110</w:t>
      </w:r>
      <w:r>
        <w:rPr>
          <w:bCs/>
          <w:szCs w:val="20"/>
        </w:rPr>
        <w:t>,</w:t>
      </w:r>
      <w:r w:rsidRPr="0086122D">
        <w:rPr>
          <w:bCs/>
          <w:szCs w:val="20"/>
          <w:lang w:val="ru-RU"/>
        </w:rPr>
        <w:t>5</w:t>
      </w:r>
      <w:r w:rsidRPr="00880180">
        <w:rPr>
          <w:bCs/>
          <w:szCs w:val="20"/>
        </w:rPr>
        <w:t xml:space="preserve"> млн. л</w:t>
      </w:r>
      <w:r>
        <w:rPr>
          <w:bCs/>
          <w:szCs w:val="20"/>
        </w:rPr>
        <w:t>е</w:t>
      </w:r>
      <w:r w:rsidRPr="00880180">
        <w:rPr>
          <w:bCs/>
          <w:szCs w:val="20"/>
        </w:rPr>
        <w:t>в</w:t>
      </w:r>
      <w:r>
        <w:rPr>
          <w:bCs/>
          <w:szCs w:val="20"/>
        </w:rPr>
        <w:t>а</w:t>
      </w:r>
      <w:r w:rsidRPr="00880180">
        <w:rPr>
          <w:bCs/>
          <w:szCs w:val="20"/>
        </w:rPr>
        <w:t>;</w:t>
      </w:r>
    </w:p>
    <w:p w14:paraId="2F17ADAE"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„Региони в растеж“ – 130</w:t>
      </w:r>
      <w:r>
        <w:rPr>
          <w:bCs/>
          <w:szCs w:val="20"/>
        </w:rPr>
        <w:t>,</w:t>
      </w:r>
      <w:r w:rsidRPr="00880180">
        <w:rPr>
          <w:bCs/>
          <w:szCs w:val="20"/>
        </w:rPr>
        <w:t>6 млн. лв.</w:t>
      </w:r>
      <w:r w:rsidRPr="0086122D">
        <w:rPr>
          <w:bCs/>
          <w:szCs w:val="20"/>
          <w:lang w:val="ru-RU"/>
        </w:rPr>
        <w:t xml:space="preserve"> </w:t>
      </w:r>
      <w:r w:rsidRPr="00880180">
        <w:rPr>
          <w:bCs/>
          <w:szCs w:val="20"/>
        </w:rPr>
        <w:t xml:space="preserve">(вкл. REACT-EU в размер на </w:t>
      </w:r>
      <w:r w:rsidRPr="0086122D">
        <w:rPr>
          <w:bCs/>
          <w:szCs w:val="20"/>
          <w:lang w:val="ru-RU"/>
        </w:rPr>
        <w:t>4</w:t>
      </w:r>
      <w:r>
        <w:rPr>
          <w:bCs/>
          <w:szCs w:val="20"/>
          <w:lang w:val="ru-RU"/>
        </w:rPr>
        <w:t>,</w:t>
      </w:r>
      <w:r w:rsidRPr="00880180">
        <w:rPr>
          <w:bCs/>
          <w:szCs w:val="20"/>
        </w:rPr>
        <w:t>5 млн. лева);</w:t>
      </w:r>
    </w:p>
    <w:p w14:paraId="3A6EB3EB"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„Транспорт и транспортна инфраструктура” – 218</w:t>
      </w:r>
      <w:r>
        <w:rPr>
          <w:bCs/>
          <w:szCs w:val="20"/>
        </w:rPr>
        <w:t>,</w:t>
      </w:r>
      <w:r w:rsidRPr="00880180">
        <w:rPr>
          <w:bCs/>
          <w:szCs w:val="20"/>
        </w:rPr>
        <w:t>9 млн. л</w:t>
      </w:r>
      <w:r>
        <w:rPr>
          <w:bCs/>
          <w:szCs w:val="20"/>
        </w:rPr>
        <w:t>е</w:t>
      </w:r>
      <w:r w:rsidRPr="00880180">
        <w:rPr>
          <w:bCs/>
          <w:szCs w:val="20"/>
        </w:rPr>
        <w:t>в</w:t>
      </w:r>
      <w:r>
        <w:rPr>
          <w:bCs/>
          <w:szCs w:val="20"/>
        </w:rPr>
        <w:t>а</w:t>
      </w:r>
      <w:r w:rsidRPr="00880180">
        <w:rPr>
          <w:bCs/>
          <w:szCs w:val="20"/>
        </w:rPr>
        <w:t>;</w:t>
      </w:r>
    </w:p>
    <w:p w14:paraId="43F911B1"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 xml:space="preserve">ОП „Наука и образование за интелигентен растеж” – </w:t>
      </w:r>
      <w:r w:rsidRPr="0086122D">
        <w:rPr>
          <w:bCs/>
          <w:szCs w:val="20"/>
          <w:lang w:val="ru-RU"/>
        </w:rPr>
        <w:t>1</w:t>
      </w:r>
      <w:r w:rsidRPr="00880180">
        <w:rPr>
          <w:bCs/>
          <w:szCs w:val="20"/>
        </w:rPr>
        <w:t>67</w:t>
      </w:r>
      <w:r>
        <w:rPr>
          <w:bCs/>
          <w:szCs w:val="20"/>
        </w:rPr>
        <w:t>,</w:t>
      </w:r>
      <w:r w:rsidRPr="00880180">
        <w:rPr>
          <w:bCs/>
          <w:szCs w:val="20"/>
        </w:rPr>
        <w:t>1 млн. лв. (вкл. REACT-EU в размер на 0</w:t>
      </w:r>
      <w:r>
        <w:rPr>
          <w:bCs/>
          <w:szCs w:val="20"/>
        </w:rPr>
        <w:t>,</w:t>
      </w:r>
      <w:r w:rsidRPr="003052BA">
        <w:rPr>
          <w:bCs/>
          <w:szCs w:val="20"/>
          <w:lang w:val="ru-RU"/>
        </w:rPr>
        <w:t>9</w:t>
      </w:r>
      <w:r w:rsidRPr="00880180">
        <w:rPr>
          <w:bCs/>
          <w:szCs w:val="20"/>
        </w:rPr>
        <w:t xml:space="preserve"> млн. лева) и</w:t>
      </w:r>
    </w:p>
    <w:p w14:paraId="45288C8A" w14:textId="77777777" w:rsidR="00135ADC" w:rsidRPr="00880180" w:rsidRDefault="00135ADC" w:rsidP="00BD39E0">
      <w:pPr>
        <w:numPr>
          <w:ilvl w:val="0"/>
          <w:numId w:val="79"/>
        </w:numPr>
        <w:tabs>
          <w:tab w:val="clear" w:pos="702"/>
          <w:tab w:val="left" w:pos="1134"/>
        </w:tabs>
        <w:ind w:left="0" w:right="23" w:firstLine="810"/>
        <w:jc w:val="both"/>
        <w:rPr>
          <w:bCs/>
          <w:szCs w:val="20"/>
        </w:rPr>
      </w:pPr>
      <w:r w:rsidRPr="00880180">
        <w:rPr>
          <w:bCs/>
          <w:szCs w:val="20"/>
        </w:rPr>
        <w:t>ОП „Околна среда 2014 – 2020 г.“ – 494</w:t>
      </w:r>
      <w:r>
        <w:rPr>
          <w:bCs/>
          <w:szCs w:val="20"/>
        </w:rPr>
        <w:t>,</w:t>
      </w:r>
      <w:r w:rsidRPr="00880180">
        <w:rPr>
          <w:bCs/>
          <w:szCs w:val="20"/>
        </w:rPr>
        <w:t>7 млн. л</w:t>
      </w:r>
      <w:r>
        <w:rPr>
          <w:bCs/>
          <w:szCs w:val="20"/>
        </w:rPr>
        <w:t>е</w:t>
      </w:r>
      <w:r w:rsidRPr="00880180">
        <w:rPr>
          <w:bCs/>
          <w:szCs w:val="20"/>
        </w:rPr>
        <w:t>в</w:t>
      </w:r>
      <w:r>
        <w:rPr>
          <w:bCs/>
          <w:szCs w:val="20"/>
        </w:rPr>
        <w:t>а</w:t>
      </w:r>
      <w:r w:rsidRPr="00880180">
        <w:rPr>
          <w:bCs/>
          <w:szCs w:val="20"/>
        </w:rPr>
        <w:t>.</w:t>
      </w:r>
    </w:p>
    <w:p w14:paraId="3FA470C9" w14:textId="77777777" w:rsidR="00135ADC" w:rsidRPr="00880180" w:rsidRDefault="00135ADC" w:rsidP="007D5AB6">
      <w:pPr>
        <w:ind w:right="23" w:firstLine="720"/>
        <w:jc w:val="both"/>
        <w:rPr>
          <w:bCs/>
          <w:szCs w:val="20"/>
        </w:rPr>
      </w:pPr>
      <w:r w:rsidRPr="00880180">
        <w:rPr>
          <w:bCs/>
          <w:szCs w:val="20"/>
        </w:rPr>
        <w:t>Предоставеното авансово финансиране по реда на ДДС 6/2011 г. към бюджетни организации за периода е на стойност 97</w:t>
      </w:r>
      <w:r>
        <w:rPr>
          <w:bCs/>
          <w:szCs w:val="20"/>
        </w:rPr>
        <w:t>,</w:t>
      </w:r>
      <w:r w:rsidRPr="00880180">
        <w:rPr>
          <w:bCs/>
          <w:szCs w:val="20"/>
        </w:rPr>
        <w:t>7 млн. лева, а възстановените средства – 244</w:t>
      </w:r>
      <w:r>
        <w:rPr>
          <w:bCs/>
          <w:szCs w:val="20"/>
        </w:rPr>
        <w:t>,</w:t>
      </w:r>
      <w:r w:rsidRPr="00880180">
        <w:rPr>
          <w:bCs/>
          <w:szCs w:val="20"/>
        </w:rPr>
        <w:t>4 млн. лева.</w:t>
      </w:r>
    </w:p>
    <w:p w14:paraId="2287A304" w14:textId="77777777" w:rsidR="00135ADC" w:rsidRPr="0086122D" w:rsidRDefault="00135ADC" w:rsidP="007D5AB6">
      <w:pPr>
        <w:ind w:right="23" w:firstLine="720"/>
        <w:jc w:val="both"/>
        <w:rPr>
          <w:bCs/>
          <w:color w:val="00B0F0"/>
          <w:szCs w:val="20"/>
          <w:lang w:val="ru-RU"/>
        </w:rPr>
      </w:pPr>
      <w:r w:rsidRPr="00880180">
        <w:rPr>
          <w:bCs/>
          <w:szCs w:val="20"/>
        </w:rPr>
        <w:t>В сумата на предоставеното авансово финансиране по реда на ДДС</w:t>
      </w:r>
      <w:r>
        <w:rPr>
          <w:bCs/>
          <w:szCs w:val="20"/>
        </w:rPr>
        <w:t xml:space="preserve"> </w:t>
      </w:r>
      <w:r w:rsidRPr="00880180">
        <w:rPr>
          <w:bCs/>
          <w:szCs w:val="20"/>
        </w:rPr>
        <w:t>6/2011 г. е включена и предоставена възмездна финансова помощ (нето) в размер на 7</w:t>
      </w:r>
      <w:r>
        <w:rPr>
          <w:bCs/>
          <w:szCs w:val="20"/>
        </w:rPr>
        <w:t>,</w:t>
      </w:r>
      <w:r w:rsidRPr="00880180">
        <w:rPr>
          <w:bCs/>
          <w:szCs w:val="20"/>
        </w:rPr>
        <w:t>0 млн. лева, а именно на ОП „Транспорт и транспортна инфраструктура” (6</w:t>
      </w:r>
      <w:r>
        <w:rPr>
          <w:bCs/>
          <w:szCs w:val="20"/>
        </w:rPr>
        <w:t>,</w:t>
      </w:r>
      <w:r w:rsidRPr="00880180">
        <w:rPr>
          <w:bCs/>
          <w:szCs w:val="20"/>
        </w:rPr>
        <w:t>3 млн. лева), ОП "Иновации и конкурентоспособност" (0</w:t>
      </w:r>
      <w:r>
        <w:rPr>
          <w:bCs/>
          <w:szCs w:val="20"/>
        </w:rPr>
        <w:t>,</w:t>
      </w:r>
      <w:r w:rsidRPr="00880180">
        <w:rPr>
          <w:bCs/>
          <w:szCs w:val="20"/>
        </w:rPr>
        <w:t>3 млн. лева) и ОП „Региони в растеж (0</w:t>
      </w:r>
      <w:r>
        <w:rPr>
          <w:bCs/>
          <w:szCs w:val="20"/>
        </w:rPr>
        <w:t>,</w:t>
      </w:r>
      <w:r w:rsidRPr="00880180">
        <w:rPr>
          <w:bCs/>
          <w:szCs w:val="20"/>
        </w:rPr>
        <w:t>5 млн. лева).</w:t>
      </w:r>
      <w:r w:rsidRPr="00880180">
        <w:rPr>
          <w:color w:val="00B0F0"/>
          <w:szCs w:val="20"/>
        </w:rPr>
        <w:t xml:space="preserve"> </w:t>
      </w:r>
    </w:p>
    <w:p w14:paraId="48859BAE" w14:textId="77777777" w:rsidR="00135ADC" w:rsidRDefault="00135ADC" w:rsidP="00135ADC">
      <w:pPr>
        <w:ind w:right="23" w:firstLine="567"/>
        <w:jc w:val="both"/>
        <w:rPr>
          <w:color w:val="0070C0"/>
          <w:szCs w:val="20"/>
        </w:rPr>
      </w:pPr>
      <w:r w:rsidRPr="00880180">
        <w:rPr>
          <w:bCs/>
          <w:szCs w:val="20"/>
        </w:rPr>
        <w:t>Изплатените средства от оперативните програми за мерките за минимизиране на отрицателните последици от епидемичното разпространение на COVD-19 през отчетния период са в размер на 648</w:t>
      </w:r>
      <w:r>
        <w:rPr>
          <w:bCs/>
          <w:szCs w:val="20"/>
        </w:rPr>
        <w:t>,</w:t>
      </w:r>
      <w:r w:rsidRPr="00880180">
        <w:rPr>
          <w:bCs/>
          <w:szCs w:val="20"/>
        </w:rPr>
        <w:t>9 млн. лева.</w:t>
      </w:r>
    </w:p>
    <w:p w14:paraId="48B24A23" w14:textId="77777777" w:rsidR="00135ADC" w:rsidRPr="003F6FFE" w:rsidRDefault="00135ADC" w:rsidP="00135ADC">
      <w:pPr>
        <w:ind w:right="23" w:firstLine="567"/>
        <w:jc w:val="both"/>
        <w:rPr>
          <w:color w:val="0070C0"/>
          <w:szCs w:val="20"/>
        </w:rPr>
      </w:pPr>
      <w:r w:rsidRPr="003912AA">
        <w:rPr>
          <w:szCs w:val="20"/>
        </w:rPr>
        <w:t>Спрямо заложените разходи и трансфери в годишните разчети на сметката за средствата от EС на НФ за 2022 г. изпълнението е в размер над 86</w:t>
      </w:r>
      <w:r>
        <w:rPr>
          <w:szCs w:val="20"/>
        </w:rPr>
        <w:t xml:space="preserve"> процента</w:t>
      </w:r>
      <w:r w:rsidRPr="003912AA">
        <w:rPr>
          <w:szCs w:val="20"/>
        </w:rPr>
        <w:t>.</w:t>
      </w:r>
    </w:p>
    <w:p w14:paraId="7AD2F814" w14:textId="77777777" w:rsidR="00135ADC" w:rsidRDefault="00135ADC" w:rsidP="00135ADC">
      <w:pPr>
        <w:ind w:right="23" w:firstLine="567"/>
        <w:jc w:val="both"/>
      </w:pPr>
      <w:r w:rsidRPr="000B0766">
        <w:t>Към 31.12.2022 г. по 8-те Оперативни програми, съфинансирани от ЕФРР, ЕСФ и КФ на ЕС, както и по Оперативна програма за храни и/или основно материално подпомагане, съфинансирана от ФЕПНЛ, европейската част на публичните разходи, декларирани пред ЕК със заявления за плащане, възлиза на 64</w:t>
      </w:r>
      <w:r>
        <w:t>,</w:t>
      </w:r>
      <w:r w:rsidRPr="000B0766">
        <w:t>5</w:t>
      </w:r>
      <w:r>
        <w:t xml:space="preserve"> </w:t>
      </w:r>
      <w:r w:rsidRPr="000B0766">
        <w:t>% от бюджета (общо).</w:t>
      </w:r>
    </w:p>
    <w:p w14:paraId="0A840F87" w14:textId="77777777" w:rsidR="00135ADC" w:rsidRPr="009240C6" w:rsidRDefault="00135ADC" w:rsidP="00135ADC">
      <w:pPr>
        <w:spacing w:before="120"/>
        <w:ind w:right="23" w:firstLine="686"/>
        <w:jc w:val="both"/>
        <w:rPr>
          <w:bCs/>
          <w:szCs w:val="20"/>
        </w:rPr>
      </w:pPr>
      <w:r w:rsidRPr="009240C6">
        <w:rPr>
          <w:b/>
          <w:bCs/>
          <w:szCs w:val="20"/>
        </w:rPr>
        <w:t>Европейския социален фонд+, Европейския фонд за регионално развитие (включително Фонда за справедлив преход) и Кохезионния фонд за програмен период 2021-2027 г.</w:t>
      </w:r>
    </w:p>
    <w:p w14:paraId="0754760E" w14:textId="77777777" w:rsidR="00135ADC" w:rsidRPr="009240C6" w:rsidRDefault="00135ADC" w:rsidP="00135ADC">
      <w:pPr>
        <w:ind w:right="23" w:firstLine="720"/>
        <w:jc w:val="both"/>
        <w:rPr>
          <w:bCs/>
          <w:color w:val="00B0F0"/>
          <w:szCs w:val="20"/>
        </w:rPr>
      </w:pPr>
      <w:r w:rsidRPr="009240C6">
        <w:rPr>
          <w:bCs/>
          <w:szCs w:val="20"/>
        </w:rPr>
        <w:t>Получените средства (предварително годишно финансиране за 2021 и 2022 г., както и предварително финансиране за 2022 г. във връзка с FAST CARE) от ЕК за периода са в размер на 278</w:t>
      </w:r>
      <w:r>
        <w:rPr>
          <w:bCs/>
          <w:szCs w:val="20"/>
        </w:rPr>
        <w:t>,</w:t>
      </w:r>
      <w:r w:rsidRPr="009240C6">
        <w:rPr>
          <w:bCs/>
          <w:szCs w:val="20"/>
        </w:rPr>
        <w:t>9 млн. лв. и са разпределени както следва:</w:t>
      </w:r>
    </w:p>
    <w:p w14:paraId="4E41998D"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„Развитие на човешките ресурси” 2021-2027 г. – 48</w:t>
      </w:r>
      <w:r>
        <w:rPr>
          <w:bCs/>
          <w:szCs w:val="20"/>
        </w:rPr>
        <w:t>,</w:t>
      </w:r>
      <w:r w:rsidRPr="009240C6">
        <w:rPr>
          <w:bCs/>
          <w:szCs w:val="20"/>
        </w:rPr>
        <w:t>4 млн. л</w:t>
      </w:r>
      <w:r>
        <w:rPr>
          <w:bCs/>
          <w:szCs w:val="20"/>
        </w:rPr>
        <w:t>е</w:t>
      </w:r>
      <w:r w:rsidRPr="009240C6">
        <w:rPr>
          <w:bCs/>
          <w:szCs w:val="20"/>
        </w:rPr>
        <w:t>в</w:t>
      </w:r>
      <w:r>
        <w:rPr>
          <w:bCs/>
          <w:szCs w:val="20"/>
        </w:rPr>
        <w:t>а</w:t>
      </w:r>
      <w:r w:rsidRPr="009240C6">
        <w:rPr>
          <w:bCs/>
          <w:szCs w:val="20"/>
        </w:rPr>
        <w:t xml:space="preserve">;  </w:t>
      </w:r>
    </w:p>
    <w:p w14:paraId="45ACA557"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„Храни и основно материално подпомагане” 2021-2027 г. – 5</w:t>
      </w:r>
      <w:r>
        <w:rPr>
          <w:bCs/>
          <w:szCs w:val="20"/>
        </w:rPr>
        <w:t>,</w:t>
      </w:r>
      <w:r w:rsidRPr="009240C6">
        <w:rPr>
          <w:bCs/>
          <w:szCs w:val="20"/>
        </w:rPr>
        <w:t>6 млн. л</w:t>
      </w:r>
      <w:r>
        <w:rPr>
          <w:bCs/>
          <w:szCs w:val="20"/>
        </w:rPr>
        <w:t>е</w:t>
      </w:r>
      <w:r w:rsidRPr="009240C6">
        <w:rPr>
          <w:bCs/>
          <w:szCs w:val="20"/>
        </w:rPr>
        <w:t>в</w:t>
      </w:r>
      <w:r>
        <w:rPr>
          <w:bCs/>
          <w:szCs w:val="20"/>
        </w:rPr>
        <w:t>а</w:t>
      </w:r>
      <w:r w:rsidRPr="009240C6">
        <w:rPr>
          <w:bCs/>
          <w:szCs w:val="20"/>
        </w:rPr>
        <w:t>;</w:t>
      </w:r>
    </w:p>
    <w:p w14:paraId="0B4FE2C2"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„Образование” 2021-2027 г. – 23</w:t>
      </w:r>
      <w:r>
        <w:rPr>
          <w:bCs/>
          <w:szCs w:val="20"/>
        </w:rPr>
        <w:t>,</w:t>
      </w:r>
      <w:r w:rsidRPr="009240C6">
        <w:rPr>
          <w:bCs/>
          <w:szCs w:val="20"/>
        </w:rPr>
        <w:t>1 млн. л</w:t>
      </w:r>
      <w:r>
        <w:rPr>
          <w:bCs/>
          <w:szCs w:val="20"/>
        </w:rPr>
        <w:t>е</w:t>
      </w:r>
      <w:r w:rsidRPr="009240C6">
        <w:rPr>
          <w:bCs/>
          <w:szCs w:val="20"/>
        </w:rPr>
        <w:t>в</w:t>
      </w:r>
      <w:r>
        <w:rPr>
          <w:bCs/>
          <w:szCs w:val="20"/>
        </w:rPr>
        <w:t>а</w:t>
      </w:r>
      <w:r w:rsidRPr="009240C6">
        <w:rPr>
          <w:bCs/>
          <w:szCs w:val="20"/>
        </w:rPr>
        <w:t>;</w:t>
      </w:r>
    </w:p>
    <w:p w14:paraId="12BAF263"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„Околна среда“ 2021 2027 г. – 44</w:t>
      </w:r>
      <w:r>
        <w:rPr>
          <w:bCs/>
          <w:szCs w:val="20"/>
        </w:rPr>
        <w:t>,</w:t>
      </w:r>
      <w:r w:rsidRPr="009240C6">
        <w:rPr>
          <w:bCs/>
          <w:szCs w:val="20"/>
        </w:rPr>
        <w:t>9 млн. л</w:t>
      </w:r>
      <w:r>
        <w:rPr>
          <w:bCs/>
          <w:szCs w:val="20"/>
        </w:rPr>
        <w:t>е</w:t>
      </w:r>
      <w:r w:rsidRPr="009240C6">
        <w:rPr>
          <w:bCs/>
          <w:szCs w:val="20"/>
        </w:rPr>
        <w:t>в</w:t>
      </w:r>
      <w:r>
        <w:rPr>
          <w:bCs/>
          <w:szCs w:val="20"/>
        </w:rPr>
        <w:t>а</w:t>
      </w:r>
      <w:r w:rsidRPr="009240C6">
        <w:rPr>
          <w:bCs/>
          <w:szCs w:val="20"/>
        </w:rPr>
        <w:t>;</w:t>
      </w:r>
    </w:p>
    <w:p w14:paraId="28F18580"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„Техническа помощ“ 2021 2027 г. – 2</w:t>
      </w:r>
      <w:r>
        <w:rPr>
          <w:bCs/>
          <w:szCs w:val="20"/>
        </w:rPr>
        <w:t>,</w:t>
      </w:r>
      <w:r w:rsidRPr="009240C6">
        <w:rPr>
          <w:bCs/>
          <w:szCs w:val="20"/>
        </w:rPr>
        <w:t>9 млн. л</w:t>
      </w:r>
      <w:r>
        <w:rPr>
          <w:bCs/>
          <w:szCs w:val="20"/>
        </w:rPr>
        <w:t>е</w:t>
      </w:r>
      <w:r w:rsidRPr="009240C6">
        <w:rPr>
          <w:bCs/>
          <w:szCs w:val="20"/>
        </w:rPr>
        <w:t>в</w:t>
      </w:r>
      <w:r>
        <w:rPr>
          <w:bCs/>
          <w:szCs w:val="20"/>
        </w:rPr>
        <w:t>а</w:t>
      </w:r>
      <w:r w:rsidRPr="009240C6">
        <w:rPr>
          <w:bCs/>
          <w:szCs w:val="20"/>
        </w:rPr>
        <w:t>;</w:t>
      </w:r>
    </w:p>
    <w:p w14:paraId="549B488E"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„Конкурентоспособност и иновации в предприятията“ 2021 2027 г. – 36</w:t>
      </w:r>
      <w:r>
        <w:rPr>
          <w:bCs/>
          <w:szCs w:val="20"/>
        </w:rPr>
        <w:t>,</w:t>
      </w:r>
      <w:r w:rsidRPr="009240C6">
        <w:rPr>
          <w:bCs/>
          <w:szCs w:val="20"/>
        </w:rPr>
        <w:t>0 млн. л</w:t>
      </w:r>
      <w:r>
        <w:rPr>
          <w:bCs/>
          <w:szCs w:val="20"/>
        </w:rPr>
        <w:t>е</w:t>
      </w:r>
      <w:r w:rsidRPr="009240C6">
        <w:rPr>
          <w:bCs/>
          <w:szCs w:val="20"/>
        </w:rPr>
        <w:t>в</w:t>
      </w:r>
      <w:r>
        <w:rPr>
          <w:bCs/>
          <w:szCs w:val="20"/>
        </w:rPr>
        <w:t>а</w:t>
      </w:r>
      <w:r w:rsidRPr="009240C6">
        <w:rPr>
          <w:bCs/>
          <w:szCs w:val="20"/>
        </w:rPr>
        <w:t>;</w:t>
      </w:r>
    </w:p>
    <w:p w14:paraId="643B4D3F"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„Развитие на регионите“ 2021 2027 г. – 44</w:t>
      </w:r>
      <w:r>
        <w:rPr>
          <w:bCs/>
          <w:szCs w:val="20"/>
        </w:rPr>
        <w:t>,</w:t>
      </w:r>
      <w:r w:rsidRPr="009240C6">
        <w:rPr>
          <w:bCs/>
          <w:szCs w:val="20"/>
        </w:rPr>
        <w:t>6 млн. л</w:t>
      </w:r>
      <w:r>
        <w:rPr>
          <w:bCs/>
          <w:szCs w:val="20"/>
        </w:rPr>
        <w:t>е</w:t>
      </w:r>
      <w:r w:rsidRPr="009240C6">
        <w:rPr>
          <w:bCs/>
          <w:szCs w:val="20"/>
        </w:rPr>
        <w:t>в</w:t>
      </w:r>
      <w:r>
        <w:rPr>
          <w:bCs/>
          <w:szCs w:val="20"/>
        </w:rPr>
        <w:t>а</w:t>
      </w:r>
      <w:r w:rsidRPr="009240C6">
        <w:rPr>
          <w:bCs/>
          <w:szCs w:val="20"/>
        </w:rPr>
        <w:t>;</w:t>
      </w:r>
    </w:p>
    <w:p w14:paraId="520F45AC"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„Научни изследвания, иновации и дигитализация за интелигентна трансформация“ 2021 2027 г. – 26</w:t>
      </w:r>
      <w:r>
        <w:rPr>
          <w:bCs/>
          <w:szCs w:val="20"/>
        </w:rPr>
        <w:t>,</w:t>
      </w:r>
      <w:r w:rsidRPr="009240C6">
        <w:rPr>
          <w:bCs/>
          <w:szCs w:val="20"/>
        </w:rPr>
        <w:t>0 млн. л</w:t>
      </w:r>
      <w:r>
        <w:rPr>
          <w:bCs/>
          <w:szCs w:val="20"/>
        </w:rPr>
        <w:t>е</w:t>
      </w:r>
      <w:r w:rsidRPr="009240C6">
        <w:rPr>
          <w:bCs/>
          <w:szCs w:val="20"/>
        </w:rPr>
        <w:t>в</w:t>
      </w:r>
      <w:r>
        <w:rPr>
          <w:bCs/>
          <w:szCs w:val="20"/>
        </w:rPr>
        <w:t>а</w:t>
      </w:r>
      <w:r w:rsidRPr="009240C6">
        <w:rPr>
          <w:bCs/>
          <w:szCs w:val="20"/>
        </w:rPr>
        <w:t>;</w:t>
      </w:r>
    </w:p>
    <w:p w14:paraId="2EF0C4E2" w14:textId="77777777" w:rsidR="00135ADC" w:rsidRPr="009240C6" w:rsidRDefault="00135ADC" w:rsidP="00BD39E0">
      <w:pPr>
        <w:numPr>
          <w:ilvl w:val="0"/>
          <w:numId w:val="79"/>
        </w:numPr>
        <w:tabs>
          <w:tab w:val="clear" w:pos="702"/>
        </w:tabs>
        <w:ind w:left="810" w:right="23"/>
        <w:jc w:val="both"/>
        <w:rPr>
          <w:bCs/>
          <w:szCs w:val="20"/>
        </w:rPr>
      </w:pPr>
      <w:r w:rsidRPr="009240C6">
        <w:rPr>
          <w:bCs/>
          <w:szCs w:val="20"/>
        </w:rPr>
        <w:t>Програма „Транспортна свързаност“ 2021 2027 г. – 47</w:t>
      </w:r>
      <w:r>
        <w:rPr>
          <w:bCs/>
          <w:szCs w:val="20"/>
        </w:rPr>
        <w:t>,</w:t>
      </w:r>
      <w:r w:rsidRPr="009240C6">
        <w:rPr>
          <w:bCs/>
          <w:szCs w:val="20"/>
        </w:rPr>
        <w:t>4 млн. л</w:t>
      </w:r>
      <w:r>
        <w:rPr>
          <w:bCs/>
          <w:szCs w:val="20"/>
        </w:rPr>
        <w:t>е</w:t>
      </w:r>
      <w:r w:rsidRPr="009240C6">
        <w:rPr>
          <w:bCs/>
          <w:szCs w:val="20"/>
        </w:rPr>
        <w:t>в</w:t>
      </w:r>
      <w:r>
        <w:rPr>
          <w:bCs/>
          <w:szCs w:val="20"/>
        </w:rPr>
        <w:t>а</w:t>
      </w:r>
      <w:r w:rsidRPr="009240C6">
        <w:rPr>
          <w:bCs/>
          <w:szCs w:val="20"/>
        </w:rPr>
        <w:t>.</w:t>
      </w:r>
    </w:p>
    <w:p w14:paraId="65BDCD11" w14:textId="77777777" w:rsidR="00135ADC" w:rsidRPr="009240C6" w:rsidRDefault="00135ADC" w:rsidP="00135ADC">
      <w:pPr>
        <w:spacing w:before="120"/>
        <w:ind w:right="23" w:firstLine="720"/>
        <w:jc w:val="both"/>
        <w:rPr>
          <w:bCs/>
          <w:color w:val="00B0F0"/>
          <w:szCs w:val="20"/>
        </w:rPr>
      </w:pPr>
      <w:r w:rsidRPr="009240C6">
        <w:rPr>
          <w:bCs/>
          <w:szCs w:val="20"/>
        </w:rPr>
        <w:t>Направените разходи (нето) за периода са в размер на 21</w:t>
      </w:r>
      <w:r>
        <w:rPr>
          <w:bCs/>
          <w:szCs w:val="20"/>
        </w:rPr>
        <w:t>,</w:t>
      </w:r>
      <w:r w:rsidRPr="009240C6">
        <w:rPr>
          <w:bCs/>
          <w:szCs w:val="20"/>
        </w:rPr>
        <w:t>9 млн. лв. и са разпределени както следва:</w:t>
      </w:r>
    </w:p>
    <w:p w14:paraId="3D710381" w14:textId="77777777" w:rsidR="00135ADC" w:rsidRPr="009240C6" w:rsidRDefault="00135ADC" w:rsidP="00BD39E0">
      <w:pPr>
        <w:numPr>
          <w:ilvl w:val="0"/>
          <w:numId w:val="79"/>
        </w:numPr>
        <w:tabs>
          <w:tab w:val="clear" w:pos="702"/>
        </w:tabs>
        <w:ind w:left="0" w:right="23" w:firstLine="450"/>
        <w:jc w:val="both"/>
        <w:rPr>
          <w:bCs/>
          <w:szCs w:val="20"/>
        </w:rPr>
      </w:pPr>
      <w:r w:rsidRPr="009240C6">
        <w:rPr>
          <w:bCs/>
          <w:szCs w:val="20"/>
        </w:rPr>
        <w:t>Програма „Развитие на човешките ресурси” 2021-2027 г. – 15</w:t>
      </w:r>
      <w:r>
        <w:rPr>
          <w:bCs/>
          <w:szCs w:val="20"/>
        </w:rPr>
        <w:t>,</w:t>
      </w:r>
      <w:r w:rsidRPr="009240C6">
        <w:rPr>
          <w:bCs/>
          <w:szCs w:val="20"/>
        </w:rPr>
        <w:t>9 млн. л</w:t>
      </w:r>
      <w:r>
        <w:rPr>
          <w:bCs/>
          <w:szCs w:val="20"/>
        </w:rPr>
        <w:t>е</w:t>
      </w:r>
      <w:r w:rsidRPr="009240C6">
        <w:rPr>
          <w:bCs/>
          <w:szCs w:val="20"/>
        </w:rPr>
        <w:t>в</w:t>
      </w:r>
      <w:r>
        <w:rPr>
          <w:bCs/>
          <w:szCs w:val="20"/>
        </w:rPr>
        <w:t>а</w:t>
      </w:r>
      <w:r w:rsidRPr="009240C6">
        <w:rPr>
          <w:bCs/>
          <w:szCs w:val="20"/>
        </w:rPr>
        <w:t xml:space="preserve">;  </w:t>
      </w:r>
    </w:p>
    <w:p w14:paraId="33A04F25" w14:textId="77777777" w:rsidR="00135ADC" w:rsidRDefault="00135ADC" w:rsidP="00BD39E0">
      <w:pPr>
        <w:numPr>
          <w:ilvl w:val="0"/>
          <w:numId w:val="79"/>
        </w:numPr>
        <w:tabs>
          <w:tab w:val="clear" w:pos="702"/>
        </w:tabs>
        <w:ind w:left="0" w:right="23" w:firstLine="450"/>
        <w:jc w:val="both"/>
        <w:rPr>
          <w:bCs/>
          <w:szCs w:val="20"/>
        </w:rPr>
      </w:pPr>
      <w:r w:rsidRPr="009240C6">
        <w:rPr>
          <w:bCs/>
          <w:szCs w:val="20"/>
        </w:rPr>
        <w:t>Програма „Храни и основно материално подпомагане” 2021-2027 г. – 6</w:t>
      </w:r>
      <w:r>
        <w:rPr>
          <w:bCs/>
          <w:szCs w:val="20"/>
        </w:rPr>
        <w:t>,</w:t>
      </w:r>
      <w:r w:rsidRPr="009240C6">
        <w:rPr>
          <w:bCs/>
          <w:szCs w:val="20"/>
        </w:rPr>
        <w:t>0 млн. л</w:t>
      </w:r>
      <w:r>
        <w:rPr>
          <w:bCs/>
          <w:szCs w:val="20"/>
        </w:rPr>
        <w:t>е</w:t>
      </w:r>
      <w:r w:rsidRPr="009240C6">
        <w:rPr>
          <w:bCs/>
          <w:szCs w:val="20"/>
        </w:rPr>
        <w:t>в</w:t>
      </w:r>
      <w:r>
        <w:rPr>
          <w:bCs/>
          <w:szCs w:val="20"/>
        </w:rPr>
        <w:t>а</w:t>
      </w:r>
      <w:r w:rsidRPr="009240C6">
        <w:rPr>
          <w:bCs/>
          <w:szCs w:val="20"/>
        </w:rPr>
        <w:t>.</w:t>
      </w:r>
    </w:p>
    <w:p w14:paraId="28090BC5" w14:textId="77777777" w:rsidR="00135ADC" w:rsidRPr="009240C6" w:rsidRDefault="00135ADC" w:rsidP="00135ADC">
      <w:pPr>
        <w:spacing w:before="120"/>
        <w:ind w:right="29" w:firstLine="720"/>
        <w:jc w:val="both"/>
        <w:rPr>
          <w:bCs/>
          <w:szCs w:val="20"/>
        </w:rPr>
      </w:pPr>
      <w:r>
        <w:rPr>
          <w:bCs/>
          <w:szCs w:val="20"/>
        </w:rPr>
        <w:t xml:space="preserve">През отчетния период няма извършени разходи, поради </w:t>
      </w:r>
      <w:r w:rsidRPr="00D976DC">
        <w:rPr>
          <w:bCs/>
          <w:szCs w:val="20"/>
        </w:rPr>
        <w:t>закъсняло</w:t>
      </w:r>
      <w:r>
        <w:rPr>
          <w:bCs/>
          <w:szCs w:val="20"/>
        </w:rPr>
        <w:t>то</w:t>
      </w:r>
      <w:r w:rsidRPr="00D976DC">
        <w:rPr>
          <w:bCs/>
          <w:szCs w:val="20"/>
        </w:rPr>
        <w:t xml:space="preserve"> приемане от ЕК на програми</w:t>
      </w:r>
      <w:r>
        <w:rPr>
          <w:bCs/>
          <w:szCs w:val="20"/>
        </w:rPr>
        <w:t>те</w:t>
      </w:r>
      <w:r w:rsidRPr="00D976DC">
        <w:rPr>
          <w:bCs/>
          <w:szCs w:val="20"/>
        </w:rPr>
        <w:t>, които ще се изпълняват през програмен период 2021-2027 – първите три програми (Програма „Развитие на човешките ресурси“ 2021-2027, програма „Образование“ и Програма за храни и основно материално подпомагане 2021-2027 г.) бяха одобрени в края на месец август, а останалите програми бяха одобрени в последното тримесечие на 2022 г.</w:t>
      </w:r>
    </w:p>
    <w:p w14:paraId="7E15496C" w14:textId="77777777" w:rsidR="00135ADC" w:rsidRPr="009240C6" w:rsidRDefault="00135ADC" w:rsidP="00135ADC">
      <w:pPr>
        <w:spacing w:before="120"/>
        <w:ind w:right="23" w:firstLine="686"/>
        <w:jc w:val="both"/>
        <w:rPr>
          <w:b/>
          <w:bCs/>
          <w:szCs w:val="20"/>
        </w:rPr>
      </w:pPr>
      <w:r w:rsidRPr="009240C6">
        <w:rPr>
          <w:b/>
          <w:bCs/>
          <w:szCs w:val="20"/>
        </w:rPr>
        <w:t>Национален план за възстановяване и устойчивост (НПВУ)</w:t>
      </w:r>
    </w:p>
    <w:p w14:paraId="11AEB1AB" w14:textId="77777777" w:rsidR="00135ADC" w:rsidRPr="009240C6" w:rsidRDefault="00135ADC" w:rsidP="007D5AB6">
      <w:pPr>
        <w:ind w:right="23" w:firstLine="720"/>
        <w:jc w:val="both"/>
        <w:rPr>
          <w:bCs/>
          <w:szCs w:val="20"/>
        </w:rPr>
      </w:pPr>
      <w:r w:rsidRPr="009240C6">
        <w:rPr>
          <w:bCs/>
          <w:szCs w:val="20"/>
        </w:rPr>
        <w:t>Стойността на получения първи транш, съобразен с профила на плащанията към одобрения НПВУ във връзка с постигането на заложените в Решението за изпълнение на Плана етапи и цели е в размер на 2</w:t>
      </w:r>
      <w:r>
        <w:rPr>
          <w:bCs/>
          <w:szCs w:val="20"/>
        </w:rPr>
        <w:t> </w:t>
      </w:r>
      <w:r w:rsidRPr="009240C6">
        <w:rPr>
          <w:bCs/>
          <w:szCs w:val="20"/>
        </w:rPr>
        <w:t>677</w:t>
      </w:r>
      <w:r>
        <w:rPr>
          <w:bCs/>
          <w:szCs w:val="20"/>
        </w:rPr>
        <w:t>,</w:t>
      </w:r>
      <w:r w:rsidRPr="009240C6">
        <w:rPr>
          <w:bCs/>
          <w:szCs w:val="20"/>
        </w:rPr>
        <w:t>4 млн. л</w:t>
      </w:r>
      <w:r>
        <w:rPr>
          <w:bCs/>
          <w:szCs w:val="20"/>
        </w:rPr>
        <w:t>е</w:t>
      </w:r>
      <w:r w:rsidRPr="009240C6">
        <w:rPr>
          <w:bCs/>
          <w:szCs w:val="20"/>
        </w:rPr>
        <w:t>в</w:t>
      </w:r>
      <w:r>
        <w:rPr>
          <w:bCs/>
          <w:szCs w:val="20"/>
        </w:rPr>
        <w:t>а</w:t>
      </w:r>
      <w:r w:rsidRPr="009240C6">
        <w:rPr>
          <w:bCs/>
          <w:szCs w:val="20"/>
        </w:rPr>
        <w:t>.</w:t>
      </w:r>
    </w:p>
    <w:p w14:paraId="75E2A34B" w14:textId="77777777" w:rsidR="00135ADC" w:rsidRDefault="00135ADC" w:rsidP="007D5AB6">
      <w:pPr>
        <w:ind w:right="23" w:firstLine="686"/>
        <w:jc w:val="both"/>
        <w:rPr>
          <w:bCs/>
          <w:szCs w:val="20"/>
        </w:rPr>
      </w:pPr>
      <w:r w:rsidRPr="009240C6">
        <w:rPr>
          <w:bCs/>
          <w:szCs w:val="20"/>
        </w:rPr>
        <w:t>През отчетния период чрез НПВУ бяха извършени разходи и трансфери (нето)</w:t>
      </w:r>
      <w:r w:rsidRPr="0086122D">
        <w:rPr>
          <w:bCs/>
          <w:szCs w:val="20"/>
          <w:lang w:val="ru-RU"/>
        </w:rPr>
        <w:t xml:space="preserve"> </w:t>
      </w:r>
      <w:r w:rsidRPr="009240C6">
        <w:rPr>
          <w:bCs/>
          <w:szCs w:val="20"/>
        </w:rPr>
        <w:t>в размер на 82</w:t>
      </w:r>
      <w:r>
        <w:rPr>
          <w:bCs/>
          <w:szCs w:val="20"/>
        </w:rPr>
        <w:t>,</w:t>
      </w:r>
      <w:r w:rsidRPr="009240C6">
        <w:rPr>
          <w:bCs/>
          <w:szCs w:val="20"/>
        </w:rPr>
        <w:t>3 млн. лева.</w:t>
      </w:r>
    </w:p>
    <w:p w14:paraId="129F5A9A" w14:textId="77777777" w:rsidR="00135ADC" w:rsidRPr="009240C6" w:rsidRDefault="00135ADC" w:rsidP="007D5AB6">
      <w:pPr>
        <w:ind w:right="23" w:firstLine="720"/>
        <w:jc w:val="both"/>
        <w:rPr>
          <w:bCs/>
          <w:szCs w:val="20"/>
        </w:rPr>
      </w:pPr>
      <w:r w:rsidRPr="00B22E68">
        <w:rPr>
          <w:bCs/>
          <w:szCs w:val="20"/>
        </w:rPr>
        <w:t>Неизпълнението на разходите по ПНВУ е във връзка със закъснялото приемане и съответно стартиране на неговото изпълнение, липса</w:t>
      </w:r>
      <w:r>
        <w:rPr>
          <w:bCs/>
          <w:szCs w:val="20"/>
        </w:rPr>
        <w:t>та</w:t>
      </w:r>
      <w:r w:rsidRPr="00B22E68">
        <w:rPr>
          <w:bCs/>
          <w:szCs w:val="20"/>
        </w:rPr>
        <w:t xml:space="preserve"> на готовност за изпълнение на част от инвестициите от крайните получатели и недостатъчния административен капацитет, особено при отговорни ведомства, които не са изпълнявали функции на органи п</w:t>
      </w:r>
      <w:r>
        <w:rPr>
          <w:bCs/>
          <w:szCs w:val="20"/>
        </w:rPr>
        <w:t xml:space="preserve">о усвояването на средства от ЕС, също така и </w:t>
      </w:r>
      <w:r w:rsidRPr="00B22E68">
        <w:rPr>
          <w:bCs/>
          <w:szCs w:val="20"/>
        </w:rPr>
        <w:t>закъсняло</w:t>
      </w:r>
      <w:r>
        <w:rPr>
          <w:bCs/>
          <w:szCs w:val="20"/>
        </w:rPr>
        <w:t>то</w:t>
      </w:r>
      <w:r w:rsidRPr="00B22E68">
        <w:rPr>
          <w:bCs/>
          <w:szCs w:val="20"/>
        </w:rPr>
        <w:t xml:space="preserve"> стартиране на процедурите за избор на изпълнител по Закона за обществените поръчки.</w:t>
      </w:r>
    </w:p>
    <w:p w14:paraId="06637E38" w14:textId="77777777" w:rsidR="00135ADC" w:rsidRPr="00194C23" w:rsidRDefault="00135ADC" w:rsidP="00135ADC">
      <w:pPr>
        <w:spacing w:before="120"/>
        <w:ind w:right="23" w:firstLine="629"/>
        <w:jc w:val="both"/>
        <w:rPr>
          <w:b/>
          <w:bCs/>
        </w:rPr>
      </w:pPr>
      <w:r w:rsidRPr="00194C23">
        <w:rPr>
          <w:b/>
          <w:bCs/>
        </w:rPr>
        <w:t>Програма ФАР и Преходен финансов инструмент</w:t>
      </w:r>
    </w:p>
    <w:p w14:paraId="31EDEDA1" w14:textId="77777777" w:rsidR="00135ADC" w:rsidRPr="00194C23" w:rsidRDefault="00135ADC" w:rsidP="00135ADC">
      <w:pPr>
        <w:ind w:right="23" w:firstLine="629"/>
        <w:jc w:val="both"/>
        <w:rPr>
          <w:snapToGrid w:val="0"/>
          <w:szCs w:val="20"/>
        </w:rPr>
      </w:pPr>
      <w:r w:rsidRPr="00194C23">
        <w:rPr>
          <w:snapToGrid w:val="0"/>
          <w:szCs w:val="20"/>
        </w:rPr>
        <w:t>През отчетния период са възстановени суми от бенефициенти на стойност 0</w:t>
      </w:r>
      <w:r>
        <w:rPr>
          <w:snapToGrid w:val="0"/>
          <w:szCs w:val="20"/>
        </w:rPr>
        <w:t>,</w:t>
      </w:r>
      <w:r w:rsidRPr="00194C23">
        <w:rPr>
          <w:snapToGrid w:val="0"/>
          <w:szCs w:val="20"/>
        </w:rPr>
        <w:t>3 млн. лева.</w:t>
      </w:r>
    </w:p>
    <w:p w14:paraId="0FC217AD" w14:textId="77777777" w:rsidR="00135ADC" w:rsidRPr="00CB2D3E" w:rsidRDefault="00135ADC" w:rsidP="00135ADC">
      <w:pPr>
        <w:spacing w:before="120"/>
        <w:ind w:right="23" w:firstLine="567"/>
        <w:jc w:val="both"/>
        <w:rPr>
          <w:b/>
        </w:rPr>
      </w:pPr>
      <w:r w:rsidRPr="00CB2D3E">
        <w:rPr>
          <w:b/>
        </w:rPr>
        <w:t xml:space="preserve">Програма САПАРД </w:t>
      </w:r>
    </w:p>
    <w:p w14:paraId="241307B0" w14:textId="77777777" w:rsidR="00135ADC" w:rsidRPr="003F6FFE" w:rsidRDefault="00135ADC" w:rsidP="00135ADC">
      <w:pPr>
        <w:ind w:right="23" w:firstLine="567"/>
        <w:jc w:val="both"/>
        <w:rPr>
          <w:color w:val="0070C0"/>
          <w:szCs w:val="20"/>
        </w:rPr>
      </w:pPr>
      <w:r w:rsidRPr="00CB2D3E">
        <w:rPr>
          <w:bCs/>
          <w:szCs w:val="20"/>
        </w:rPr>
        <w:t>През периода са извършени възстановявания от бенефициенти по дългове на стойност 0</w:t>
      </w:r>
      <w:r>
        <w:rPr>
          <w:bCs/>
          <w:szCs w:val="20"/>
        </w:rPr>
        <w:t>,</w:t>
      </w:r>
      <w:r w:rsidRPr="00CB2D3E">
        <w:rPr>
          <w:bCs/>
          <w:szCs w:val="20"/>
        </w:rPr>
        <w:t>004 млн. л</w:t>
      </w:r>
      <w:r>
        <w:rPr>
          <w:bCs/>
          <w:szCs w:val="20"/>
        </w:rPr>
        <w:t>е</w:t>
      </w:r>
      <w:r w:rsidRPr="00CB2D3E">
        <w:rPr>
          <w:bCs/>
          <w:szCs w:val="20"/>
        </w:rPr>
        <w:t>в</w:t>
      </w:r>
      <w:r>
        <w:rPr>
          <w:bCs/>
          <w:szCs w:val="20"/>
        </w:rPr>
        <w:t>а</w:t>
      </w:r>
      <w:r w:rsidRPr="00CB2D3E">
        <w:rPr>
          <w:bCs/>
          <w:szCs w:val="20"/>
        </w:rPr>
        <w:t>.</w:t>
      </w:r>
    </w:p>
    <w:p w14:paraId="091ABB7D" w14:textId="77777777" w:rsidR="00135ADC" w:rsidRPr="00795054" w:rsidRDefault="00135ADC" w:rsidP="00135ADC">
      <w:pPr>
        <w:spacing w:before="120"/>
        <w:ind w:right="23" w:firstLine="686"/>
        <w:rPr>
          <w:b/>
          <w:bCs/>
          <w:szCs w:val="20"/>
        </w:rPr>
      </w:pPr>
      <w:r w:rsidRPr="003F6FFE">
        <w:rPr>
          <w:color w:val="0070C0"/>
          <w:szCs w:val="20"/>
        </w:rPr>
        <w:tab/>
      </w:r>
      <w:r w:rsidRPr="00795054">
        <w:rPr>
          <w:b/>
          <w:bCs/>
          <w:szCs w:val="20"/>
        </w:rPr>
        <w:t>Двустранни програми за трансгранично сътрудничество по външните граници на Европейския съюз 2007 – 2013 г., 2014 – 2020 г. и 2021 – 2027 г.</w:t>
      </w:r>
    </w:p>
    <w:p w14:paraId="61976800" w14:textId="77777777" w:rsidR="00135ADC" w:rsidRPr="00795054" w:rsidRDefault="00135ADC" w:rsidP="007D5AB6">
      <w:pPr>
        <w:ind w:right="23" w:firstLine="720"/>
        <w:jc w:val="both"/>
        <w:rPr>
          <w:bCs/>
          <w:szCs w:val="20"/>
        </w:rPr>
      </w:pPr>
      <w:r w:rsidRPr="00795054">
        <w:rPr>
          <w:bCs/>
          <w:szCs w:val="20"/>
        </w:rPr>
        <w:t>Получените средства към 31.12.202</w:t>
      </w:r>
      <w:r w:rsidRPr="0086122D">
        <w:rPr>
          <w:bCs/>
          <w:szCs w:val="20"/>
          <w:lang w:val="ru-RU"/>
        </w:rPr>
        <w:t>2</w:t>
      </w:r>
      <w:r w:rsidRPr="00795054">
        <w:rPr>
          <w:bCs/>
          <w:szCs w:val="20"/>
        </w:rPr>
        <w:t xml:space="preserve"> г. са на стойност 49</w:t>
      </w:r>
      <w:r>
        <w:rPr>
          <w:bCs/>
          <w:szCs w:val="20"/>
        </w:rPr>
        <w:t>,</w:t>
      </w:r>
      <w:r w:rsidRPr="00795054">
        <w:rPr>
          <w:bCs/>
          <w:szCs w:val="20"/>
        </w:rPr>
        <w:t>8 млн. лв., представляващи възстановени разходи от ЕК и постъпили средства за съфинансиране от страните-партньори, както</w:t>
      </w:r>
      <w:r>
        <w:rPr>
          <w:bCs/>
          <w:szCs w:val="20"/>
        </w:rPr>
        <w:t xml:space="preserve"> и</w:t>
      </w:r>
      <w:r w:rsidRPr="00795054">
        <w:rPr>
          <w:bCs/>
          <w:szCs w:val="20"/>
        </w:rPr>
        <w:t xml:space="preserve"> разпределени към администратори в чужбина за сметка на средствата, получени от страната-партньор.</w:t>
      </w:r>
    </w:p>
    <w:p w14:paraId="087DADAE" w14:textId="77777777" w:rsidR="00135ADC" w:rsidRPr="003F6FFE" w:rsidRDefault="00135ADC" w:rsidP="007D5AB6">
      <w:pPr>
        <w:ind w:right="23" w:firstLine="709"/>
        <w:jc w:val="both"/>
        <w:rPr>
          <w:snapToGrid w:val="0"/>
          <w:color w:val="0070C0"/>
          <w:szCs w:val="20"/>
        </w:rPr>
      </w:pPr>
      <w:r w:rsidRPr="00795054">
        <w:rPr>
          <w:bCs/>
          <w:szCs w:val="20"/>
        </w:rPr>
        <w:t>Сумата на разходите и трансферите (нето) към бюджетни организации в страната, които са направени през същия период по двустранните програми са на обща стойност 19</w:t>
      </w:r>
      <w:r>
        <w:rPr>
          <w:bCs/>
          <w:szCs w:val="20"/>
        </w:rPr>
        <w:t>,</w:t>
      </w:r>
      <w:r w:rsidRPr="00795054">
        <w:rPr>
          <w:bCs/>
          <w:szCs w:val="20"/>
        </w:rPr>
        <w:t>3 млн. лв., включително за плащания към бенефициенти в страната, извършени за сметка на полученото финансиране от страната-партньор по тези програми.</w:t>
      </w:r>
    </w:p>
    <w:p w14:paraId="587CB258" w14:textId="77777777" w:rsidR="00135ADC" w:rsidRPr="00795054" w:rsidRDefault="00135ADC" w:rsidP="00135ADC">
      <w:pPr>
        <w:spacing w:before="120"/>
        <w:ind w:right="23" w:firstLine="720"/>
        <w:jc w:val="both"/>
        <w:rPr>
          <w:b/>
          <w:bCs/>
          <w:szCs w:val="20"/>
        </w:rPr>
      </w:pPr>
      <w:r w:rsidRPr="00795054">
        <w:rPr>
          <w:b/>
          <w:bCs/>
          <w:szCs w:val="20"/>
        </w:rPr>
        <w:t>Финансов механизъм на Европейското икономическо пространство и Норвежки финансов механизъм за периода 2009-2014 г. и 2014-2021 г.</w:t>
      </w:r>
    </w:p>
    <w:p w14:paraId="42D2B468" w14:textId="77777777" w:rsidR="00135ADC" w:rsidRPr="00795054" w:rsidRDefault="00135ADC" w:rsidP="00135ADC">
      <w:pPr>
        <w:spacing w:before="120"/>
        <w:ind w:right="23" w:firstLine="720"/>
        <w:jc w:val="both"/>
        <w:rPr>
          <w:b/>
          <w:bCs/>
          <w:szCs w:val="20"/>
        </w:rPr>
      </w:pPr>
      <w:r w:rsidRPr="00795054">
        <w:rPr>
          <w:bCs/>
          <w:szCs w:val="20"/>
        </w:rPr>
        <w:t>Получените средства към 31.12.2022 г. са на стойност 45</w:t>
      </w:r>
      <w:r>
        <w:rPr>
          <w:bCs/>
          <w:szCs w:val="20"/>
        </w:rPr>
        <w:t>,</w:t>
      </w:r>
      <w:r w:rsidRPr="00795054">
        <w:rPr>
          <w:bCs/>
          <w:szCs w:val="20"/>
        </w:rPr>
        <w:t>7 млн. л</w:t>
      </w:r>
      <w:r>
        <w:rPr>
          <w:bCs/>
          <w:szCs w:val="20"/>
        </w:rPr>
        <w:t>е</w:t>
      </w:r>
      <w:r w:rsidRPr="00795054">
        <w:rPr>
          <w:bCs/>
          <w:szCs w:val="20"/>
        </w:rPr>
        <w:t>в</w:t>
      </w:r>
      <w:r>
        <w:rPr>
          <w:bCs/>
          <w:szCs w:val="20"/>
        </w:rPr>
        <w:t>а</w:t>
      </w:r>
      <w:r w:rsidRPr="00795054">
        <w:rPr>
          <w:bCs/>
          <w:szCs w:val="20"/>
        </w:rPr>
        <w:t>.</w:t>
      </w:r>
    </w:p>
    <w:p w14:paraId="285FDCD7" w14:textId="77777777" w:rsidR="00135ADC" w:rsidRPr="0040582F" w:rsidRDefault="00135ADC" w:rsidP="00135ADC">
      <w:pPr>
        <w:ind w:right="23" w:firstLine="720"/>
        <w:jc w:val="both"/>
        <w:rPr>
          <w:bCs/>
          <w:szCs w:val="20"/>
          <w:lang w:val="ru-RU"/>
        </w:rPr>
      </w:pPr>
      <w:r w:rsidRPr="00795054">
        <w:rPr>
          <w:bCs/>
          <w:szCs w:val="20"/>
        </w:rPr>
        <w:t xml:space="preserve">Сумата на разходите и трансферите (нето) за периода са на обща стойност </w:t>
      </w:r>
      <w:r w:rsidRPr="0086122D">
        <w:rPr>
          <w:bCs/>
          <w:szCs w:val="20"/>
          <w:lang w:val="ru-RU"/>
        </w:rPr>
        <w:t>63</w:t>
      </w:r>
      <w:r>
        <w:rPr>
          <w:bCs/>
          <w:szCs w:val="20"/>
          <w:lang w:val="ru-RU"/>
        </w:rPr>
        <w:t>,</w:t>
      </w:r>
      <w:r w:rsidRPr="00795054">
        <w:rPr>
          <w:bCs/>
          <w:szCs w:val="20"/>
        </w:rPr>
        <w:t>8 млн. лева.</w:t>
      </w:r>
    </w:p>
    <w:p w14:paraId="00A7DC88" w14:textId="77777777" w:rsidR="00135ADC" w:rsidRPr="00795054" w:rsidRDefault="00135ADC" w:rsidP="00135ADC">
      <w:pPr>
        <w:spacing w:before="120"/>
        <w:ind w:right="23" w:firstLine="720"/>
        <w:jc w:val="both"/>
        <w:rPr>
          <w:b/>
          <w:bCs/>
          <w:szCs w:val="20"/>
        </w:rPr>
      </w:pPr>
      <w:r w:rsidRPr="00795054">
        <w:rPr>
          <w:b/>
          <w:bCs/>
          <w:szCs w:val="20"/>
        </w:rPr>
        <w:t>Резерва за приспособяване във връзка с последиците от Брексит</w:t>
      </w:r>
    </w:p>
    <w:p w14:paraId="42C3F844" w14:textId="77777777" w:rsidR="00135ADC" w:rsidRPr="006A579F" w:rsidRDefault="00135ADC" w:rsidP="00135ADC">
      <w:pPr>
        <w:spacing w:before="120"/>
        <w:ind w:right="23" w:firstLine="720"/>
        <w:jc w:val="both"/>
        <w:rPr>
          <w:bCs/>
          <w:szCs w:val="20"/>
        </w:rPr>
      </w:pPr>
      <w:r w:rsidRPr="00795054">
        <w:rPr>
          <w:bCs/>
          <w:szCs w:val="20"/>
        </w:rPr>
        <w:t>Получените средства към 31.12.2022 г. са на стойност 16</w:t>
      </w:r>
      <w:r>
        <w:rPr>
          <w:bCs/>
          <w:szCs w:val="20"/>
        </w:rPr>
        <w:t>,</w:t>
      </w:r>
      <w:r w:rsidRPr="00795054">
        <w:rPr>
          <w:bCs/>
          <w:szCs w:val="20"/>
        </w:rPr>
        <w:t>5 млн. л</w:t>
      </w:r>
      <w:r>
        <w:rPr>
          <w:bCs/>
          <w:szCs w:val="20"/>
        </w:rPr>
        <w:t>е</w:t>
      </w:r>
      <w:r w:rsidRPr="00795054">
        <w:rPr>
          <w:bCs/>
          <w:szCs w:val="20"/>
        </w:rPr>
        <w:t>в</w:t>
      </w:r>
      <w:r>
        <w:rPr>
          <w:bCs/>
          <w:szCs w:val="20"/>
        </w:rPr>
        <w:t>а</w:t>
      </w:r>
      <w:r w:rsidRPr="00795054">
        <w:rPr>
          <w:bCs/>
          <w:szCs w:val="20"/>
        </w:rPr>
        <w:t>.</w:t>
      </w:r>
    </w:p>
    <w:p w14:paraId="73181EA5" w14:textId="1906F0C2" w:rsidR="00135ADC" w:rsidRPr="00603D6E" w:rsidRDefault="00135ADC" w:rsidP="00135ADC">
      <w:pPr>
        <w:pStyle w:val="Heading3"/>
        <w:numPr>
          <w:ilvl w:val="1"/>
          <w:numId w:val="10"/>
        </w:numPr>
        <w:spacing w:before="120"/>
        <w:ind w:left="1077" w:hanging="357"/>
        <w:rPr>
          <w:rFonts w:ascii="Times New Roman" w:hAnsi="Times New Roman"/>
          <w:sz w:val="24"/>
          <w:lang w:val="bg-BG"/>
        </w:rPr>
      </w:pPr>
      <w:bookmarkStart w:id="527" w:name="_Toc146037942"/>
      <w:r w:rsidRPr="00603D6E">
        <w:rPr>
          <w:rFonts w:ascii="Times New Roman" w:hAnsi="Times New Roman"/>
          <w:sz w:val="24"/>
          <w:lang w:val="bg-BG"/>
        </w:rPr>
        <w:t xml:space="preserve">Сметки за средствата от Европейския съюз, администрирани от Разплащателната агенция към Държавен фонд </w:t>
      </w:r>
      <w:r w:rsidR="00E63632">
        <w:rPr>
          <w:rFonts w:ascii="Times New Roman" w:hAnsi="Times New Roman"/>
          <w:sz w:val="24"/>
          <w:lang w:val="bg-BG"/>
        </w:rPr>
        <w:t>„</w:t>
      </w:r>
      <w:r w:rsidRPr="00603D6E">
        <w:rPr>
          <w:rFonts w:ascii="Times New Roman" w:hAnsi="Times New Roman"/>
          <w:sz w:val="24"/>
          <w:lang w:val="bg-BG"/>
        </w:rPr>
        <w:t>Земеделие”</w:t>
      </w:r>
      <w:bookmarkEnd w:id="517"/>
      <w:bookmarkEnd w:id="518"/>
      <w:bookmarkEnd w:id="519"/>
      <w:bookmarkEnd w:id="520"/>
      <w:bookmarkEnd w:id="521"/>
      <w:bookmarkEnd w:id="522"/>
      <w:bookmarkEnd w:id="523"/>
      <w:bookmarkEnd w:id="524"/>
      <w:bookmarkEnd w:id="525"/>
      <w:bookmarkEnd w:id="526"/>
      <w:bookmarkEnd w:id="527"/>
    </w:p>
    <w:p w14:paraId="7F5C925A" w14:textId="77777777" w:rsidR="00135ADC" w:rsidRPr="0040582F" w:rsidRDefault="00135ADC" w:rsidP="00BD39E0">
      <w:pPr>
        <w:numPr>
          <w:ilvl w:val="0"/>
          <w:numId w:val="59"/>
        </w:numPr>
        <w:tabs>
          <w:tab w:val="num" w:pos="540"/>
        </w:tabs>
        <w:spacing w:before="120" w:after="120" w:line="276" w:lineRule="auto"/>
        <w:ind w:left="1069"/>
        <w:contextualSpacing/>
        <w:jc w:val="both"/>
        <w:rPr>
          <w:b/>
        </w:rPr>
      </w:pPr>
      <w:r w:rsidRPr="0040582F">
        <w:rPr>
          <w:b/>
        </w:rPr>
        <w:t>Приходи</w:t>
      </w:r>
    </w:p>
    <w:p w14:paraId="1D6794FD" w14:textId="7EC357BA" w:rsidR="00135ADC" w:rsidRPr="0040582F" w:rsidRDefault="00135ADC" w:rsidP="00DB424A">
      <w:pPr>
        <w:ind w:firstLine="709"/>
        <w:jc w:val="both"/>
      </w:pPr>
      <w:r w:rsidRPr="0040582F">
        <w:t>За 2022 г. планираните приходи по утвърдените актуализирани годишни разчети на сметката за средства от Европейския съюз на Разплащателната агенция към ДФ „Земеделие” са в размер на 266,5 млн. лева. Към 31.12.202</w:t>
      </w:r>
      <w:r w:rsidR="003C5D56">
        <w:t>2</w:t>
      </w:r>
      <w:r w:rsidRPr="0040582F">
        <w:t xml:space="preserve"> г. постъпленията са в размер на 264,1 млн. лв., което представлява 99,1 % от годишния план, при 98,8 % изпълнение на годишния план за предходната година. </w:t>
      </w:r>
      <w:r w:rsidRPr="0040582F">
        <w:rPr>
          <w:rFonts w:eastAsiaTheme="minorHAnsi"/>
        </w:rPr>
        <w:t>Приходната част е формирана от помощи и дарения от чужбина, приходи от наказателни лихви и коректив на касови постъпления, разпределени както следва:</w:t>
      </w:r>
    </w:p>
    <w:p w14:paraId="29CB5EFD" w14:textId="77777777" w:rsidR="00135ADC" w:rsidRPr="0040582F" w:rsidRDefault="00135ADC" w:rsidP="00DB424A">
      <w:pPr>
        <w:numPr>
          <w:ilvl w:val="0"/>
          <w:numId w:val="28"/>
        </w:numPr>
        <w:tabs>
          <w:tab w:val="left" w:pos="90"/>
          <w:tab w:val="left" w:pos="993"/>
        </w:tabs>
        <w:spacing w:before="120" w:line="276" w:lineRule="auto"/>
        <w:ind w:left="0" w:firstLine="709"/>
        <w:jc w:val="both"/>
        <w:rPr>
          <w:b/>
          <w:i/>
          <w:lang w:eastAsia="en-US"/>
        </w:rPr>
      </w:pPr>
      <w:r w:rsidRPr="0040582F">
        <w:rPr>
          <w:b/>
          <w:i/>
          <w:lang w:eastAsia="en-US"/>
        </w:rPr>
        <w:t>Текущи помощи и дарения от Европейския съюз</w:t>
      </w:r>
    </w:p>
    <w:p w14:paraId="7A07E8C6" w14:textId="77777777" w:rsidR="00135ADC" w:rsidRPr="0040582F" w:rsidRDefault="00135ADC" w:rsidP="00DB424A">
      <w:pPr>
        <w:ind w:firstLine="709"/>
        <w:jc w:val="both"/>
      </w:pPr>
      <w:r w:rsidRPr="0040582F">
        <w:t>Общият размер на получените приходи, отчетени в „Текущи помощи и дарения от Европейския съюз“ за 2022 г. е 37,9 млн. лв. при планирани за годината средства в размер на 29,3 млн. лева.</w:t>
      </w:r>
    </w:p>
    <w:p w14:paraId="1C79DE1B" w14:textId="77777777" w:rsidR="00135ADC" w:rsidRPr="00CF15B7" w:rsidRDefault="00135ADC" w:rsidP="00DB424A">
      <w:pPr>
        <w:ind w:firstLine="709"/>
        <w:jc w:val="both"/>
      </w:pPr>
      <w:r w:rsidRPr="00CF15B7">
        <w:t xml:space="preserve">Получените текущи приходи от възстановяване на средства от Европейския земеделски фонд за развитие на селските райони (ЕЗФРСР) по линия на Програмата за развитие на селските райони </w:t>
      </w:r>
      <w:r w:rsidRPr="00CF15B7">
        <w:rPr>
          <w:lang w:val="ru-RU"/>
        </w:rPr>
        <w:t>(</w:t>
      </w:r>
      <w:r w:rsidRPr="00CF15B7">
        <w:t>ПРСР</w:t>
      </w:r>
      <w:r w:rsidRPr="00CF15B7">
        <w:rPr>
          <w:lang w:val="ru-RU"/>
        </w:rPr>
        <w:t>)</w:t>
      </w:r>
      <w:r w:rsidRPr="00CF15B7">
        <w:t xml:space="preserve">, без директни плащания, за 2022 г. възлизат на 25,7 млн. лв., което е изпълнение от 144,4 % на планираните за годината 17,8 млн. лева. За сравнение, изпълнението на планираните текущи приходи по ПРСР през 2021 г е 100 процента. </w:t>
      </w:r>
    </w:p>
    <w:p w14:paraId="0A4A7420" w14:textId="77777777" w:rsidR="00135ADC" w:rsidRPr="00CF15B7" w:rsidRDefault="00135ADC" w:rsidP="00DB424A">
      <w:pPr>
        <w:ind w:firstLine="709"/>
        <w:jc w:val="both"/>
      </w:pPr>
      <w:r w:rsidRPr="00CF15B7">
        <w:t xml:space="preserve">Получените текущи приходи от възстановяване на средства по линия на схемите „Училищен плод“ и „Училищно мляко“ от Европейски фонд за гарантиране на земеделието (EФГЗ) през 2022 г. са 5,9 млн. лв., което е 100 % изпълнение на планираните за годината средства. За сравнение, за предходната година възстановените суми по това направление са изпълнени на 100 % спрямо годишния план. </w:t>
      </w:r>
    </w:p>
    <w:p w14:paraId="65559995" w14:textId="77777777" w:rsidR="00135ADC" w:rsidRPr="00CF15B7" w:rsidRDefault="00135ADC" w:rsidP="00DB424A">
      <w:pPr>
        <w:ind w:firstLine="709"/>
        <w:jc w:val="both"/>
      </w:pPr>
      <w:r w:rsidRPr="00CF15B7">
        <w:t xml:space="preserve">През 2022 г. са получени 6,3 млн. лв. текущи приходи, възстановени средства от Европейския фонд за морско дело и рибарство (ЕФМДР), което представлява изпълнение от 114,5 % на планираните за годината средства. За предходната година изпълнението е 100 процента. </w:t>
      </w:r>
    </w:p>
    <w:p w14:paraId="1FF1DE8B" w14:textId="77777777" w:rsidR="00135ADC" w:rsidRPr="00CF15B7" w:rsidRDefault="00135ADC" w:rsidP="00DB424A">
      <w:pPr>
        <w:numPr>
          <w:ilvl w:val="0"/>
          <w:numId w:val="28"/>
        </w:numPr>
        <w:tabs>
          <w:tab w:val="left" w:pos="90"/>
          <w:tab w:val="left" w:pos="993"/>
        </w:tabs>
        <w:spacing w:before="120" w:line="276" w:lineRule="auto"/>
        <w:ind w:left="0" w:firstLine="709"/>
        <w:jc w:val="both"/>
        <w:rPr>
          <w:b/>
          <w:i/>
          <w:lang w:eastAsia="en-US"/>
        </w:rPr>
      </w:pPr>
      <w:r w:rsidRPr="00CF15B7">
        <w:rPr>
          <w:b/>
          <w:i/>
          <w:lang w:eastAsia="en-US"/>
        </w:rPr>
        <w:t>Капиталови помощи и дарения от Европейския съюз</w:t>
      </w:r>
    </w:p>
    <w:p w14:paraId="1CF3462D" w14:textId="77777777" w:rsidR="00135ADC" w:rsidRPr="00F97285" w:rsidRDefault="00135ADC" w:rsidP="00DB424A">
      <w:pPr>
        <w:ind w:firstLine="709"/>
        <w:jc w:val="both"/>
      </w:pPr>
      <w:r w:rsidRPr="00F97285">
        <w:t>Общият размер на получените приходи, отчетени в „Капиталови помощи и дарения от Европейския съюз“ през 2022 г. е 232,9 млн. лв. при планирани за годината 237,2 млн. лева.</w:t>
      </w:r>
    </w:p>
    <w:p w14:paraId="3BD7F15B" w14:textId="77777777" w:rsidR="00135ADC" w:rsidRPr="002C3274" w:rsidRDefault="00135ADC" w:rsidP="00DB424A">
      <w:pPr>
        <w:ind w:firstLine="709"/>
        <w:jc w:val="both"/>
      </w:pPr>
      <w:r w:rsidRPr="002C3274">
        <w:t xml:space="preserve">Получените капиталови приходи от ЕЗФРСР по линия на ПРСР без директни плащания през 2022 г. са 218,4 млн. лв., което е 96,5 % изпълнение на годишния план </w:t>
      </w:r>
      <w:r w:rsidRPr="002C3274">
        <w:rPr>
          <w:lang w:val="ru-RU"/>
        </w:rPr>
        <w:t>(</w:t>
      </w:r>
      <w:r w:rsidRPr="002C3274">
        <w:t>226,3 млн. лв.</w:t>
      </w:r>
      <w:r w:rsidRPr="002C3274">
        <w:rPr>
          <w:lang w:val="ru-RU"/>
        </w:rPr>
        <w:t>)</w:t>
      </w:r>
      <w:r w:rsidRPr="002C3274">
        <w:t>. За сравнение, през 2021 г. са получени 371,0 млн. лева.</w:t>
      </w:r>
    </w:p>
    <w:p w14:paraId="6653150F" w14:textId="4A399339" w:rsidR="00135ADC" w:rsidRPr="002C52ED" w:rsidRDefault="00135ADC" w:rsidP="00DB424A">
      <w:pPr>
        <w:ind w:firstLine="709"/>
        <w:jc w:val="both"/>
      </w:pPr>
      <w:r w:rsidRPr="00F64A87">
        <w:t xml:space="preserve">През 2022 г. е получен аванс от Европейския фонд за морско дело, рибарство и аквакултури (ЕФМДРА) за новата Програма за морско дело, рибарство и аквакултури 2021-2027 г. (ПМДРА) в размер на 1,7 млн. лв., които са отчетени </w:t>
      </w:r>
      <w:r>
        <w:t>в частта на</w:t>
      </w:r>
      <w:r w:rsidRPr="00F64A87">
        <w:t xml:space="preserve"> капиталови</w:t>
      </w:r>
      <w:r>
        <w:t>те</w:t>
      </w:r>
      <w:r w:rsidRPr="00F64A87">
        <w:t xml:space="preserve"> </w:t>
      </w:r>
      <w:r w:rsidRPr="002C52ED">
        <w:t>приходи.</w:t>
      </w:r>
    </w:p>
    <w:p w14:paraId="38D23488" w14:textId="42095142" w:rsidR="00055382" w:rsidRDefault="00055382" w:rsidP="00770056">
      <w:pPr>
        <w:autoSpaceDE w:val="0"/>
        <w:autoSpaceDN w:val="0"/>
        <w:adjustRightInd w:val="0"/>
        <w:ind w:firstLine="709"/>
        <w:jc w:val="both"/>
        <w:rPr>
          <w:color w:val="000000"/>
        </w:rPr>
      </w:pPr>
      <w:r w:rsidRPr="002C52ED">
        <w:rPr>
          <w:color w:val="000000"/>
        </w:rPr>
        <w:t>През 2022</w:t>
      </w:r>
      <w:r w:rsidR="00770056" w:rsidRPr="002C52ED">
        <w:rPr>
          <w:color w:val="000000"/>
        </w:rPr>
        <w:t xml:space="preserve"> </w:t>
      </w:r>
      <w:r w:rsidRPr="002C52ED">
        <w:rPr>
          <w:color w:val="000000"/>
        </w:rPr>
        <w:t>г. са получени капиталови приходи в размер на 12,7 млн.</w:t>
      </w:r>
      <w:r w:rsidR="00770056" w:rsidRPr="002C52ED">
        <w:rPr>
          <w:color w:val="000000"/>
        </w:rPr>
        <w:t xml:space="preserve"> </w:t>
      </w:r>
      <w:r w:rsidRPr="002C52ED">
        <w:rPr>
          <w:color w:val="000000"/>
        </w:rPr>
        <w:t>лв. от фонд ЕФМДР. Степента на изпълнение спрямо годишния разчет от 10,9 млн.</w:t>
      </w:r>
      <w:r w:rsidR="00770056" w:rsidRPr="002C52ED">
        <w:rPr>
          <w:color w:val="000000"/>
        </w:rPr>
        <w:t xml:space="preserve"> </w:t>
      </w:r>
      <w:r w:rsidRPr="002C52ED">
        <w:rPr>
          <w:color w:val="000000"/>
        </w:rPr>
        <w:t>лв. е 116,5</w:t>
      </w:r>
      <w:r w:rsidR="00770056" w:rsidRPr="002C52ED">
        <w:rPr>
          <w:color w:val="000000"/>
        </w:rPr>
        <w:t xml:space="preserve"> </w:t>
      </w:r>
      <w:r w:rsidRPr="002C52ED">
        <w:rPr>
          <w:color w:val="000000"/>
        </w:rPr>
        <w:t>%.</w:t>
      </w:r>
    </w:p>
    <w:p w14:paraId="1C5BDAF6" w14:textId="77777777" w:rsidR="00135ADC" w:rsidRPr="00F64A87" w:rsidRDefault="00135ADC" w:rsidP="00DB424A">
      <w:pPr>
        <w:numPr>
          <w:ilvl w:val="0"/>
          <w:numId w:val="28"/>
        </w:numPr>
        <w:tabs>
          <w:tab w:val="left" w:pos="90"/>
          <w:tab w:val="left" w:pos="993"/>
        </w:tabs>
        <w:spacing w:before="120" w:line="276" w:lineRule="auto"/>
        <w:ind w:left="0" w:firstLine="709"/>
        <w:jc w:val="both"/>
        <w:rPr>
          <w:b/>
          <w:i/>
          <w:lang w:eastAsia="en-US"/>
        </w:rPr>
      </w:pPr>
      <w:r w:rsidRPr="00F64A87">
        <w:rPr>
          <w:b/>
          <w:i/>
          <w:lang w:eastAsia="en-US"/>
        </w:rPr>
        <w:t>Приходи от наказателни лихви</w:t>
      </w:r>
    </w:p>
    <w:p w14:paraId="0AEBC22C" w14:textId="77777777" w:rsidR="00135ADC" w:rsidRPr="00F64A87" w:rsidRDefault="00135ADC" w:rsidP="00DB424A">
      <w:pPr>
        <w:tabs>
          <w:tab w:val="left" w:pos="993"/>
        </w:tabs>
        <w:spacing w:after="120"/>
        <w:ind w:firstLine="709"/>
        <w:jc w:val="both"/>
      </w:pPr>
      <w:r w:rsidRPr="00F64A87">
        <w:t>През 2022 г. са отчетени приходи от наказателни лихви, свързани с вземания за възстановяване на средства от ЕК в размер на 1,0 млн. лева.</w:t>
      </w:r>
    </w:p>
    <w:p w14:paraId="1184CB4F" w14:textId="77777777" w:rsidR="00135ADC" w:rsidRPr="00F64A87" w:rsidRDefault="00135ADC" w:rsidP="00DB424A">
      <w:pPr>
        <w:numPr>
          <w:ilvl w:val="0"/>
          <w:numId w:val="28"/>
        </w:numPr>
        <w:tabs>
          <w:tab w:val="left" w:pos="90"/>
          <w:tab w:val="left" w:pos="993"/>
        </w:tabs>
        <w:spacing w:before="120" w:line="276" w:lineRule="auto"/>
        <w:ind w:left="0" w:firstLine="709"/>
        <w:jc w:val="both"/>
        <w:rPr>
          <w:b/>
          <w:i/>
          <w:lang w:eastAsia="en-US"/>
        </w:rPr>
      </w:pPr>
      <w:r w:rsidRPr="00F64A87">
        <w:rPr>
          <w:b/>
          <w:i/>
          <w:lang w:eastAsia="en-US"/>
        </w:rPr>
        <w:t xml:space="preserve">Коректив на касови постъпления </w:t>
      </w:r>
    </w:p>
    <w:p w14:paraId="2E784774" w14:textId="77777777" w:rsidR="00135ADC" w:rsidRPr="00F64A87" w:rsidRDefault="00135ADC" w:rsidP="00DB424A">
      <w:pPr>
        <w:tabs>
          <w:tab w:val="left" w:pos="993"/>
        </w:tabs>
        <w:spacing w:after="120"/>
        <w:ind w:firstLine="709"/>
        <w:jc w:val="both"/>
        <w:rPr>
          <w:bCs/>
          <w:iCs/>
        </w:rPr>
      </w:pPr>
      <w:r w:rsidRPr="00F64A87">
        <w:rPr>
          <w:bCs/>
          <w:iCs/>
        </w:rPr>
        <w:t>Към 31.12.2022 г. отчетеният коректив на касови постъпления е минус 7,7 млн. лв. Той е формиран от размера на принудително събрани суми от НАП в полза на ДФЗ-РА, за които не е извършен превод на средства.</w:t>
      </w:r>
    </w:p>
    <w:p w14:paraId="5759F7FE" w14:textId="77777777" w:rsidR="00135ADC" w:rsidRPr="00141547" w:rsidRDefault="00135ADC" w:rsidP="00BD39E0">
      <w:pPr>
        <w:numPr>
          <w:ilvl w:val="0"/>
          <w:numId w:val="59"/>
        </w:numPr>
        <w:tabs>
          <w:tab w:val="num" w:pos="540"/>
        </w:tabs>
        <w:spacing w:before="120" w:after="120" w:line="276" w:lineRule="auto"/>
        <w:ind w:left="1069"/>
        <w:contextualSpacing/>
        <w:jc w:val="both"/>
        <w:rPr>
          <w:b/>
        </w:rPr>
      </w:pPr>
      <w:r w:rsidRPr="00141547">
        <w:rPr>
          <w:b/>
        </w:rPr>
        <w:t xml:space="preserve">Разходи </w:t>
      </w:r>
    </w:p>
    <w:p w14:paraId="318BB6B9" w14:textId="77777777" w:rsidR="00135ADC" w:rsidRPr="00141547" w:rsidRDefault="00135ADC" w:rsidP="00DB424A">
      <w:pPr>
        <w:ind w:firstLine="709"/>
        <w:jc w:val="both"/>
        <w:rPr>
          <w:lang w:eastAsia="en-US"/>
        </w:rPr>
      </w:pPr>
      <w:r w:rsidRPr="00141547">
        <w:rPr>
          <w:lang w:eastAsia="en-US"/>
        </w:rPr>
        <w:t xml:space="preserve">Общият размер на планираните за 2022 г. разходи по утвърдените годишни разчети на сметката за средства от Европейския съюз на Разплащателната агенция към ДФ „Земеделие” е 572,7 млн. лева. </w:t>
      </w:r>
    </w:p>
    <w:p w14:paraId="57ED9CD0" w14:textId="77777777" w:rsidR="00135ADC" w:rsidRPr="00141547" w:rsidRDefault="00135ADC" w:rsidP="00DB424A">
      <w:pPr>
        <w:ind w:firstLine="709"/>
        <w:jc w:val="both"/>
        <w:rPr>
          <w:lang w:eastAsia="en-US"/>
        </w:rPr>
      </w:pPr>
      <w:r w:rsidRPr="00141547">
        <w:rPr>
          <w:lang w:eastAsia="en-US"/>
        </w:rPr>
        <w:t>Уточненият план на субсидиите за текуща дейност и капиталовите трансфери за 2022 г. е 386,2 млн. лева. Изпълнението към 31.12.2022 г. възлиза на 87,8 % от годишния план и е в размер на 338,9 млн. лева.</w:t>
      </w:r>
    </w:p>
    <w:p w14:paraId="51A5CDF3" w14:textId="77777777" w:rsidR="00135ADC" w:rsidRPr="00141547" w:rsidRDefault="00135ADC" w:rsidP="00DB424A">
      <w:pPr>
        <w:ind w:firstLine="709"/>
        <w:jc w:val="both"/>
        <w:rPr>
          <w:lang w:eastAsia="en-US"/>
        </w:rPr>
      </w:pPr>
      <w:r w:rsidRPr="00141547">
        <w:rPr>
          <w:lang w:eastAsia="en-US"/>
        </w:rPr>
        <w:t>Разпределението на разходите е както следва:</w:t>
      </w:r>
    </w:p>
    <w:p w14:paraId="60DABCD1"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Субсидии и други текущи трансфери за нефинансови предприятия</w:t>
      </w:r>
    </w:p>
    <w:p w14:paraId="428A7A16" w14:textId="77777777" w:rsidR="00135ADC" w:rsidRPr="00141547" w:rsidRDefault="00135ADC" w:rsidP="00DB424A">
      <w:pPr>
        <w:ind w:firstLine="709"/>
        <w:jc w:val="both"/>
        <w:rPr>
          <w:lang w:eastAsia="en-US"/>
        </w:rPr>
      </w:pPr>
      <w:r w:rsidRPr="00141547">
        <w:rPr>
          <w:lang w:eastAsia="en-US"/>
        </w:rPr>
        <w:t xml:space="preserve">За 2022 г. са планирани средства в размер на 207,4 млн. лв. за субсидии и други текущи трансфери за нефинансови предприятия. Отчетените към 31.12.2022 г. средства представляват 90,8 % от планираните за годината и са в размер на 188,45 млн. лева. За предходната година, изпълнението е 141,5 млн. лв. </w:t>
      </w:r>
      <w:r w:rsidRPr="00141547">
        <w:rPr>
          <w:lang w:val="ru-RU" w:eastAsia="en-US"/>
        </w:rPr>
        <w:t>(</w:t>
      </w:r>
      <w:r w:rsidRPr="00141547">
        <w:rPr>
          <w:lang w:eastAsia="en-US"/>
        </w:rPr>
        <w:t>83,6 %</w:t>
      </w:r>
      <w:r w:rsidRPr="00141547">
        <w:rPr>
          <w:lang w:val="ru-RU" w:eastAsia="en-US"/>
        </w:rPr>
        <w:t>)</w:t>
      </w:r>
      <w:r w:rsidRPr="00141547">
        <w:rPr>
          <w:lang w:eastAsia="en-US"/>
        </w:rPr>
        <w:t>.</w:t>
      </w:r>
    </w:p>
    <w:p w14:paraId="557A87DD" w14:textId="77777777" w:rsidR="00135ADC" w:rsidRPr="00141547" w:rsidRDefault="00135ADC" w:rsidP="00DB424A">
      <w:pPr>
        <w:ind w:firstLine="709"/>
        <w:jc w:val="both"/>
        <w:rPr>
          <w:lang w:eastAsia="en-US"/>
        </w:rPr>
      </w:pPr>
      <w:r w:rsidRPr="00141547">
        <w:rPr>
          <w:lang w:eastAsia="en-US"/>
        </w:rPr>
        <w:t>Изпълнението по дейности е както следва:</w:t>
      </w:r>
    </w:p>
    <w:p w14:paraId="58BB1C60" w14:textId="77777777" w:rsidR="00135ADC" w:rsidRPr="00141547" w:rsidRDefault="00135ADC" w:rsidP="00DB424A">
      <w:pPr>
        <w:ind w:firstLine="709"/>
        <w:contextualSpacing/>
        <w:jc w:val="both"/>
        <w:rPr>
          <w:lang w:eastAsia="en-US"/>
        </w:rPr>
      </w:pPr>
      <w:r w:rsidRPr="00141547">
        <w:rPr>
          <w:lang w:eastAsia="en-US"/>
        </w:rPr>
        <w:t>- национално съфинансиране към ЕЗФРСР за директни плащания – 77,7 млн. лв., изпълнение 91,5 % на планираните за годината 84,9 млн. лева;</w:t>
      </w:r>
    </w:p>
    <w:p w14:paraId="1D3C68B7" w14:textId="77777777" w:rsidR="00135ADC" w:rsidRPr="00141547" w:rsidRDefault="00135ADC" w:rsidP="00DB424A">
      <w:pPr>
        <w:ind w:firstLine="709"/>
        <w:contextualSpacing/>
        <w:jc w:val="both"/>
        <w:rPr>
          <w:lang w:eastAsia="en-US"/>
        </w:rPr>
      </w:pPr>
      <w:r w:rsidRPr="00141547">
        <w:rPr>
          <w:lang w:eastAsia="en-US"/>
        </w:rPr>
        <w:t>-  текущи субсидии по Програмата за морско дело и рибарство – 2,6 млн. лв., изпълнение 57,8 % на планираните за годината 4,5 млн. лева;</w:t>
      </w:r>
    </w:p>
    <w:p w14:paraId="318A0627" w14:textId="77777777" w:rsidR="00135ADC" w:rsidRPr="00141547" w:rsidRDefault="00135ADC" w:rsidP="00DB424A">
      <w:pPr>
        <w:ind w:firstLine="709"/>
        <w:contextualSpacing/>
        <w:jc w:val="both"/>
        <w:rPr>
          <w:lang w:eastAsia="en-US"/>
        </w:rPr>
      </w:pPr>
      <w:r w:rsidRPr="00141547">
        <w:rPr>
          <w:lang w:eastAsia="en-US"/>
        </w:rPr>
        <w:t>- текущи субсидии по Програмата за развитие на селските райони – 31,1 млн. лв., изпълнение от 68,5 % на планираните за годината 45,4 млн. лева;</w:t>
      </w:r>
    </w:p>
    <w:p w14:paraId="171ADF8F" w14:textId="77777777" w:rsidR="00135ADC" w:rsidRPr="00141547" w:rsidRDefault="00135ADC" w:rsidP="00DB424A">
      <w:pPr>
        <w:tabs>
          <w:tab w:val="left" w:pos="851"/>
          <w:tab w:val="left" w:pos="1134"/>
        </w:tabs>
        <w:ind w:firstLine="709"/>
        <w:contextualSpacing/>
        <w:jc w:val="both"/>
        <w:rPr>
          <w:lang w:eastAsia="en-US"/>
        </w:rPr>
      </w:pPr>
      <w:r w:rsidRPr="00141547">
        <w:rPr>
          <w:lang w:eastAsia="en-US"/>
        </w:rPr>
        <w:t>- текущи субсидии за пазарни мерки – 77,0 млн. лв., изпълнение от 106,1 % на планираните за 2022 г. 72,6 млн. лева. Превишението се дължи на изплатената извънредна помощ във връзка с преодоляване на последиците от войната в Украйна.</w:t>
      </w:r>
    </w:p>
    <w:p w14:paraId="7CFF3F2C"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Субсидии и други текущи трансфери за юридически лица с нестопанска цел</w:t>
      </w:r>
    </w:p>
    <w:p w14:paraId="67276D19" w14:textId="6D662725" w:rsidR="00135ADC" w:rsidRPr="00141547" w:rsidRDefault="00135ADC" w:rsidP="00DB424A">
      <w:pPr>
        <w:ind w:firstLine="709"/>
        <w:jc w:val="both"/>
        <w:rPr>
          <w:lang w:eastAsia="en-US"/>
        </w:rPr>
      </w:pPr>
      <w:r w:rsidRPr="00141547">
        <w:rPr>
          <w:lang w:eastAsia="en-US"/>
        </w:rPr>
        <w:t>За 2022 г. за субсидии и други текущи трансфери за юридически лица с нестопанска цел са планирани 18,1 млн. лева. За 2022 г. са отчетени разходи в размер на 15,0 млн. лв. (82,9 % от годишния план). За 2021 година са отчетени 12,1 млн. лв., 63,0 % от годишния план.</w:t>
      </w:r>
    </w:p>
    <w:p w14:paraId="6E914A7F" w14:textId="77777777" w:rsidR="00135ADC" w:rsidRPr="00141547" w:rsidRDefault="00135ADC" w:rsidP="00DB424A">
      <w:pPr>
        <w:ind w:firstLine="709"/>
        <w:contextualSpacing/>
        <w:jc w:val="both"/>
        <w:rPr>
          <w:lang w:eastAsia="en-US"/>
        </w:rPr>
      </w:pPr>
      <w:r w:rsidRPr="00141547">
        <w:rPr>
          <w:lang w:eastAsia="en-US"/>
        </w:rPr>
        <w:t>Разпределението по дейности е както следва:</w:t>
      </w:r>
    </w:p>
    <w:p w14:paraId="56E3D1FC" w14:textId="77777777" w:rsidR="00135ADC" w:rsidRPr="00141547" w:rsidRDefault="00135ADC" w:rsidP="00DB424A">
      <w:pPr>
        <w:ind w:firstLine="709"/>
        <w:contextualSpacing/>
        <w:jc w:val="both"/>
        <w:rPr>
          <w:lang w:eastAsia="en-US"/>
        </w:rPr>
      </w:pPr>
      <w:r w:rsidRPr="00141547">
        <w:rPr>
          <w:lang w:eastAsia="en-US"/>
        </w:rPr>
        <w:t xml:space="preserve">-  национално съфинансиране към ЕЗФРСР за директни плащания  – 0,1 млн. лева; </w:t>
      </w:r>
    </w:p>
    <w:p w14:paraId="7CFBA774" w14:textId="77777777" w:rsidR="00135ADC" w:rsidRPr="00141547" w:rsidRDefault="00135ADC" w:rsidP="00DB424A">
      <w:pPr>
        <w:tabs>
          <w:tab w:val="left" w:pos="851"/>
        </w:tabs>
        <w:ind w:firstLine="709"/>
        <w:contextualSpacing/>
        <w:jc w:val="both"/>
        <w:rPr>
          <w:lang w:eastAsia="en-US"/>
        </w:rPr>
      </w:pPr>
      <w:r w:rsidRPr="00141547">
        <w:rPr>
          <w:lang w:eastAsia="en-US"/>
        </w:rPr>
        <w:t>-  текущи субсидии по ПМДР – 3,4 млн. лв., 69,4 % от планираните 4,9 млн. лева;</w:t>
      </w:r>
    </w:p>
    <w:p w14:paraId="5D541775" w14:textId="77777777" w:rsidR="00135ADC" w:rsidRPr="00141547" w:rsidRDefault="00135ADC" w:rsidP="00DB424A">
      <w:pPr>
        <w:ind w:firstLine="709"/>
        <w:contextualSpacing/>
        <w:jc w:val="both"/>
        <w:rPr>
          <w:lang w:eastAsia="en-US"/>
        </w:rPr>
      </w:pPr>
      <w:r w:rsidRPr="00141547">
        <w:rPr>
          <w:lang w:eastAsia="en-US"/>
        </w:rPr>
        <w:t>- текущи субсидии по Програмата за развитие на селските райони – 12,1 млн. лв., изпълнение 92,4 % на планираните 13,1 млн. лева;</w:t>
      </w:r>
    </w:p>
    <w:p w14:paraId="7E14C954" w14:textId="77777777" w:rsidR="00135ADC" w:rsidRPr="00141547" w:rsidRDefault="00135ADC" w:rsidP="00DB424A">
      <w:pPr>
        <w:ind w:firstLine="709"/>
        <w:contextualSpacing/>
        <w:jc w:val="both"/>
        <w:rPr>
          <w:lang w:eastAsia="en-US"/>
        </w:rPr>
      </w:pPr>
      <w:r w:rsidRPr="00141547">
        <w:rPr>
          <w:lang w:eastAsia="en-US"/>
        </w:rPr>
        <w:t>-  текущи субсидии за пазарни мерки – възстановени средства в размер на 0,6 млн. лева.</w:t>
      </w:r>
    </w:p>
    <w:p w14:paraId="7E7C95F2"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Капиталови трансфери за нефинансови предприятия</w:t>
      </w:r>
    </w:p>
    <w:p w14:paraId="0C915DA1" w14:textId="77777777" w:rsidR="00135ADC" w:rsidRPr="00141547" w:rsidRDefault="00135ADC" w:rsidP="00DB424A">
      <w:pPr>
        <w:ind w:firstLine="709"/>
        <w:jc w:val="both"/>
        <w:rPr>
          <w:lang w:eastAsia="en-US"/>
        </w:rPr>
      </w:pPr>
      <w:r w:rsidRPr="00141547">
        <w:rPr>
          <w:lang w:eastAsia="en-US"/>
        </w:rPr>
        <w:t>За 2022 г. за капиталови трансфери за нефинансови предприятия са планирани 143,7 млн. лева. Към 31.12.2022 г. са отчетени 125,9 млн. лв., което е 87,6 % изпълнение на годишния план. Изпълнението за предходната година е 141,8 млн. лв., 74,5 % от  годишния план.</w:t>
      </w:r>
    </w:p>
    <w:p w14:paraId="3FC18E94" w14:textId="77777777" w:rsidR="00135ADC" w:rsidRPr="00141547" w:rsidRDefault="00135ADC" w:rsidP="00DB424A">
      <w:pPr>
        <w:ind w:firstLine="709"/>
        <w:jc w:val="both"/>
        <w:rPr>
          <w:lang w:eastAsia="en-US"/>
        </w:rPr>
      </w:pPr>
      <w:r w:rsidRPr="00141547">
        <w:rPr>
          <w:lang w:eastAsia="en-US"/>
        </w:rPr>
        <w:t>Разпределението по дейности е както следва:</w:t>
      </w:r>
    </w:p>
    <w:p w14:paraId="7F879A3B" w14:textId="77777777" w:rsidR="00135ADC" w:rsidRPr="00141547" w:rsidRDefault="00135ADC" w:rsidP="00DB424A">
      <w:pPr>
        <w:ind w:firstLine="709"/>
        <w:contextualSpacing/>
        <w:jc w:val="both"/>
        <w:rPr>
          <w:lang w:eastAsia="en-US"/>
        </w:rPr>
      </w:pPr>
      <w:r w:rsidRPr="00141547">
        <w:rPr>
          <w:lang w:eastAsia="en-US"/>
        </w:rPr>
        <w:t>-  капиталови трансфери по Програмата за морско дело и рибарство (ПМДР) – 5,5 млн. лв., което е 60,4 %  изпълнение на годишния план (</w:t>
      </w:r>
      <w:r w:rsidRPr="00141547">
        <w:rPr>
          <w:lang w:val="ru-RU" w:eastAsia="en-US"/>
        </w:rPr>
        <w:t>9</w:t>
      </w:r>
      <w:r w:rsidRPr="00141547">
        <w:rPr>
          <w:lang w:eastAsia="en-US"/>
        </w:rPr>
        <w:t>,1 млн. лева);</w:t>
      </w:r>
    </w:p>
    <w:p w14:paraId="1034BACE" w14:textId="77777777" w:rsidR="00135ADC" w:rsidRPr="00141547" w:rsidRDefault="00135ADC" w:rsidP="00DB424A">
      <w:pPr>
        <w:ind w:firstLine="709"/>
        <w:contextualSpacing/>
        <w:jc w:val="both"/>
        <w:rPr>
          <w:lang w:eastAsia="en-US"/>
        </w:rPr>
      </w:pPr>
      <w:r w:rsidRPr="00141547">
        <w:rPr>
          <w:lang w:eastAsia="en-US"/>
        </w:rPr>
        <w:t xml:space="preserve">-  капиталови трансфери по ПРСР – </w:t>
      </w:r>
      <w:r w:rsidRPr="00141547">
        <w:rPr>
          <w:lang w:val="ru-RU" w:eastAsia="en-US"/>
        </w:rPr>
        <w:t>120,0</w:t>
      </w:r>
      <w:r w:rsidRPr="00141547">
        <w:rPr>
          <w:lang w:eastAsia="en-US"/>
        </w:rPr>
        <w:t xml:space="preserve"> млн. лв., </w:t>
      </w:r>
      <w:r w:rsidRPr="00141547">
        <w:rPr>
          <w:lang w:val="ru-RU" w:eastAsia="en-US"/>
        </w:rPr>
        <w:t>89,4</w:t>
      </w:r>
      <w:r w:rsidRPr="00141547">
        <w:rPr>
          <w:lang w:eastAsia="en-US"/>
        </w:rPr>
        <w:t xml:space="preserve"> %  изпълнение на годишния план (</w:t>
      </w:r>
      <w:r w:rsidRPr="00141547">
        <w:rPr>
          <w:lang w:val="ru-RU" w:eastAsia="en-US"/>
        </w:rPr>
        <w:t>134,2</w:t>
      </w:r>
      <w:r w:rsidRPr="00141547">
        <w:rPr>
          <w:lang w:eastAsia="en-US"/>
        </w:rPr>
        <w:t xml:space="preserve"> млн. лв.);</w:t>
      </w:r>
    </w:p>
    <w:p w14:paraId="51EF1D91" w14:textId="77777777" w:rsidR="00135ADC" w:rsidRPr="00141547" w:rsidRDefault="00135ADC" w:rsidP="00DB424A">
      <w:pPr>
        <w:ind w:firstLine="709"/>
        <w:contextualSpacing/>
        <w:jc w:val="both"/>
        <w:rPr>
          <w:lang w:eastAsia="en-US"/>
        </w:rPr>
      </w:pPr>
      <w:r w:rsidRPr="00141547">
        <w:rPr>
          <w:lang w:eastAsia="en-US"/>
        </w:rPr>
        <w:t xml:space="preserve">-  капиталови трансфери за пазарни мерки – 0,4 млн. лв., изпълнение от </w:t>
      </w:r>
      <w:r w:rsidRPr="00141547">
        <w:rPr>
          <w:lang w:val="ru-RU" w:eastAsia="en-US"/>
        </w:rPr>
        <w:t>100,0</w:t>
      </w:r>
      <w:r w:rsidRPr="00141547">
        <w:rPr>
          <w:lang w:eastAsia="en-US"/>
        </w:rPr>
        <w:t xml:space="preserve"> % на годишния разчет. </w:t>
      </w:r>
    </w:p>
    <w:p w14:paraId="5D4E2E5F"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Капиталови трансфери за организации с нестопанска цел</w:t>
      </w:r>
    </w:p>
    <w:p w14:paraId="1B55E587" w14:textId="77777777" w:rsidR="00135ADC" w:rsidRPr="00141547" w:rsidRDefault="00135ADC" w:rsidP="00DB424A">
      <w:pPr>
        <w:ind w:firstLine="709"/>
        <w:jc w:val="both"/>
        <w:rPr>
          <w:lang w:eastAsia="en-US"/>
        </w:rPr>
      </w:pPr>
      <w:r w:rsidRPr="00141547">
        <w:rPr>
          <w:lang w:eastAsia="en-US"/>
        </w:rPr>
        <w:t xml:space="preserve">За 2022 г. са планирани капиталови трансфери за организации с нестопанска цел в размер на </w:t>
      </w:r>
      <w:r w:rsidRPr="00141547">
        <w:rPr>
          <w:lang w:val="ru-RU" w:eastAsia="en-US"/>
        </w:rPr>
        <w:t>1</w:t>
      </w:r>
      <w:r w:rsidRPr="00141547">
        <w:rPr>
          <w:lang w:eastAsia="en-US"/>
        </w:rPr>
        <w:t>7,</w:t>
      </w:r>
      <w:r w:rsidRPr="00141547">
        <w:rPr>
          <w:lang w:val="ru-RU" w:eastAsia="en-US"/>
        </w:rPr>
        <w:t>0</w:t>
      </w:r>
      <w:r w:rsidRPr="00141547">
        <w:rPr>
          <w:lang w:eastAsia="en-US"/>
        </w:rPr>
        <w:t xml:space="preserve"> млн. лева. Към 3</w:t>
      </w:r>
      <w:r w:rsidRPr="00141547">
        <w:rPr>
          <w:lang w:val="ru-RU" w:eastAsia="en-US"/>
        </w:rPr>
        <w:t>1</w:t>
      </w:r>
      <w:r w:rsidRPr="00141547">
        <w:rPr>
          <w:lang w:eastAsia="en-US"/>
        </w:rPr>
        <w:t>.</w:t>
      </w:r>
      <w:r w:rsidRPr="00141547">
        <w:rPr>
          <w:lang w:val="ru-RU" w:eastAsia="en-US"/>
        </w:rPr>
        <w:t>12</w:t>
      </w:r>
      <w:r w:rsidRPr="00141547">
        <w:rPr>
          <w:lang w:eastAsia="en-US"/>
        </w:rPr>
        <w:t xml:space="preserve">.2022 г. са отчетени капиталови трансфери по ПРСР в размер на </w:t>
      </w:r>
      <w:r w:rsidRPr="00141547">
        <w:rPr>
          <w:lang w:val="ru-RU" w:eastAsia="en-US"/>
        </w:rPr>
        <w:t>9,65</w:t>
      </w:r>
      <w:r w:rsidRPr="00141547">
        <w:rPr>
          <w:lang w:eastAsia="en-US"/>
        </w:rPr>
        <w:t xml:space="preserve"> млн. лв., </w:t>
      </w:r>
      <w:r w:rsidRPr="00141547">
        <w:rPr>
          <w:lang w:val="ru-RU" w:eastAsia="en-US"/>
        </w:rPr>
        <w:t>56,5</w:t>
      </w:r>
      <w:r w:rsidRPr="00141547">
        <w:rPr>
          <w:lang w:eastAsia="en-US"/>
        </w:rPr>
        <w:t xml:space="preserve"> % изпълнение на годишния план. За 2021 г. изпълнението е 31,2 процента.</w:t>
      </w:r>
    </w:p>
    <w:p w14:paraId="19A16CCE" w14:textId="77777777" w:rsidR="00135ADC" w:rsidRPr="00141547" w:rsidRDefault="00135ADC" w:rsidP="00DB424A">
      <w:pPr>
        <w:spacing w:before="120"/>
        <w:ind w:firstLine="709"/>
        <w:jc w:val="both"/>
        <w:rPr>
          <w:lang w:eastAsia="en-US"/>
        </w:rPr>
      </w:pPr>
      <w:r w:rsidRPr="00141547">
        <w:rPr>
          <w:lang w:eastAsia="en-US"/>
        </w:rPr>
        <w:t>Планираните разходи в размер на 186,5 млн. лв., в т.ч.: за заплати и възнаграждения на персонала 8,9 млн. лв., задължителни осигурителни вноски от работодатели 2,5 млн. лв., издръжка 6,1 млн. лв. и придобиване на ДМА 168,9 млн. лв., подлежат на отчитане в § 63-00 „Трансфери между сметки за средствата от ЕС“.</w:t>
      </w:r>
    </w:p>
    <w:p w14:paraId="60D7CD7C" w14:textId="77777777" w:rsidR="00135ADC" w:rsidRPr="00141547" w:rsidRDefault="00135ADC" w:rsidP="00DB424A">
      <w:pPr>
        <w:ind w:firstLine="709"/>
        <w:jc w:val="both"/>
        <w:rPr>
          <w:b/>
          <w:color w:val="0070C0"/>
          <w:sz w:val="12"/>
          <w:u w:val="single"/>
          <w:lang w:eastAsia="en-US"/>
        </w:rPr>
      </w:pPr>
    </w:p>
    <w:p w14:paraId="51F30628" w14:textId="77777777" w:rsidR="00135ADC" w:rsidRPr="00141547" w:rsidRDefault="00135ADC" w:rsidP="00BD39E0">
      <w:pPr>
        <w:numPr>
          <w:ilvl w:val="0"/>
          <w:numId w:val="59"/>
        </w:numPr>
        <w:tabs>
          <w:tab w:val="num" w:pos="540"/>
        </w:tabs>
        <w:spacing w:before="120" w:after="120" w:line="276" w:lineRule="auto"/>
        <w:ind w:left="1069"/>
        <w:contextualSpacing/>
        <w:jc w:val="both"/>
        <w:rPr>
          <w:b/>
        </w:rPr>
      </w:pPr>
      <w:r w:rsidRPr="00141547">
        <w:rPr>
          <w:b/>
        </w:rPr>
        <w:t xml:space="preserve">Трансфери </w:t>
      </w:r>
    </w:p>
    <w:p w14:paraId="73400CE3" w14:textId="77777777" w:rsidR="00135ADC" w:rsidRPr="00141547" w:rsidRDefault="00135ADC" w:rsidP="00DB424A">
      <w:pPr>
        <w:ind w:firstLine="709"/>
        <w:jc w:val="both"/>
        <w:rPr>
          <w:lang w:eastAsia="en-US"/>
        </w:rPr>
      </w:pPr>
      <w:r w:rsidRPr="00141547">
        <w:rPr>
          <w:lang w:eastAsia="en-US"/>
        </w:rPr>
        <w:t>В частта на трансферите, в касовия отчет на ДФЗ-РА към 31.12.2022 г. са отразени следните касови потоци:</w:t>
      </w:r>
    </w:p>
    <w:p w14:paraId="7B3B50EE"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 xml:space="preserve">Трансфери между ЦБ и сметки за средства от Европейския съюз </w:t>
      </w:r>
    </w:p>
    <w:p w14:paraId="2D9CAD07" w14:textId="77777777" w:rsidR="00135ADC" w:rsidRPr="00141547" w:rsidRDefault="00135ADC" w:rsidP="00DB424A">
      <w:pPr>
        <w:tabs>
          <w:tab w:val="left" w:pos="540"/>
          <w:tab w:val="left" w:pos="993"/>
        </w:tabs>
        <w:ind w:firstLine="709"/>
        <w:jc w:val="both"/>
        <w:rPr>
          <w:lang w:eastAsia="en-US"/>
        </w:rPr>
      </w:pPr>
      <w:r w:rsidRPr="00141547">
        <w:rPr>
          <w:lang w:eastAsia="en-US"/>
        </w:rPr>
        <w:tab/>
        <w:t>Планираната сума на трансфера от ЦБ е в размер 215,5 млн. лева. Отчетената стойност е 211,5 млн. лв., съответстваща на получения в края на 2022 г. трансфер от ЦБ за компенсиране на средствата, изплатени от РА за сметка на национално съфинансиране към фондовете ЕФГЗ, ЕЗФРСР, ЕФМДР и ЕФР.</w:t>
      </w:r>
    </w:p>
    <w:p w14:paraId="0C7C3620"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 xml:space="preserve">Трансфери между бюджети и сметки за средства от Европейския съюз </w:t>
      </w:r>
    </w:p>
    <w:p w14:paraId="143515E9" w14:textId="77777777" w:rsidR="00135ADC" w:rsidRPr="00141547" w:rsidRDefault="00135ADC" w:rsidP="00DB424A">
      <w:pPr>
        <w:ind w:firstLine="709"/>
        <w:jc w:val="both"/>
        <w:rPr>
          <w:lang w:eastAsia="en-US"/>
        </w:rPr>
      </w:pPr>
      <w:r w:rsidRPr="00141547">
        <w:rPr>
          <w:lang w:eastAsia="en-US"/>
        </w:rPr>
        <w:t xml:space="preserve">Получените трансфери от бюджетни сметки на бюджетни организации и общини са формирани при възстановяване на суми по вземания по ПРСР, ПМДР и директни плащания. Към 31.12.2022 г. техният размер е 2,6 млн. лева. </w:t>
      </w:r>
    </w:p>
    <w:p w14:paraId="53964C88" w14:textId="77777777" w:rsidR="00135ADC" w:rsidRPr="00141547" w:rsidRDefault="00135ADC" w:rsidP="00DB424A">
      <w:pPr>
        <w:ind w:firstLine="709"/>
        <w:jc w:val="both"/>
        <w:rPr>
          <w:lang w:eastAsia="en-US"/>
        </w:rPr>
      </w:pPr>
      <w:r w:rsidRPr="00141547">
        <w:rPr>
          <w:lang w:eastAsia="en-US"/>
        </w:rPr>
        <w:tab/>
        <w:t>Предоставените за 2022 г. трансфери във връзка с чл.14 от Закона за подпомагане на земеделските производители възлизат на 0,7 млн. лева.</w:t>
      </w:r>
    </w:p>
    <w:p w14:paraId="4802E2C9"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Трансфери между сметки за средства от Европейския съюз:</w:t>
      </w:r>
    </w:p>
    <w:p w14:paraId="31C309A5" w14:textId="77777777" w:rsidR="00135ADC" w:rsidRPr="00141547" w:rsidRDefault="00135ADC" w:rsidP="009014D1">
      <w:pPr>
        <w:tabs>
          <w:tab w:val="left" w:pos="1134"/>
        </w:tabs>
        <w:ind w:firstLine="709"/>
        <w:jc w:val="both"/>
        <w:rPr>
          <w:lang w:eastAsia="en-US"/>
        </w:rPr>
      </w:pPr>
      <w:r w:rsidRPr="00141547">
        <w:rPr>
          <w:lang w:eastAsia="en-US"/>
        </w:rPr>
        <w:t>Предоставените трансфери са формирани от изплатените субсидии на публични бенефициенти и възстановените от тях суми. За 2022 г. са отчетени 174,3 млн. лв., в т.ч.:</w:t>
      </w:r>
    </w:p>
    <w:p w14:paraId="2255C381" w14:textId="77777777" w:rsidR="00135ADC" w:rsidRPr="00141547" w:rsidRDefault="00135ADC" w:rsidP="00BD39E0">
      <w:pPr>
        <w:numPr>
          <w:ilvl w:val="0"/>
          <w:numId w:val="39"/>
        </w:numPr>
        <w:tabs>
          <w:tab w:val="left" w:pos="993"/>
          <w:tab w:val="left" w:pos="1276"/>
        </w:tabs>
        <w:spacing w:after="120"/>
        <w:ind w:left="706" w:firstLine="145"/>
        <w:contextualSpacing/>
        <w:jc w:val="both"/>
        <w:rPr>
          <w:szCs w:val="20"/>
          <w:lang w:eastAsia="en-US"/>
        </w:rPr>
      </w:pPr>
      <w:r w:rsidRPr="00141547">
        <w:rPr>
          <w:szCs w:val="20"/>
          <w:lang w:eastAsia="en-US"/>
        </w:rPr>
        <w:t>по Програмата за развитие на селските райони – 162,2 млн. лв.;</w:t>
      </w:r>
    </w:p>
    <w:p w14:paraId="4F39E70E" w14:textId="77777777" w:rsidR="00135ADC" w:rsidRPr="00141547" w:rsidRDefault="00135ADC" w:rsidP="00BD39E0">
      <w:pPr>
        <w:numPr>
          <w:ilvl w:val="0"/>
          <w:numId w:val="39"/>
        </w:numPr>
        <w:tabs>
          <w:tab w:val="left" w:pos="993"/>
          <w:tab w:val="left" w:pos="1276"/>
        </w:tabs>
        <w:spacing w:after="120"/>
        <w:ind w:left="706" w:firstLine="145"/>
        <w:contextualSpacing/>
        <w:jc w:val="both"/>
        <w:rPr>
          <w:szCs w:val="20"/>
          <w:lang w:eastAsia="en-US"/>
        </w:rPr>
      </w:pPr>
      <w:r w:rsidRPr="00141547">
        <w:rPr>
          <w:szCs w:val="20"/>
          <w:lang w:eastAsia="en-US"/>
        </w:rPr>
        <w:t>национално съфинансиране към директни плащания – 0,2 млн. лв.;</w:t>
      </w:r>
    </w:p>
    <w:p w14:paraId="7B61F0F4" w14:textId="77777777" w:rsidR="00135ADC" w:rsidRPr="00141547" w:rsidRDefault="00135ADC" w:rsidP="00BD39E0">
      <w:pPr>
        <w:numPr>
          <w:ilvl w:val="0"/>
          <w:numId w:val="39"/>
        </w:numPr>
        <w:tabs>
          <w:tab w:val="left" w:pos="993"/>
          <w:tab w:val="left" w:pos="1276"/>
        </w:tabs>
        <w:spacing w:after="120"/>
        <w:ind w:left="706" w:firstLine="145"/>
        <w:contextualSpacing/>
        <w:jc w:val="both"/>
        <w:rPr>
          <w:szCs w:val="20"/>
          <w:lang w:eastAsia="en-US"/>
        </w:rPr>
      </w:pPr>
      <w:r w:rsidRPr="00141547">
        <w:rPr>
          <w:szCs w:val="20"/>
          <w:lang w:eastAsia="en-US"/>
        </w:rPr>
        <w:t>по Програмата за морско дело и рибарство – 11,8 млн. лв.;</w:t>
      </w:r>
    </w:p>
    <w:p w14:paraId="7765BDEB" w14:textId="77777777" w:rsidR="00135ADC" w:rsidRPr="00141547" w:rsidRDefault="00135ADC" w:rsidP="00BD39E0">
      <w:pPr>
        <w:numPr>
          <w:ilvl w:val="0"/>
          <w:numId w:val="39"/>
        </w:numPr>
        <w:tabs>
          <w:tab w:val="left" w:pos="993"/>
          <w:tab w:val="left" w:pos="1276"/>
        </w:tabs>
        <w:spacing w:after="120"/>
        <w:ind w:left="706" w:firstLine="145"/>
        <w:contextualSpacing/>
        <w:jc w:val="both"/>
        <w:rPr>
          <w:szCs w:val="20"/>
          <w:lang w:eastAsia="en-US"/>
        </w:rPr>
      </w:pPr>
      <w:r w:rsidRPr="00141547">
        <w:rPr>
          <w:szCs w:val="20"/>
          <w:lang w:eastAsia="en-US"/>
        </w:rPr>
        <w:t>пазарни мерки – 0,1 млн. лева.</w:t>
      </w:r>
    </w:p>
    <w:p w14:paraId="1533D530" w14:textId="77777777" w:rsidR="00135ADC" w:rsidRPr="00141547" w:rsidRDefault="00135ADC" w:rsidP="00DB424A">
      <w:pPr>
        <w:ind w:firstLine="709"/>
        <w:jc w:val="both"/>
        <w:rPr>
          <w:lang w:eastAsia="en-US"/>
        </w:rPr>
      </w:pPr>
      <w:r w:rsidRPr="00141547">
        <w:rPr>
          <w:lang w:eastAsia="en-US"/>
        </w:rPr>
        <w:t>През 2021 г. са предоставени трансфери в размер на 290,1 млн. лв.</w:t>
      </w:r>
    </w:p>
    <w:p w14:paraId="00864CD0" w14:textId="77777777" w:rsidR="00135ADC" w:rsidRPr="00141547" w:rsidRDefault="00135ADC" w:rsidP="00DB424A">
      <w:pPr>
        <w:tabs>
          <w:tab w:val="left" w:pos="540"/>
        </w:tabs>
        <w:ind w:firstLine="709"/>
        <w:jc w:val="both"/>
        <w:rPr>
          <w:lang w:eastAsia="en-US"/>
        </w:rPr>
      </w:pPr>
      <w:r w:rsidRPr="00141547">
        <w:tab/>
      </w:r>
    </w:p>
    <w:p w14:paraId="3B3D67C8" w14:textId="77777777" w:rsidR="00135ADC" w:rsidRPr="00141547" w:rsidRDefault="00135ADC" w:rsidP="00BD39E0">
      <w:pPr>
        <w:numPr>
          <w:ilvl w:val="0"/>
          <w:numId w:val="59"/>
        </w:numPr>
        <w:tabs>
          <w:tab w:val="num" w:pos="540"/>
        </w:tabs>
        <w:spacing w:before="120" w:after="120" w:line="276" w:lineRule="auto"/>
        <w:ind w:left="1069"/>
        <w:contextualSpacing/>
        <w:jc w:val="both"/>
        <w:rPr>
          <w:b/>
        </w:rPr>
      </w:pPr>
      <w:r w:rsidRPr="00141547">
        <w:rPr>
          <w:b/>
        </w:rPr>
        <w:t>Финансиране</w:t>
      </w:r>
    </w:p>
    <w:p w14:paraId="3DC3418B"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Суми по разчети за поети осигурителни вноски и данъци</w:t>
      </w:r>
    </w:p>
    <w:p w14:paraId="06B6474B" w14:textId="77777777" w:rsidR="00135ADC" w:rsidRPr="00141547" w:rsidRDefault="00135ADC" w:rsidP="00DB424A">
      <w:pPr>
        <w:ind w:firstLine="709"/>
        <w:jc w:val="both"/>
      </w:pPr>
      <w:r w:rsidRPr="00141547">
        <w:t>Към края на 2022 г. сумата по разчети за поети данъци, формирани от удържан и внесен окончателен данък на физически лица, съгл. чл. 65, ал. 14 от ЗДДФЛ възлиза нето на минус 0,1 млн. лева.</w:t>
      </w:r>
    </w:p>
    <w:p w14:paraId="19D9BAE6" w14:textId="77777777" w:rsidR="00135ADC" w:rsidRPr="00141547" w:rsidRDefault="00135ADC" w:rsidP="00DB424A">
      <w:pPr>
        <w:numPr>
          <w:ilvl w:val="0"/>
          <w:numId w:val="28"/>
        </w:numPr>
        <w:tabs>
          <w:tab w:val="left" w:pos="90"/>
          <w:tab w:val="left" w:pos="993"/>
        </w:tabs>
        <w:spacing w:before="120" w:line="276" w:lineRule="auto"/>
        <w:ind w:left="0" w:firstLine="709"/>
        <w:jc w:val="both"/>
        <w:rPr>
          <w:b/>
          <w:i/>
          <w:lang w:eastAsia="en-US"/>
        </w:rPr>
      </w:pPr>
      <w:r w:rsidRPr="00141547">
        <w:rPr>
          <w:b/>
          <w:i/>
          <w:lang w:eastAsia="en-US"/>
        </w:rPr>
        <w:t>Друго финансиране</w:t>
      </w:r>
    </w:p>
    <w:p w14:paraId="50E3DB4D" w14:textId="77777777" w:rsidR="00135ADC" w:rsidRPr="00141547" w:rsidRDefault="00135ADC" w:rsidP="00DB424A">
      <w:pPr>
        <w:ind w:firstLine="709"/>
        <w:jc w:val="both"/>
        <w:rPr>
          <w:lang w:eastAsia="en-US"/>
        </w:rPr>
      </w:pPr>
      <w:r w:rsidRPr="00141547">
        <w:rPr>
          <w:lang w:eastAsia="en-US"/>
        </w:rPr>
        <w:t>Към 31.12.2022 г. извършените плащания, възстановените суми, разчетът с централния бюджет и операциите с чужди средства, включени в отчетността в „Друго финансиране“ са в размер на 35,9 млн. лв., при планирани 90,7 млн. лева.</w:t>
      </w:r>
    </w:p>
    <w:p w14:paraId="5060F954" w14:textId="77777777" w:rsidR="00135ADC" w:rsidRPr="00141547" w:rsidRDefault="00135ADC" w:rsidP="00DB424A">
      <w:pPr>
        <w:ind w:firstLine="709"/>
        <w:jc w:val="both"/>
      </w:pPr>
      <w:r w:rsidRPr="00141547">
        <w:t>Към 31.12.2022 г. са отчетени плащания в общ размер на 1 874,0 млн. лв., 96,4 % от годишните разчети (1 944,7 млн. лв.) при 1 818,7 млн. лв. за 2021 г.</w:t>
      </w:r>
    </w:p>
    <w:p w14:paraId="3349FBFC" w14:textId="77777777" w:rsidR="00135ADC" w:rsidRPr="00141547" w:rsidRDefault="00135ADC" w:rsidP="00DB424A">
      <w:pPr>
        <w:ind w:firstLine="709"/>
        <w:jc w:val="both"/>
      </w:pPr>
      <w:r w:rsidRPr="00141547">
        <w:t>Отчетени са плащания по следните направления:</w:t>
      </w:r>
    </w:p>
    <w:p w14:paraId="3854BEAD"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1 556,7 млн. лв. за директни плащания за сметка на ЕФГЗ, представляващи 98,5 % от планираните 1 580,2 млн. лева;</w:t>
      </w:r>
    </w:p>
    <w:p w14:paraId="2623BB4E"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267,0 млн. лв. средства от ЕЗФРСР, прехвърлени към директни плащания, което е 89,4 % от планираните 298,6 млн. лева;</w:t>
      </w:r>
    </w:p>
    <w:p w14:paraId="43D56B9D"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39,7 млн. лв. за пазарни мерки, което е 89,6 % изпълнение на годишния разчет от 44,3 млн. лева;</w:t>
      </w:r>
    </w:p>
    <w:p w14:paraId="6D8E3C6D"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10,6 млн. лв. суми за преструктуриране, 49,1 % от планираните 21,6 млн. лева.</w:t>
      </w:r>
    </w:p>
    <w:p w14:paraId="04B10C00" w14:textId="77777777" w:rsidR="00135ADC" w:rsidRPr="00141547" w:rsidRDefault="00135ADC" w:rsidP="00DB424A">
      <w:pPr>
        <w:tabs>
          <w:tab w:val="left" w:pos="851"/>
        </w:tabs>
        <w:ind w:firstLine="709"/>
        <w:jc w:val="both"/>
        <w:rPr>
          <w:sz w:val="12"/>
          <w:szCs w:val="12"/>
        </w:rPr>
      </w:pPr>
    </w:p>
    <w:p w14:paraId="17260CC8" w14:textId="77777777" w:rsidR="00135ADC" w:rsidRPr="00141547" w:rsidRDefault="00135ADC" w:rsidP="00DB424A">
      <w:pPr>
        <w:tabs>
          <w:tab w:val="left" w:pos="851"/>
        </w:tabs>
        <w:ind w:firstLine="709"/>
        <w:jc w:val="both"/>
      </w:pPr>
      <w:r w:rsidRPr="00141547">
        <w:t>Възстановените суми от Европейския съюз към 3</w:t>
      </w:r>
      <w:r w:rsidRPr="00141547">
        <w:rPr>
          <w:lang w:val="ru-RU"/>
        </w:rPr>
        <w:t>1</w:t>
      </w:r>
      <w:r w:rsidRPr="00141547">
        <w:t>.</w:t>
      </w:r>
      <w:r w:rsidRPr="00141547">
        <w:rPr>
          <w:lang w:val="ru-RU"/>
        </w:rPr>
        <w:t>12</w:t>
      </w:r>
      <w:r w:rsidRPr="00141547">
        <w:t>.2022 г. възлизат общо на 1 </w:t>
      </w:r>
      <w:r w:rsidRPr="00141547">
        <w:rPr>
          <w:lang w:val="ru-RU"/>
        </w:rPr>
        <w:t>756,4</w:t>
      </w:r>
      <w:r w:rsidRPr="00141547">
        <w:rPr>
          <w:lang w:eastAsia="en-US"/>
        </w:rPr>
        <w:t> </w:t>
      </w:r>
      <w:r w:rsidRPr="00141547">
        <w:t xml:space="preserve">млн. лв., което е изпълнение от </w:t>
      </w:r>
      <w:r w:rsidRPr="00141547">
        <w:rPr>
          <w:lang w:val="ru-RU"/>
        </w:rPr>
        <w:t>1</w:t>
      </w:r>
      <w:r w:rsidRPr="00141547">
        <w:t>0</w:t>
      </w:r>
      <w:r w:rsidRPr="00141547">
        <w:rPr>
          <w:lang w:val="ru-RU"/>
        </w:rPr>
        <w:t>0,0</w:t>
      </w:r>
      <w:r w:rsidRPr="00141547">
        <w:t xml:space="preserve"> % от планираните за годината средства. За сравнение, към 31.12.2021 г. изпълнението също е било 100,0 процента.</w:t>
      </w:r>
    </w:p>
    <w:p w14:paraId="29C511A6" w14:textId="77777777" w:rsidR="00135ADC" w:rsidRPr="00141547" w:rsidRDefault="00135ADC" w:rsidP="00DB424A">
      <w:pPr>
        <w:tabs>
          <w:tab w:val="left" w:pos="851"/>
        </w:tabs>
        <w:ind w:firstLine="709"/>
        <w:jc w:val="both"/>
      </w:pPr>
      <w:r w:rsidRPr="00141547">
        <w:t>Възстановени са суми по следните направления:</w:t>
      </w:r>
    </w:p>
    <w:p w14:paraId="0842E19A"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1 518,2 млн. лв. за директни плащания от ЕФГЗ – 100,0 % на планираните средства;</w:t>
      </w:r>
    </w:p>
    <w:p w14:paraId="08D591B0"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 xml:space="preserve">182,7 млн. лв. от ЕЗФРСР, прехвърлени към директни плащания – 100,0 % на заложените средства; </w:t>
      </w:r>
    </w:p>
    <w:p w14:paraId="0442BE05" w14:textId="77777777" w:rsidR="00135ADC" w:rsidRPr="00141547" w:rsidRDefault="00135ADC" w:rsidP="00BD39E0">
      <w:pPr>
        <w:numPr>
          <w:ilvl w:val="0"/>
          <w:numId w:val="36"/>
        </w:numPr>
        <w:tabs>
          <w:tab w:val="left" w:pos="993"/>
        </w:tabs>
        <w:ind w:left="0" w:firstLine="709"/>
        <w:contextualSpacing/>
        <w:jc w:val="both"/>
        <w:rPr>
          <w:szCs w:val="20"/>
          <w:lang w:eastAsia="en-US"/>
        </w:rPr>
      </w:pPr>
      <w:r w:rsidRPr="00141547">
        <w:rPr>
          <w:szCs w:val="20"/>
          <w:lang w:eastAsia="en-US"/>
        </w:rPr>
        <w:t>36,4 млн. лв. за пазарни мерки от ЕФГЗ, 98,1 % изпълнение на планираните за годината 37,1 млн. лева;</w:t>
      </w:r>
    </w:p>
    <w:p w14:paraId="0F807852" w14:textId="77777777" w:rsidR="00135ADC" w:rsidRPr="00141547" w:rsidRDefault="00135ADC" w:rsidP="00BD39E0">
      <w:pPr>
        <w:numPr>
          <w:ilvl w:val="0"/>
          <w:numId w:val="36"/>
        </w:numPr>
        <w:tabs>
          <w:tab w:val="left" w:pos="993"/>
        </w:tabs>
        <w:ind w:left="0" w:firstLine="709"/>
        <w:contextualSpacing/>
        <w:jc w:val="both"/>
        <w:rPr>
          <w:lang w:eastAsia="en-US"/>
        </w:rPr>
      </w:pPr>
      <w:r w:rsidRPr="00141547">
        <w:rPr>
          <w:szCs w:val="20"/>
          <w:lang w:eastAsia="en-US"/>
        </w:rPr>
        <w:t>19,1 млн. лв. суми за преструктуриране от ЕФГЗ при планирани 18,4 млн. лв., изпълнение 103,8 %.</w:t>
      </w:r>
    </w:p>
    <w:p w14:paraId="4E94A599" w14:textId="77777777" w:rsidR="00135ADC" w:rsidRPr="00141547" w:rsidRDefault="00135ADC" w:rsidP="00DB424A">
      <w:pPr>
        <w:ind w:firstLine="709"/>
        <w:jc w:val="both"/>
        <w:rPr>
          <w:lang w:eastAsia="en-US"/>
        </w:rPr>
      </w:pPr>
      <w:r w:rsidRPr="00141547">
        <w:rPr>
          <w:lang w:eastAsia="en-US"/>
        </w:rPr>
        <w:t xml:space="preserve">Предоставените суми (нето) по разчети с ЦБ за финансиране на плащания при недостиг на средства по сметки възлизат на 153,5 млн. лева. при планирани 279,0 млн. лева. </w:t>
      </w:r>
    </w:p>
    <w:p w14:paraId="37A1C72F" w14:textId="77777777" w:rsidR="00135ADC" w:rsidRPr="007F675B" w:rsidRDefault="00135ADC" w:rsidP="00135ADC">
      <w:pPr>
        <w:pStyle w:val="Heading3"/>
        <w:numPr>
          <w:ilvl w:val="1"/>
          <w:numId w:val="10"/>
        </w:numPr>
        <w:rPr>
          <w:rFonts w:ascii="Times New Roman" w:hAnsi="Times New Roman"/>
          <w:sz w:val="24"/>
          <w:lang w:val="bg-BG"/>
        </w:rPr>
      </w:pPr>
      <w:r w:rsidRPr="007F675B">
        <w:rPr>
          <w:rFonts w:ascii="Times New Roman" w:hAnsi="Times New Roman" w:cs="Times New Roman"/>
          <w:b w:val="0"/>
          <w:bCs w:val="0"/>
          <w:sz w:val="24"/>
          <w:szCs w:val="24"/>
          <w:lang w:val="bg-BG"/>
        </w:rPr>
        <w:tab/>
      </w:r>
      <w:bookmarkStart w:id="528" w:name="_Toc11323454"/>
      <w:bookmarkStart w:id="529" w:name="_Toc136273546"/>
      <w:bookmarkStart w:id="530" w:name="_Toc146037943"/>
      <w:r w:rsidRPr="007F675B">
        <w:rPr>
          <w:rFonts w:ascii="Times New Roman" w:hAnsi="Times New Roman"/>
          <w:sz w:val="24"/>
          <w:lang w:val="bg-BG"/>
        </w:rPr>
        <w:t>Сметки за средствата от ЕС на общините</w:t>
      </w:r>
      <w:bookmarkEnd w:id="528"/>
      <w:bookmarkEnd w:id="529"/>
      <w:bookmarkEnd w:id="530"/>
      <w:r w:rsidRPr="007F675B">
        <w:rPr>
          <w:rFonts w:ascii="Times New Roman" w:hAnsi="Times New Roman"/>
          <w:sz w:val="24"/>
          <w:lang w:val="bg-BG"/>
        </w:rPr>
        <w:t xml:space="preserve"> </w:t>
      </w:r>
    </w:p>
    <w:p w14:paraId="54631F6E" w14:textId="7F299033" w:rsidR="00135ADC" w:rsidRDefault="00135ADC" w:rsidP="00135ADC">
      <w:pPr>
        <w:ind w:firstLine="709"/>
        <w:jc w:val="both"/>
      </w:pPr>
      <w:r>
        <w:t>По сметките за средства от ЕС на общините към 31.12.2022 г. са отчетени приходи и помощи в размер на 35,</w:t>
      </w:r>
      <w:r w:rsidR="00070E86" w:rsidRPr="00070E86">
        <w:rPr>
          <w:lang w:val="ru-RU"/>
        </w:rPr>
        <w:t>0</w:t>
      </w:r>
      <w:r>
        <w:t xml:space="preserve"> млн. лева.</w:t>
      </w:r>
    </w:p>
    <w:p w14:paraId="79B99221" w14:textId="4B8A5A33" w:rsidR="00135ADC" w:rsidRDefault="00135ADC" w:rsidP="00135ADC">
      <w:pPr>
        <w:widowControl w:val="0"/>
        <w:ind w:firstLine="737"/>
        <w:jc w:val="both"/>
      </w:pPr>
      <w:r>
        <w:t>Отчетените разходи са в размер на 999,</w:t>
      </w:r>
      <w:r w:rsidR="00070E86" w:rsidRPr="00070E86">
        <w:rPr>
          <w:lang w:val="ru-RU"/>
        </w:rPr>
        <w:t>4</w:t>
      </w:r>
      <w:r>
        <w:t xml:space="preserve"> млн. лв., в т.ч. </w:t>
      </w:r>
      <w:r w:rsidRPr="007F675B">
        <w:rPr>
          <w:lang w:val="ru-RU"/>
        </w:rPr>
        <w:t>70</w:t>
      </w:r>
      <w:r w:rsidR="00070E86" w:rsidRPr="00070E86">
        <w:rPr>
          <w:lang w:val="ru-RU"/>
        </w:rPr>
        <w:t>8</w:t>
      </w:r>
      <w:r w:rsidR="00070E86">
        <w:rPr>
          <w:lang w:val="ru-RU"/>
        </w:rPr>
        <w:t>,</w:t>
      </w:r>
      <w:r w:rsidR="00070E86" w:rsidRPr="00070E86">
        <w:rPr>
          <w:lang w:val="ru-RU"/>
        </w:rPr>
        <w:t>1</w:t>
      </w:r>
      <w:r>
        <w:t xml:space="preserve"> млн. лв. капиталови разходи (</w:t>
      </w:r>
      <w:r w:rsidRPr="007F675B">
        <w:rPr>
          <w:lang w:val="ru-RU"/>
        </w:rPr>
        <w:t>70,8</w:t>
      </w:r>
      <w:r>
        <w:rPr>
          <w:lang w:val="ru-RU"/>
        </w:rPr>
        <w:t xml:space="preserve"> </w:t>
      </w:r>
      <w:r>
        <w:t>% от общо разходите) и 291,</w:t>
      </w:r>
      <w:r w:rsidR="00070E86">
        <w:t>4</w:t>
      </w:r>
      <w:r>
        <w:t xml:space="preserve"> млн. лв. (29,2 % от общо разходите) текущи разходи. По-големият размер на отчетените капиталови разходи показва, че общините използват възможностите на европейските програми </w:t>
      </w:r>
      <w:r w:rsidR="00070E86">
        <w:t>за</w:t>
      </w:r>
      <w:r>
        <w:t xml:space="preserve"> финансира</w:t>
      </w:r>
      <w:r w:rsidR="00070E86">
        <w:t>не</w:t>
      </w:r>
      <w:r>
        <w:t xml:space="preserve"> на инвестиционни разходи</w:t>
      </w:r>
      <w:r w:rsidR="00070E86">
        <w:t xml:space="preserve"> по проекти</w:t>
      </w:r>
      <w:r>
        <w:t xml:space="preserve">, за които бюджетните им приходи са недостатъчни. </w:t>
      </w:r>
    </w:p>
    <w:p w14:paraId="5F27EDA7" w14:textId="2AE33C4D" w:rsidR="00135ADC" w:rsidRDefault="00135ADC" w:rsidP="00135ADC">
      <w:pPr>
        <w:ind w:firstLine="709"/>
        <w:jc w:val="both"/>
      </w:pPr>
      <w:r>
        <w:t>По отрасли към 31.12.2022 г. най-много са отчетените разходи във функция VІ „Жилищно строителство, благоустройство, комунално стопанство и опазване на околната среда“ – 430,3 млн. лв. (43,1 %) от общия размер на разходите. След тях са отчетените разходи от общините във функция VІІІ „Икономически дейности и услуги“ – 186,3 млн. лв. или 18,6 % и във функция V „Социално осигуряване, подпомагане и грижи“ – 165,</w:t>
      </w:r>
      <w:r w:rsidR="00070E86">
        <w:t>4</w:t>
      </w:r>
      <w:r>
        <w:t xml:space="preserve"> млн. лв. (16,5 %).</w:t>
      </w:r>
    </w:p>
    <w:p w14:paraId="19D50EA4" w14:textId="77777777" w:rsidR="00135ADC" w:rsidRDefault="00135ADC" w:rsidP="00135ADC">
      <w:pPr>
        <w:ind w:firstLine="708"/>
        <w:jc w:val="both"/>
      </w:pPr>
      <w:r>
        <w:t>В отчетените разходи най-голям е делът на тези, отчетени в сметките за средства по програми, администрирани от Националния фонд – 71,9 %, следват разходите, администрирани от Разплащателната агенция към ДФ „Земеделие“ – 18,6 %, отчетените разходи в други европейски средства – 6,9 % и в други международни програми – 2,6 процента.</w:t>
      </w:r>
    </w:p>
    <w:p w14:paraId="1D9F5D6E" w14:textId="10EB37E2" w:rsidR="00135ADC" w:rsidRDefault="00135ADC" w:rsidP="00135ADC">
      <w:pPr>
        <w:ind w:firstLine="708"/>
        <w:jc w:val="both"/>
      </w:pPr>
      <w:r>
        <w:t xml:space="preserve">През 2022 г. по сметките за средства от ЕС общините са отчели временни безлихвени заеми (нето) в размер на </w:t>
      </w:r>
      <w:r w:rsidR="00070E86">
        <w:t>9,2</w:t>
      </w:r>
      <w:r>
        <w:t xml:space="preserve"> млн. лева. </w:t>
      </w:r>
    </w:p>
    <w:p w14:paraId="05D0131D" w14:textId="5C1DFD0D" w:rsidR="00135ADC" w:rsidRDefault="00135ADC" w:rsidP="00135ADC">
      <w:pPr>
        <w:widowControl w:val="0"/>
        <w:ind w:firstLine="709"/>
        <w:jc w:val="both"/>
      </w:pPr>
      <w:r>
        <w:t>Размерът на трансферите по сметките за средства от ЕС към края на месец декември 2022 г. е 87</w:t>
      </w:r>
      <w:r w:rsidR="00070E86">
        <w:t>2,2</w:t>
      </w:r>
      <w:r>
        <w:t xml:space="preserve"> млн. лева. </w:t>
      </w:r>
    </w:p>
    <w:p w14:paraId="1A7A0452" w14:textId="6660CCFC" w:rsidR="00135ADC" w:rsidRDefault="00135ADC" w:rsidP="00135ADC">
      <w:pPr>
        <w:tabs>
          <w:tab w:val="num" w:pos="0"/>
        </w:tabs>
        <w:jc w:val="both"/>
        <w:rPr>
          <w:b/>
        </w:rPr>
      </w:pPr>
      <w:r>
        <w:tab/>
        <w:t>Бюджетното салдо по сметки от финансово-правна форма СЕС на общините към 31.12.2022 г. е отрицателно - в размер на 8</w:t>
      </w:r>
      <w:r w:rsidR="00070E86">
        <w:t>3,0</w:t>
      </w:r>
      <w:r>
        <w:t xml:space="preserve"> млн. лева</w:t>
      </w:r>
      <w:r>
        <w:rPr>
          <w:b/>
        </w:rPr>
        <w:t xml:space="preserve">. </w:t>
      </w:r>
    </w:p>
    <w:p w14:paraId="56048DE3" w14:textId="77777777" w:rsidR="00135ADC" w:rsidRDefault="00135ADC" w:rsidP="00135ADC">
      <w:pPr>
        <w:widowControl w:val="0"/>
        <w:ind w:firstLine="737"/>
        <w:jc w:val="both"/>
        <w:rPr>
          <w:lang w:eastAsia="en-US"/>
        </w:rPr>
      </w:pPr>
      <w:r>
        <w:t>Наличностите по сметки в края на 2022 г. са 154,5 млн. лева.</w:t>
      </w:r>
    </w:p>
    <w:p w14:paraId="66B4A9A7" w14:textId="4194B298" w:rsidR="00BF0B56" w:rsidRPr="007B48E9" w:rsidRDefault="00BF0B56" w:rsidP="00BF0B56">
      <w:pPr>
        <w:widowControl w:val="0"/>
        <w:ind w:firstLine="737"/>
        <w:jc w:val="both"/>
        <w:rPr>
          <w:color w:val="0070C0"/>
        </w:rPr>
      </w:pPr>
    </w:p>
    <w:p w14:paraId="3BDD5C23" w14:textId="06936DF2" w:rsidR="006437CB" w:rsidRPr="00062E5C" w:rsidRDefault="00477F96" w:rsidP="004D74B5">
      <w:pPr>
        <w:pStyle w:val="Heading2"/>
        <w:numPr>
          <w:ilvl w:val="1"/>
          <w:numId w:val="4"/>
        </w:numPr>
        <w:rPr>
          <w:rFonts w:ascii="Times New Roman" w:hAnsi="Times New Roman" w:cs="Times New Roman"/>
          <w:i w:val="0"/>
          <w:iCs w:val="0"/>
          <w:sz w:val="24"/>
        </w:rPr>
      </w:pPr>
      <w:bookmarkStart w:id="531" w:name="_Toc146037944"/>
      <w:r w:rsidRPr="00062E5C">
        <w:rPr>
          <w:rFonts w:ascii="Times New Roman" w:hAnsi="Times New Roman" w:cs="Times New Roman"/>
          <w:i w:val="0"/>
          <w:iCs w:val="0"/>
          <w:sz w:val="24"/>
        </w:rPr>
        <w:t>Б</w:t>
      </w:r>
      <w:r w:rsidR="006437CB" w:rsidRPr="00062E5C">
        <w:rPr>
          <w:rFonts w:ascii="Times New Roman" w:hAnsi="Times New Roman" w:cs="Times New Roman"/>
          <w:i w:val="0"/>
          <w:iCs w:val="0"/>
          <w:sz w:val="24"/>
        </w:rPr>
        <w:t xml:space="preserve">юджети по чл. 13, ал. 4 </w:t>
      </w:r>
      <w:r w:rsidR="00E4121B" w:rsidRPr="00062E5C">
        <w:rPr>
          <w:rFonts w:ascii="Times New Roman" w:hAnsi="Times New Roman" w:cs="Times New Roman"/>
          <w:i w:val="0"/>
          <w:iCs w:val="0"/>
          <w:sz w:val="24"/>
        </w:rPr>
        <w:t xml:space="preserve">от </w:t>
      </w:r>
      <w:r w:rsidR="006437CB" w:rsidRPr="00062E5C">
        <w:rPr>
          <w:rFonts w:ascii="Times New Roman" w:hAnsi="Times New Roman" w:cs="Times New Roman"/>
          <w:i w:val="0"/>
          <w:iCs w:val="0"/>
          <w:sz w:val="24"/>
        </w:rPr>
        <w:t>Закона за публичните финанси</w:t>
      </w:r>
      <w:bookmarkEnd w:id="531"/>
    </w:p>
    <w:p w14:paraId="750C8384" w14:textId="7C186879" w:rsidR="001D3251" w:rsidRPr="00062E5C" w:rsidRDefault="001D3251" w:rsidP="004D74B5">
      <w:pPr>
        <w:pStyle w:val="Heading3"/>
        <w:numPr>
          <w:ilvl w:val="1"/>
          <w:numId w:val="11"/>
        </w:numPr>
        <w:ind w:left="1077" w:hanging="357"/>
        <w:rPr>
          <w:rFonts w:ascii="Times New Roman" w:hAnsi="Times New Roman"/>
          <w:sz w:val="24"/>
          <w:lang w:val="bg-BG"/>
        </w:rPr>
      </w:pPr>
      <w:bookmarkStart w:id="532" w:name="_Toc51339869"/>
      <w:bookmarkStart w:id="533" w:name="_Toc146037945"/>
      <w:bookmarkEnd w:id="510"/>
      <w:bookmarkEnd w:id="511"/>
      <w:bookmarkEnd w:id="512"/>
      <w:bookmarkEnd w:id="513"/>
      <w:bookmarkEnd w:id="514"/>
      <w:bookmarkEnd w:id="515"/>
      <w:r w:rsidRPr="00062E5C">
        <w:rPr>
          <w:rFonts w:ascii="Times New Roman" w:hAnsi="Times New Roman"/>
          <w:sz w:val="24"/>
          <w:lang w:val="bg-BG"/>
        </w:rPr>
        <w:t>Предприятие за управление на дейностите по опазване на околната среда</w:t>
      </w:r>
      <w:bookmarkEnd w:id="532"/>
      <w:bookmarkEnd w:id="533"/>
    </w:p>
    <w:p w14:paraId="57CD4761" w14:textId="77777777" w:rsidR="00C5718A" w:rsidRPr="00D874BD" w:rsidRDefault="00C5718A" w:rsidP="004D065C">
      <w:pPr>
        <w:ind w:firstLine="720"/>
        <w:jc w:val="both"/>
        <w:rPr>
          <w:iCs/>
        </w:rPr>
      </w:pPr>
      <w:r w:rsidRPr="00D874BD">
        <w:rPr>
          <w:iCs/>
        </w:rPr>
        <w:t xml:space="preserve">Постъпилите през 2022 г. неданъчни </w:t>
      </w:r>
      <w:r w:rsidRPr="00D874BD">
        <w:rPr>
          <w:b/>
          <w:i/>
          <w:iCs/>
        </w:rPr>
        <w:t>приходи</w:t>
      </w:r>
      <w:r w:rsidRPr="00D874BD">
        <w:rPr>
          <w:iCs/>
        </w:rPr>
        <w:t xml:space="preserve"> по бюдже</w:t>
      </w:r>
      <w:r>
        <w:rPr>
          <w:iCs/>
        </w:rPr>
        <w:t>та на ПУДООС са в размер на 21,0</w:t>
      </w:r>
      <w:r w:rsidRPr="00D874BD">
        <w:rPr>
          <w:iCs/>
        </w:rPr>
        <w:t xml:space="preserve"> млн. лв. Разчетените приходи в Консолидираната фискална програма за 2022 г. (КФП) по</w:t>
      </w:r>
      <w:r>
        <w:rPr>
          <w:iCs/>
        </w:rPr>
        <w:t xml:space="preserve"> бюджета на ПУДООС възлизат на 11,5</w:t>
      </w:r>
      <w:r w:rsidRPr="00D874BD">
        <w:rPr>
          <w:iCs/>
        </w:rPr>
        <w:t xml:space="preserve"> млн. лв., а по уточнен план /УП/ възлизат на 19,7 млн. лв.</w:t>
      </w:r>
    </w:p>
    <w:p w14:paraId="79382ADA" w14:textId="77777777" w:rsidR="00C5718A" w:rsidRPr="00D874BD" w:rsidRDefault="00C5718A" w:rsidP="004D065C">
      <w:pPr>
        <w:ind w:firstLine="720"/>
        <w:jc w:val="both"/>
        <w:rPr>
          <w:iCs/>
        </w:rPr>
      </w:pPr>
      <w:r w:rsidRPr="00D874BD">
        <w:rPr>
          <w:iCs/>
        </w:rPr>
        <w:t>ПУДООС отчита приходи от държавни такси в размер на 4,1 млн. лв. при разчет 3,7 млн. лв. или изпълнението възлиза на 111</w:t>
      </w:r>
      <w:r>
        <w:rPr>
          <w:iCs/>
        </w:rPr>
        <w:t xml:space="preserve">,7 </w:t>
      </w:r>
      <w:r w:rsidRPr="00D874BD">
        <w:rPr>
          <w:iCs/>
        </w:rPr>
        <w:t>%. От приходите по държавните такси с най-голям процент са приходите администрирани по бюджета на ПУДООС по ЗУО за МПС-та в размер на 3 млн. лв.</w:t>
      </w:r>
    </w:p>
    <w:p w14:paraId="7AD0EC7F" w14:textId="77777777" w:rsidR="00C5718A" w:rsidRPr="00D874BD" w:rsidRDefault="00C5718A" w:rsidP="004D065C">
      <w:pPr>
        <w:ind w:firstLine="720"/>
        <w:jc w:val="both"/>
        <w:rPr>
          <w:iCs/>
        </w:rPr>
      </w:pPr>
      <w:r w:rsidRPr="00D874BD">
        <w:rPr>
          <w:iCs/>
        </w:rPr>
        <w:t xml:space="preserve">Постъпилите приходи от глоби, санкции и наказателни лихви са в размер на 2 млн. лв. като по </w:t>
      </w:r>
      <w:r>
        <w:rPr>
          <w:iCs/>
        </w:rPr>
        <w:t>разчет</w:t>
      </w:r>
      <w:r w:rsidRPr="00D874BD">
        <w:rPr>
          <w:iCs/>
        </w:rPr>
        <w:t xml:space="preserve"> са 1,3 млн. лв. </w:t>
      </w:r>
    </w:p>
    <w:p w14:paraId="3C0DB55B" w14:textId="5A6E4850" w:rsidR="00C5718A" w:rsidRPr="00D874BD" w:rsidRDefault="00C5718A" w:rsidP="004D065C">
      <w:pPr>
        <w:ind w:firstLine="720"/>
        <w:jc w:val="both"/>
        <w:rPr>
          <w:iCs/>
        </w:rPr>
      </w:pPr>
      <w:r w:rsidRPr="00D874BD">
        <w:rPr>
          <w:iCs/>
        </w:rPr>
        <w:t xml:space="preserve">През 2022 г. по бюджета на ПУДООС са отчетени приходи от продажба на квоти на парникови газове от авиационна дейност в общ размер на 13,2 млн. лв., в т.ч. 7,4 млн. лв. приходи от квоти съгласно РМС № 814 от 2022 г. за одобряване на проект на Споразумение за прехвърляне на годишно разпределено количество емисии между Република България и Федерална република Германия, както и приходи от продажба на квоти в размер на 0,2 млн. лв. съгласно РМС № 175 от 2017 г. за одобряване на Споразумение за прехвърляне на годишно разпределено количество емисии </w:t>
      </w:r>
      <w:r w:rsidR="0055393A" w:rsidRPr="00546F27">
        <w:rPr>
          <w:iCs/>
        </w:rPr>
        <w:t>(Annual emissions allocations – AEAs</w:t>
      </w:r>
      <w:r w:rsidR="0055393A">
        <w:rPr>
          <w:iCs/>
        </w:rPr>
        <w:t xml:space="preserve">) </w:t>
      </w:r>
      <w:r w:rsidRPr="00D874BD">
        <w:rPr>
          <w:iCs/>
        </w:rPr>
        <w:t>между Репуб</w:t>
      </w:r>
      <w:r>
        <w:rPr>
          <w:iCs/>
        </w:rPr>
        <w:t>лика България и Република Малта</w:t>
      </w:r>
      <w:r w:rsidRPr="00D874BD">
        <w:rPr>
          <w:iCs/>
        </w:rPr>
        <w:t>.</w:t>
      </w:r>
    </w:p>
    <w:p w14:paraId="74F32937" w14:textId="77777777" w:rsidR="00C5718A" w:rsidRPr="00C82E06" w:rsidRDefault="00C5718A" w:rsidP="004D065C">
      <w:pPr>
        <w:ind w:firstLine="720"/>
        <w:jc w:val="both"/>
      </w:pPr>
      <w:r w:rsidRPr="00C82E06">
        <w:t xml:space="preserve">Предприятието за управление на дейностите по опазване на околната среда е отчело </w:t>
      </w:r>
      <w:r w:rsidRPr="00C82E06">
        <w:rPr>
          <w:b/>
          <w:i/>
        </w:rPr>
        <w:t>разходи</w:t>
      </w:r>
      <w:r w:rsidRPr="00C82E06">
        <w:t xml:space="preserve"> през 2022 г. в размер на 18,7 млн. лв., като с най-голям дял представляват капиталовите трансфери за Националния доверителен екофонд</w:t>
      </w:r>
      <w:r>
        <w:t>,</w:t>
      </w:r>
      <w:r w:rsidRPr="00C82E06">
        <w:t xml:space="preserve"> на който в изпълнение на Закона за ограничаване изменението на климата са предоставени приходите от продажба на </w:t>
      </w:r>
      <w:r>
        <w:t>квоти в размер на  13,2 млн. лв., следват  разходите за персонал – 2,8 млн. лв. и</w:t>
      </w:r>
      <w:r w:rsidRPr="00C82E06">
        <w:t xml:space="preserve"> 1,9 млн. лв. за текуща издръжка.</w:t>
      </w:r>
    </w:p>
    <w:p w14:paraId="2F8115EC" w14:textId="77777777" w:rsidR="00C5718A" w:rsidRPr="008F365D" w:rsidRDefault="00C5718A" w:rsidP="00BA4CA0">
      <w:pPr>
        <w:ind w:firstLine="720"/>
        <w:jc w:val="both"/>
        <w:rPr>
          <w:iCs/>
        </w:rPr>
      </w:pPr>
      <w:r w:rsidRPr="008F365D">
        <w:rPr>
          <w:iCs/>
        </w:rPr>
        <w:t xml:space="preserve">Към края на 2021 г. нетният размер на </w:t>
      </w:r>
      <w:r w:rsidRPr="008F365D">
        <w:rPr>
          <w:b/>
          <w:i/>
          <w:iCs/>
        </w:rPr>
        <w:t>трансферите</w:t>
      </w:r>
      <w:r w:rsidRPr="008F365D">
        <w:rPr>
          <w:iCs/>
        </w:rPr>
        <w:t xml:space="preserve">, отчетени от ПУДООС е  отрицателен  </w:t>
      </w:r>
      <w:r w:rsidRPr="008F365D">
        <w:rPr>
          <w:iCs/>
          <w:lang w:val="ru-RU"/>
        </w:rPr>
        <w:t>(</w:t>
      </w:r>
      <w:r>
        <w:rPr>
          <w:iCs/>
        </w:rPr>
        <w:t>-14,5</w:t>
      </w:r>
      <w:r w:rsidRPr="008F365D">
        <w:rPr>
          <w:iCs/>
          <w:lang w:val="ru-RU"/>
        </w:rPr>
        <w:t>)</w:t>
      </w:r>
      <w:r w:rsidRPr="008F365D">
        <w:rPr>
          <w:iCs/>
        </w:rPr>
        <w:t xml:space="preserve"> млн. лв. Нетният размер на </w:t>
      </w:r>
      <w:r w:rsidRPr="008F365D">
        <w:rPr>
          <w:b/>
          <w:i/>
          <w:iCs/>
        </w:rPr>
        <w:t>временните безлихвени заеми</w:t>
      </w:r>
      <w:r>
        <w:rPr>
          <w:iCs/>
        </w:rPr>
        <w:t xml:space="preserve"> за 2021 г. е 3,9</w:t>
      </w:r>
      <w:r w:rsidRPr="008F365D">
        <w:rPr>
          <w:iCs/>
        </w:rPr>
        <w:t xml:space="preserve"> млн. лв.</w:t>
      </w:r>
    </w:p>
    <w:p w14:paraId="0632CACA" w14:textId="77777777" w:rsidR="00C5718A" w:rsidRDefault="00C5718A" w:rsidP="00BA4CA0">
      <w:pPr>
        <w:ind w:firstLine="720"/>
        <w:jc w:val="both"/>
        <w:rPr>
          <w:iCs/>
          <w:color w:val="0070C0"/>
        </w:rPr>
      </w:pPr>
      <w:r w:rsidRPr="00C82E06">
        <w:t>Към 31.12.2022 г. Предприятието за управление на дейностите по опазване на околната среда има просрочени вземания в размер на 20,7 млн. лв. от заеми и няма просрочени задължения.</w:t>
      </w:r>
    </w:p>
    <w:p w14:paraId="659A68DE" w14:textId="77777777" w:rsidR="00C5718A" w:rsidRPr="00C5718A" w:rsidRDefault="00C5718A" w:rsidP="00C5718A">
      <w:pPr>
        <w:pStyle w:val="Heading3"/>
        <w:numPr>
          <w:ilvl w:val="1"/>
          <w:numId w:val="11"/>
        </w:numPr>
        <w:ind w:left="1077" w:hanging="357"/>
        <w:rPr>
          <w:rFonts w:ascii="Times New Roman" w:hAnsi="Times New Roman"/>
          <w:sz w:val="24"/>
          <w:lang w:val="bg-BG"/>
        </w:rPr>
      </w:pPr>
      <w:bookmarkStart w:id="534" w:name="_Toc494102677"/>
      <w:bookmarkStart w:id="535" w:name="_Toc525125634"/>
      <w:bookmarkStart w:id="536" w:name="_Toc51339870"/>
      <w:bookmarkStart w:id="537" w:name="_Toc106379624"/>
      <w:bookmarkStart w:id="538" w:name="_Toc137651544"/>
      <w:bookmarkStart w:id="539" w:name="_Toc146037946"/>
      <w:r w:rsidRPr="008F365D">
        <w:rPr>
          <w:rFonts w:ascii="Times New Roman" w:hAnsi="Times New Roman"/>
          <w:sz w:val="24"/>
          <w:lang w:val="bg-BG"/>
        </w:rPr>
        <w:t>Фонд „Сигурност на електроенергийната система“</w:t>
      </w:r>
      <w:bookmarkEnd w:id="534"/>
      <w:bookmarkEnd w:id="535"/>
      <w:bookmarkEnd w:id="536"/>
      <w:bookmarkEnd w:id="537"/>
      <w:bookmarkEnd w:id="538"/>
      <w:bookmarkEnd w:id="539"/>
      <w:r w:rsidRPr="008F365D">
        <w:rPr>
          <w:rFonts w:ascii="Times New Roman" w:hAnsi="Times New Roman"/>
          <w:sz w:val="24"/>
          <w:lang w:val="bg-BG"/>
        </w:rPr>
        <w:t xml:space="preserve"> </w:t>
      </w:r>
    </w:p>
    <w:p w14:paraId="6FB60368" w14:textId="77777777" w:rsidR="00C5718A" w:rsidRPr="00DB553A" w:rsidRDefault="00C5718A" w:rsidP="00C5718A">
      <w:pPr>
        <w:ind w:firstLine="720"/>
        <w:jc w:val="both"/>
      </w:pPr>
      <w:r w:rsidRPr="00DB553A">
        <w:t>Постъпилите през 2022 г. приходи във фонд „Сигурност на електроенергийната система“ /фонда/ са в размер на 6 333,4 млн. лв. Изпълнението им спрямо годишните разчетени  приходи</w:t>
      </w:r>
      <w:r>
        <w:t xml:space="preserve"> в Консолидираната фискална програма </w:t>
      </w:r>
      <w:r w:rsidRPr="00BB7F85">
        <w:rPr>
          <w:lang w:val="ru-RU"/>
        </w:rPr>
        <w:t>(</w:t>
      </w:r>
      <w:r>
        <w:t>КФП</w:t>
      </w:r>
      <w:r w:rsidRPr="00BB7F85">
        <w:rPr>
          <w:lang w:val="ru-RU"/>
        </w:rPr>
        <w:t>)</w:t>
      </w:r>
      <w:r w:rsidRPr="00DB553A">
        <w:t xml:space="preserve"> от 2 644,5 млн. лв. е 239,5 %., а спрямо достигнатите по уточнен план /УП/ 9 905,7 млн. лв. -  63,9 %.</w:t>
      </w:r>
    </w:p>
    <w:p w14:paraId="34ADA92A" w14:textId="77777777" w:rsidR="00C5718A" w:rsidRPr="00DB553A" w:rsidRDefault="00C5718A" w:rsidP="00C5718A">
      <w:pPr>
        <w:ind w:firstLine="720"/>
        <w:jc w:val="both"/>
      </w:pPr>
      <w:r w:rsidRPr="00DB553A">
        <w:t>Постъпленията от отделните приходи, са както следва:</w:t>
      </w:r>
    </w:p>
    <w:p w14:paraId="053F77D1" w14:textId="77777777" w:rsidR="00C5718A" w:rsidRPr="00DB553A" w:rsidRDefault="00C5718A" w:rsidP="00C5718A">
      <w:pPr>
        <w:tabs>
          <w:tab w:val="left" w:pos="993"/>
        </w:tabs>
        <w:ind w:firstLine="720"/>
        <w:jc w:val="both"/>
      </w:pPr>
      <w:r w:rsidRPr="00DB553A">
        <w:t>-</w:t>
      </w:r>
      <w:r w:rsidRPr="00DB553A">
        <w:tab/>
        <w:t>3 181,0 млн. лв. от вноски от приходи на държавни (общински) предприятия и институции (целеви вноски от публичните предприятия по смисъла на чл. 2, ал. 1 от Закона за публичните предприятия от сектор енергетика със 100 на 100 държавно участие в капитала съгласно § 24 от ПЗР на ЗИД на ЗДБРБ за 2022 г.), като изпълнението им спрямо достигнатите по УП 6 498,3 млн. лв. е 49</w:t>
      </w:r>
      <w:r>
        <w:rPr>
          <w:lang w:val="ru-RU"/>
        </w:rPr>
        <w:t>,0</w:t>
      </w:r>
      <w:r w:rsidRPr="00DB553A">
        <w:t xml:space="preserve"> %;</w:t>
      </w:r>
    </w:p>
    <w:p w14:paraId="6EE4524F" w14:textId="77777777" w:rsidR="00C5718A" w:rsidRPr="00DB553A" w:rsidRDefault="00C5718A" w:rsidP="00C5718A">
      <w:pPr>
        <w:tabs>
          <w:tab w:val="left" w:pos="993"/>
        </w:tabs>
        <w:ind w:firstLine="720"/>
        <w:jc w:val="both"/>
      </w:pPr>
      <w:r w:rsidRPr="00DB553A">
        <w:t>-</w:t>
      </w:r>
      <w:r w:rsidRPr="00DB553A">
        <w:tab/>
        <w:t>0,1 млн. лв. приходи от глоби, санкции и наказателни лихви, като изпълнението им спрямо годишните разчети от 1,0 млн</w:t>
      </w:r>
      <w:r>
        <w:t>. лв. е 11</w:t>
      </w:r>
      <w:r w:rsidRPr="00DB553A">
        <w:t>,</w:t>
      </w:r>
      <w:r>
        <w:t>8</w:t>
      </w:r>
      <w:r w:rsidRPr="00DB553A">
        <w:t xml:space="preserve"> %;</w:t>
      </w:r>
    </w:p>
    <w:p w14:paraId="4836822E" w14:textId="77777777" w:rsidR="00C5718A" w:rsidRPr="00DB553A" w:rsidRDefault="00C5718A" w:rsidP="00C5718A">
      <w:pPr>
        <w:tabs>
          <w:tab w:val="left" w:pos="993"/>
        </w:tabs>
        <w:ind w:firstLine="720"/>
        <w:jc w:val="both"/>
      </w:pPr>
      <w:r w:rsidRPr="00DB553A">
        <w:t>-</w:t>
      </w:r>
      <w:r w:rsidRPr="00DB553A">
        <w:tab/>
        <w:t>1 017,8  млн.  лв.  други  неданъчни  приходи,  в  т.ч.  от  5 %-ни  вноски  и  от цена „Задължение към обществото“, като изпълнението им спрямо годините разчетени приходи от 664,2 млн. лв. е 153,2 %, а спрямо достигнатите по УП 928,9 млн. лв. – 109,6 %;</w:t>
      </w:r>
    </w:p>
    <w:p w14:paraId="6E2D04B0" w14:textId="77777777" w:rsidR="00C5718A" w:rsidRPr="00DB553A" w:rsidRDefault="00C5718A" w:rsidP="00C5718A">
      <w:pPr>
        <w:tabs>
          <w:tab w:val="left" w:pos="993"/>
        </w:tabs>
        <w:ind w:firstLine="720"/>
        <w:jc w:val="both"/>
      </w:pPr>
      <w:r w:rsidRPr="00DB553A">
        <w:t>-</w:t>
      </w:r>
      <w:r w:rsidRPr="00DB553A">
        <w:tab/>
        <w:t xml:space="preserve">2 134,5 млн. лв. приходи, получени от търговете за продажба на квоти по чл. 57, ал. 1 от Закона за ограничаване изменението на климата, като изпълнението им спрямо разчетените 1 979,3 млн. лв. е 107,8 %, а спрямо достигнатите по УП 2 477,5 млн. лв. – 86,2  %. </w:t>
      </w:r>
    </w:p>
    <w:p w14:paraId="5019B5F1" w14:textId="77777777" w:rsidR="00C5718A" w:rsidRPr="00B3510D" w:rsidRDefault="00C5718A" w:rsidP="00C5718A">
      <w:pPr>
        <w:ind w:firstLine="720"/>
        <w:jc w:val="both"/>
      </w:pPr>
      <w:r w:rsidRPr="00B3510D">
        <w:t xml:space="preserve">Отчетените към 31.12.2022 г. </w:t>
      </w:r>
      <w:r w:rsidRPr="00B3510D">
        <w:rPr>
          <w:b/>
          <w:i/>
        </w:rPr>
        <w:t>разходи</w:t>
      </w:r>
      <w:r w:rsidRPr="00B3510D">
        <w:t xml:space="preserve"> на фонда са в размер на 6 383,8 млн. лв., като изпълнението им спрямо </w:t>
      </w:r>
      <w:r>
        <w:t xml:space="preserve">разчетените по КФП 2 644,5 млн. лв. е 241,4 </w:t>
      </w:r>
      <w:r w:rsidRPr="00B3510D">
        <w:t>%, а спрямо достигнатит</w:t>
      </w:r>
      <w:r>
        <w:t>е по УП 9 956,9 млн. лв. – 64,1</w:t>
      </w:r>
      <w:r w:rsidRPr="00B3510D">
        <w:t xml:space="preserve"> %.</w:t>
      </w:r>
    </w:p>
    <w:p w14:paraId="0565CEDF" w14:textId="77777777" w:rsidR="00C5718A" w:rsidRPr="00B3510D" w:rsidRDefault="00C5718A" w:rsidP="00C5718A">
      <w:pPr>
        <w:ind w:firstLine="720"/>
        <w:jc w:val="both"/>
      </w:pPr>
      <w:r w:rsidRPr="00B3510D">
        <w:t>В сравнение с предходната година разходите на фонда са по-големи</w:t>
      </w:r>
      <w:r>
        <w:t xml:space="preserve"> с</w:t>
      </w:r>
      <w:r w:rsidRPr="00B3510D">
        <w:t xml:space="preserve">  3 815,3 млн. лв., което основно се дължи на увеличение на приходите на фонда, в т. ч. от целеви вноски от публичните предприятия по смисъла на чл. 2, ал. 1 от Закона за публичните предприятия от сектор </w:t>
      </w:r>
      <w:r>
        <w:t>„Е</w:t>
      </w:r>
      <w:r w:rsidRPr="00B3510D">
        <w:t>нергетика</w:t>
      </w:r>
      <w:r>
        <w:t>“</w:t>
      </w:r>
      <w:r w:rsidRPr="00B3510D">
        <w:t xml:space="preserve"> със 100 на сто държавно участие в капитала, които се използват за покриване на разходи по чл. 36б, ал. 1, т. 4 от Закона за енергетиката (§ 24 от ПЗР на ЗДБРБ за 2022 г.) и от продажба на квоти за емисии на парникови газове по Закона за ограничаване изменението на климата вследствие значителното</w:t>
      </w:r>
      <w:r>
        <w:t xml:space="preserve"> покачване на цената евро/квота.</w:t>
      </w:r>
    </w:p>
    <w:p w14:paraId="2DBDFF34" w14:textId="589C71DF" w:rsidR="00C5718A" w:rsidRPr="00B3510D" w:rsidRDefault="00C5718A" w:rsidP="00C5718A">
      <w:pPr>
        <w:ind w:firstLine="720"/>
        <w:jc w:val="both"/>
      </w:pPr>
      <w:r w:rsidRPr="00B3510D">
        <w:rPr>
          <w:color w:val="212121"/>
          <w:shd w:val="clear" w:color="auto" w:fill="FFFFFF"/>
        </w:rPr>
        <w:t xml:space="preserve">Увеличението на приходите на фонда води до увеличение на извършваните от фонда разходи. Основно увеличението на разходите се дължи на разходите за финансиране изпълнението на одобрените от Министерския съвет програми за компенсиране високите цени на енергията (чл. 36б, ал. 1, т. 4 от Закона за енергетиката), </w:t>
      </w:r>
      <w:r w:rsidRPr="00B3510D">
        <w:t xml:space="preserve">за покриване на извършените разходи от обществения доставчик, произтичащи от задълженията му по чл. 93а и </w:t>
      </w:r>
      <w:r w:rsidR="00EA70CE">
        <w:t xml:space="preserve">чл. </w:t>
      </w:r>
      <w:r w:rsidRPr="00B3510D">
        <w:t>94 от Закона за енергетиката /ЗЕ/, определени с решение на Комисията за енергийно и водно регулиране /КЕВР/, вкл. за минали регулаторни периоди, на разходите за предоставяне на премия на производителите по чл. 162а от ЗЕ и производител с обект на обща инсталирана мощност 500</w:t>
      </w:r>
      <w:r w:rsidRPr="00B3510D">
        <w:rPr>
          <w:lang w:val="ru-RU"/>
        </w:rPr>
        <w:t xml:space="preserve"> </w:t>
      </w:r>
      <w:r w:rsidRPr="00B3510D">
        <w:t>kW</w:t>
      </w:r>
      <w:r w:rsidRPr="00B3510D">
        <w:rPr>
          <w:lang w:val="ru-RU"/>
        </w:rPr>
        <w:t xml:space="preserve"> </w:t>
      </w:r>
      <w:r w:rsidRPr="00B3510D">
        <w:t>и над 500</w:t>
      </w:r>
      <w:r w:rsidRPr="00B3510D">
        <w:rPr>
          <w:lang w:val="ru-RU"/>
        </w:rPr>
        <w:t xml:space="preserve"> </w:t>
      </w:r>
      <w:r w:rsidRPr="00B3510D">
        <w:t>kW, по Закона за енергията от възобновяеми източници (ЗЕВИ), включително за минали регулаторни периоди и за лихви, договорени с рамково споразумение между фонда и кредитна или друга финансираща институция за финансиране на п</w:t>
      </w:r>
      <w:r>
        <w:t>роекти за енергийна ефективност.</w:t>
      </w:r>
      <w:r w:rsidRPr="00B3510D">
        <w:t xml:space="preserve"> Тези разходи са и с най-голям относителен дял от общо отчетените разходи (99</w:t>
      </w:r>
      <w:r w:rsidR="00010493">
        <w:t>,</w:t>
      </w:r>
      <w:r w:rsidRPr="00B3510D">
        <w:t>97 %).</w:t>
      </w:r>
    </w:p>
    <w:p w14:paraId="6CF43E96" w14:textId="77777777" w:rsidR="00C5718A" w:rsidRPr="00B3510D" w:rsidRDefault="00C5718A" w:rsidP="00C5718A">
      <w:pPr>
        <w:ind w:firstLine="720"/>
        <w:jc w:val="both"/>
      </w:pPr>
      <w:r w:rsidRPr="00B3510D">
        <w:t>Изпълнението на тези разходи, които са в разм</w:t>
      </w:r>
      <w:r>
        <w:t>ер на 6 382,1 млн. лв., е 241,7</w:t>
      </w:r>
      <w:r w:rsidRPr="00B3510D">
        <w:t xml:space="preserve"> % спрямо </w:t>
      </w:r>
      <w:r>
        <w:t>разчетените по</w:t>
      </w:r>
      <w:r w:rsidRPr="00B3510D">
        <w:t xml:space="preserve"> КФП 2 640,2 млн. лв., а спрямо достигнатит</w:t>
      </w:r>
      <w:r>
        <w:t>е по УП 9 949,1 млн. лв. – 64,2 </w:t>
      </w:r>
      <w:r w:rsidRPr="00B3510D">
        <w:t>%.</w:t>
      </w:r>
    </w:p>
    <w:p w14:paraId="7111F261" w14:textId="77777777" w:rsidR="00C5718A" w:rsidRPr="00B3510D" w:rsidRDefault="00C5718A" w:rsidP="00C5718A">
      <w:pPr>
        <w:ind w:firstLine="720"/>
        <w:jc w:val="both"/>
        <w:rPr>
          <w:lang w:val="ru-RU"/>
        </w:rPr>
      </w:pPr>
      <w:r w:rsidRPr="00B3510D">
        <w:t xml:space="preserve">Отчетените разходи за издръжка на фонда (в т. ч. персонал, издръжка и капиталови разходи) са в размер на 1,7 </w:t>
      </w:r>
      <w:r>
        <w:t>млн. лв. и са изпълнени на 40,3</w:t>
      </w:r>
      <w:r w:rsidRPr="00B3510D">
        <w:t xml:space="preserve"> % спрямо </w:t>
      </w:r>
      <w:r>
        <w:t>разчетените по</w:t>
      </w:r>
      <w:r w:rsidRPr="00B3510D">
        <w:t xml:space="preserve"> КФП 4,3 млн. лв., а спрямо достигнатите по УП 7,8 млн. лв. – 2</w:t>
      </w:r>
      <w:r>
        <w:t xml:space="preserve">2,0 </w:t>
      </w:r>
      <w:r w:rsidRPr="00B3510D">
        <w:t>%.</w:t>
      </w:r>
    </w:p>
    <w:p w14:paraId="588C7709" w14:textId="77777777" w:rsidR="00C5718A" w:rsidRPr="00D16218" w:rsidRDefault="00C5718A" w:rsidP="00D16218">
      <w:pPr>
        <w:pStyle w:val="Heading3"/>
        <w:numPr>
          <w:ilvl w:val="1"/>
          <w:numId w:val="11"/>
        </w:numPr>
        <w:ind w:left="1077" w:hanging="357"/>
        <w:rPr>
          <w:rFonts w:ascii="Times New Roman" w:hAnsi="Times New Roman"/>
          <w:sz w:val="24"/>
          <w:lang w:val="bg-BG"/>
        </w:rPr>
      </w:pPr>
      <w:r w:rsidRPr="00F244CD">
        <w:rPr>
          <w:rFonts w:ascii="Times New Roman" w:hAnsi="Times New Roman"/>
          <w:sz w:val="24"/>
          <w:lang w:val="bg-BG"/>
        </w:rPr>
        <w:t xml:space="preserve"> </w:t>
      </w:r>
      <w:bookmarkStart w:id="540" w:name="_Toc51339871"/>
      <w:bookmarkStart w:id="541" w:name="_Toc106379625"/>
      <w:bookmarkStart w:id="542" w:name="_Toc137651545"/>
      <w:bookmarkStart w:id="543" w:name="_Toc146037947"/>
      <w:r w:rsidRPr="00F244CD">
        <w:rPr>
          <w:rFonts w:ascii="Times New Roman" w:hAnsi="Times New Roman"/>
          <w:sz w:val="24"/>
          <w:lang w:val="bg-BG"/>
        </w:rPr>
        <w:t>Държавно предприятие „Научно-производствен център“</w:t>
      </w:r>
      <w:bookmarkEnd w:id="540"/>
      <w:bookmarkEnd w:id="541"/>
      <w:bookmarkEnd w:id="542"/>
      <w:bookmarkEnd w:id="543"/>
      <w:r w:rsidRPr="00F244CD">
        <w:rPr>
          <w:rFonts w:ascii="Times New Roman" w:hAnsi="Times New Roman"/>
          <w:sz w:val="24"/>
          <w:lang w:val="bg-BG"/>
        </w:rPr>
        <w:t xml:space="preserve"> </w:t>
      </w:r>
    </w:p>
    <w:p w14:paraId="1FBF8198" w14:textId="77777777" w:rsidR="00C5718A" w:rsidRPr="00350CF4" w:rsidRDefault="00C5718A" w:rsidP="00C5718A">
      <w:pPr>
        <w:ind w:firstLine="720"/>
        <w:jc w:val="both"/>
        <w:rPr>
          <w:color w:val="0070C0"/>
        </w:rPr>
      </w:pPr>
      <w:r w:rsidRPr="0026505E">
        <w:t xml:space="preserve">Отчетени </w:t>
      </w:r>
      <w:r w:rsidRPr="0026505E">
        <w:rPr>
          <w:b/>
          <w:i/>
        </w:rPr>
        <w:t>приходи</w:t>
      </w:r>
      <w:r w:rsidRPr="0026505E">
        <w:t xml:space="preserve"> за 2022 г. от </w:t>
      </w:r>
      <w:r w:rsidRPr="0026505E">
        <w:rPr>
          <w:bCs/>
        </w:rPr>
        <w:t>Държавно предприятие „Научно-производствен център“</w:t>
      </w:r>
      <w:r>
        <w:rPr>
          <w:bCs/>
        </w:rPr>
        <w:t xml:space="preserve"> </w:t>
      </w:r>
      <w:r w:rsidRPr="0026505E">
        <w:rPr>
          <w:bCs/>
          <w:lang w:val="ru-RU"/>
        </w:rPr>
        <w:t>(</w:t>
      </w:r>
      <w:r w:rsidRPr="0026505E">
        <w:t xml:space="preserve">ДП </w:t>
      </w:r>
      <w:r>
        <w:t>„</w:t>
      </w:r>
      <w:r w:rsidRPr="0026505E">
        <w:t>НПЦ</w:t>
      </w:r>
      <w:r>
        <w:t>“</w:t>
      </w:r>
      <w:r w:rsidRPr="0026505E">
        <w:rPr>
          <w:lang w:val="ru-RU"/>
        </w:rPr>
        <w:t>)</w:t>
      </w:r>
      <w:r w:rsidRPr="0026505E">
        <w:t xml:space="preserve"> са в размер на 2,3</w:t>
      </w:r>
      <w:r>
        <w:t xml:space="preserve"> млн. лв.</w:t>
      </w:r>
      <w:r w:rsidRPr="0026505E">
        <w:t xml:space="preserve"> и представляват основно приходи от продажба на услуги, стоки и продукция. Изпълнението  на приходите е 90,7 % от годишния им разчет за 2022 г. Спрямо предходната година отчетените приходи на ДП „НПЦ“ са нараснали с </w:t>
      </w:r>
      <w:r w:rsidRPr="0026505E">
        <w:rPr>
          <w:lang w:val="ru-RU"/>
        </w:rPr>
        <w:t>6,6</w:t>
      </w:r>
      <w:r w:rsidRPr="0026505E">
        <w:t>%.</w:t>
      </w:r>
    </w:p>
    <w:p w14:paraId="10DB5839" w14:textId="77777777" w:rsidR="00C5718A" w:rsidRPr="00350CF4" w:rsidRDefault="00C5718A" w:rsidP="00C5718A">
      <w:pPr>
        <w:ind w:firstLine="720"/>
        <w:jc w:val="both"/>
        <w:rPr>
          <w:color w:val="0070C0"/>
        </w:rPr>
      </w:pPr>
      <w:r w:rsidRPr="0026505E">
        <w:t xml:space="preserve">Отчетените </w:t>
      </w:r>
      <w:r>
        <w:rPr>
          <w:b/>
          <w:i/>
        </w:rPr>
        <w:t>разходи</w:t>
      </w:r>
      <w:r w:rsidRPr="0026505E">
        <w:t xml:space="preserve"> на ДП „НПЦ“ за 2022 г. са в размер на 3,3 млн. лв., при годишен разчет от 2,5 млн. лв. или  изпълнението</w:t>
      </w:r>
      <w:r>
        <w:t xml:space="preserve"> е</w:t>
      </w:r>
      <w:r w:rsidRPr="0026505E">
        <w:t xml:space="preserve"> 132,5</w:t>
      </w:r>
      <w:r>
        <w:t xml:space="preserve"> </w:t>
      </w:r>
      <w:r w:rsidRPr="0026505E">
        <w:t>% спрямо годишния разчет . От тях 1,7 мл</w:t>
      </w:r>
      <w:r>
        <w:t>н</w:t>
      </w:r>
      <w:r w:rsidRPr="0026505E">
        <w:t>. лв. са разходи за персонал (117,2</w:t>
      </w:r>
      <w:r>
        <w:t xml:space="preserve"> </w:t>
      </w:r>
      <w:r w:rsidRPr="0026505E">
        <w:t>% спрямо годишните разчети) и 1,6 млн. лв. са отчетените разходи за издръжка и други текущи разходи.</w:t>
      </w:r>
    </w:p>
    <w:p w14:paraId="49D4386E" w14:textId="77777777" w:rsidR="00C5718A" w:rsidRPr="00D16218" w:rsidRDefault="00C5718A" w:rsidP="00D16218">
      <w:pPr>
        <w:pStyle w:val="Heading3"/>
        <w:numPr>
          <w:ilvl w:val="1"/>
          <w:numId w:val="11"/>
        </w:numPr>
        <w:ind w:left="1077" w:hanging="357"/>
        <w:rPr>
          <w:rFonts w:ascii="Times New Roman" w:hAnsi="Times New Roman"/>
          <w:sz w:val="24"/>
          <w:lang w:val="bg-BG"/>
        </w:rPr>
      </w:pPr>
      <w:bookmarkStart w:id="544" w:name="_Toc51339872"/>
      <w:bookmarkStart w:id="545" w:name="_Toc106379626"/>
      <w:bookmarkStart w:id="546" w:name="_Toc137651546"/>
      <w:bookmarkStart w:id="547" w:name="_Toc146037948"/>
      <w:r w:rsidRPr="00F244CD">
        <w:rPr>
          <w:rFonts w:ascii="Times New Roman" w:hAnsi="Times New Roman"/>
          <w:sz w:val="24"/>
          <w:lang w:val="bg-BG"/>
        </w:rPr>
        <w:t>Държавно предприятие „Управление и стопанисване на язовири</w:t>
      </w:r>
      <w:bookmarkEnd w:id="544"/>
      <w:r w:rsidRPr="00F244CD">
        <w:rPr>
          <w:rFonts w:ascii="Times New Roman" w:hAnsi="Times New Roman"/>
          <w:sz w:val="24"/>
          <w:lang w:val="bg-BG"/>
        </w:rPr>
        <w:t>”</w:t>
      </w:r>
      <w:bookmarkEnd w:id="545"/>
      <w:bookmarkEnd w:id="546"/>
      <w:bookmarkEnd w:id="547"/>
    </w:p>
    <w:p w14:paraId="6D85B6DD" w14:textId="77777777" w:rsidR="00C5718A" w:rsidRPr="00F244CD" w:rsidRDefault="00C5718A" w:rsidP="00C5718A">
      <w:pPr>
        <w:ind w:firstLine="720"/>
        <w:jc w:val="both"/>
      </w:pPr>
      <w:r w:rsidRPr="00F244CD">
        <w:rPr>
          <w:lang w:val="ru-RU"/>
        </w:rPr>
        <w:t xml:space="preserve">Държавно предприятие „Управление и стопанисване на язовири“ (ДП </w:t>
      </w:r>
      <w:r w:rsidRPr="00F244CD">
        <w:t>„</w:t>
      </w:r>
      <w:r w:rsidRPr="00F244CD">
        <w:rPr>
          <w:lang w:val="ru-RU"/>
        </w:rPr>
        <w:t>УСЯ</w:t>
      </w:r>
      <w:r w:rsidRPr="00F244CD">
        <w:t>“</w:t>
      </w:r>
      <w:r w:rsidRPr="00F244CD">
        <w:rPr>
          <w:lang w:val="ru-RU"/>
        </w:rPr>
        <w:t xml:space="preserve">) няма планирани собствени </w:t>
      </w:r>
      <w:r w:rsidRPr="00F244CD">
        <w:rPr>
          <w:b/>
          <w:i/>
          <w:lang w:val="ru-RU"/>
        </w:rPr>
        <w:t>приходи</w:t>
      </w:r>
      <w:r w:rsidRPr="00F244CD">
        <w:rPr>
          <w:lang w:val="ru-RU"/>
        </w:rPr>
        <w:t xml:space="preserve"> по бюджета си за 2022 г. Отчетените приходи по бюджета на ДП </w:t>
      </w:r>
      <w:r w:rsidRPr="00F244CD">
        <w:t>„</w:t>
      </w:r>
      <w:r w:rsidRPr="00F244CD">
        <w:rPr>
          <w:lang w:val="ru-RU"/>
        </w:rPr>
        <w:t>УСЯ</w:t>
      </w:r>
      <w:r>
        <w:t>“</w:t>
      </w:r>
      <w:r w:rsidRPr="00F244CD">
        <w:rPr>
          <w:lang w:val="ru-RU"/>
        </w:rPr>
        <w:t xml:space="preserve"> са 0,06 млн. лв. приходи и доходи от собственост, както и внесен ДДС.</w:t>
      </w:r>
    </w:p>
    <w:p w14:paraId="3DC5337F" w14:textId="77777777" w:rsidR="00C5718A" w:rsidRPr="00F244CD" w:rsidRDefault="00C5718A" w:rsidP="00C5718A">
      <w:pPr>
        <w:ind w:firstLine="720"/>
        <w:jc w:val="both"/>
        <w:rPr>
          <w:highlight w:val="yellow"/>
        </w:rPr>
      </w:pPr>
      <w:r w:rsidRPr="00F244CD">
        <w:t xml:space="preserve">Към 31.12.2022 г. ДП </w:t>
      </w:r>
      <w:r>
        <w:t>„</w:t>
      </w:r>
      <w:r w:rsidRPr="00F244CD">
        <w:t>УСЯ</w:t>
      </w:r>
      <w:r>
        <w:t>“</w:t>
      </w:r>
      <w:r w:rsidRPr="00F244CD">
        <w:t xml:space="preserve"> е отчело разходи в размер на 7,4 млн. лв., при разчетени за 2022 г. - 79,5 млн. лв., или изпълнението спрямо разчетените по закон е 9</w:t>
      </w:r>
      <w:r>
        <w:rPr>
          <w:lang w:val="ru-RU"/>
        </w:rPr>
        <w:t>,3</w:t>
      </w:r>
      <w:r>
        <w:t xml:space="preserve"> </w:t>
      </w:r>
      <w:r w:rsidRPr="00F244CD">
        <w:t xml:space="preserve">%. </w:t>
      </w:r>
    </w:p>
    <w:p w14:paraId="515568AD" w14:textId="77777777" w:rsidR="00C5718A" w:rsidRPr="00F244CD" w:rsidRDefault="00C5718A" w:rsidP="00C5718A">
      <w:pPr>
        <w:ind w:firstLine="720"/>
        <w:jc w:val="both"/>
      </w:pPr>
      <w:r w:rsidRPr="00F244CD">
        <w:t>Отчетените разходи са основно за: персонал – 4,2 млн. лв.; издръжка, платени данъци, такси и административни санкции – 1,3 млн. лв. и капиталови разходи в размер на 1,8 млн. лв.</w:t>
      </w:r>
    </w:p>
    <w:p w14:paraId="549D9102" w14:textId="77777777" w:rsidR="00C5718A" w:rsidRPr="00F244CD" w:rsidRDefault="00C5718A" w:rsidP="00C5718A">
      <w:pPr>
        <w:ind w:firstLine="720"/>
        <w:jc w:val="both"/>
      </w:pPr>
      <w:r w:rsidRPr="00F244CD">
        <w:t>Най-голя</w:t>
      </w:r>
      <w:r>
        <w:t>ма е икономията в разходите за и</w:t>
      </w:r>
      <w:r w:rsidRPr="00F244CD">
        <w:t>здръжка и капиталови разходи, където от утвърдени</w:t>
      </w:r>
      <w:r>
        <w:t>те</w:t>
      </w:r>
      <w:r w:rsidRPr="00F244CD">
        <w:t xml:space="preserve"> със ЗДБРБ 2022 г. средства в размер на 75,</w:t>
      </w:r>
      <w:r w:rsidRPr="00F244CD">
        <w:rPr>
          <w:lang w:val="ru-RU"/>
        </w:rPr>
        <w:t>1</w:t>
      </w:r>
      <w:r w:rsidRPr="00F244CD">
        <w:t xml:space="preserve"> млн. лв., към 31.12.2022 г. са отчетени общо 3,1 млн. лв., или </w:t>
      </w:r>
      <w:r w:rsidRPr="00F244CD">
        <w:rPr>
          <w:lang w:val="ru-RU"/>
        </w:rPr>
        <w:t>72</w:t>
      </w:r>
      <w:r w:rsidRPr="00F244CD">
        <w:t xml:space="preserve"> млн. лв. неусвоени за 2022 г.</w:t>
      </w:r>
    </w:p>
    <w:p w14:paraId="3BD0E39A" w14:textId="77777777" w:rsidR="00C5718A" w:rsidRPr="00350CF4" w:rsidRDefault="00C5718A" w:rsidP="00C5718A">
      <w:pPr>
        <w:ind w:firstLine="720"/>
        <w:jc w:val="both"/>
        <w:rPr>
          <w:color w:val="0070C0"/>
        </w:rPr>
      </w:pPr>
      <w:r w:rsidRPr="00F244CD">
        <w:t xml:space="preserve">Към 31.12.2022 г. </w:t>
      </w:r>
      <w:r w:rsidRPr="005D07A1">
        <w:rPr>
          <w:lang w:val="ru-RU"/>
        </w:rPr>
        <w:t xml:space="preserve">ДП </w:t>
      </w:r>
      <w:r w:rsidRPr="005D07A1">
        <w:t>„</w:t>
      </w:r>
      <w:r w:rsidRPr="005D07A1">
        <w:rPr>
          <w:lang w:val="ru-RU"/>
        </w:rPr>
        <w:t>УСЯ</w:t>
      </w:r>
      <w:r w:rsidRPr="005D07A1">
        <w:t>“</w:t>
      </w:r>
      <w:r>
        <w:t xml:space="preserve"> </w:t>
      </w:r>
      <w:r w:rsidRPr="00F244CD">
        <w:t xml:space="preserve">няма просрочени задължения, а просрочените вземания са в размер на </w:t>
      </w:r>
      <w:r w:rsidRPr="00F244CD">
        <w:rPr>
          <w:lang w:val="ru-RU"/>
        </w:rPr>
        <w:t>0</w:t>
      </w:r>
      <w:r w:rsidRPr="00F244CD">
        <w:t>,</w:t>
      </w:r>
      <w:r w:rsidRPr="00F244CD">
        <w:rPr>
          <w:lang w:val="ru-RU"/>
        </w:rPr>
        <w:t>002</w:t>
      </w:r>
      <w:r w:rsidRPr="00F244CD">
        <w:t xml:space="preserve"> млн. лв. и са основно от неплатени в срок фактури, издадени съгласно договори за наеми на язовири.</w:t>
      </w:r>
    </w:p>
    <w:p w14:paraId="57B857AC" w14:textId="77777777" w:rsidR="00C5718A" w:rsidRPr="00D16218" w:rsidRDefault="00C5718A" w:rsidP="00D16218">
      <w:pPr>
        <w:pStyle w:val="Heading3"/>
        <w:numPr>
          <w:ilvl w:val="1"/>
          <w:numId w:val="11"/>
        </w:numPr>
        <w:ind w:left="1077" w:hanging="357"/>
        <w:rPr>
          <w:rFonts w:ascii="Times New Roman" w:hAnsi="Times New Roman"/>
          <w:sz w:val="24"/>
          <w:lang w:val="bg-BG"/>
        </w:rPr>
      </w:pPr>
      <w:bookmarkStart w:id="548" w:name="_Toc137651547"/>
      <w:bookmarkStart w:id="549" w:name="_Toc146037949"/>
      <w:r w:rsidRPr="005D07A1">
        <w:rPr>
          <w:rFonts w:ascii="Times New Roman" w:hAnsi="Times New Roman"/>
          <w:sz w:val="24"/>
          <w:lang w:val="bg-BG"/>
        </w:rPr>
        <w:t>Държавно предприятие „Държавна петролна компания”</w:t>
      </w:r>
      <w:bookmarkEnd w:id="549"/>
      <w:r w:rsidRPr="005D07A1">
        <w:rPr>
          <w:rFonts w:ascii="Times New Roman" w:hAnsi="Times New Roman"/>
          <w:sz w:val="24"/>
          <w:lang w:val="bg-BG"/>
        </w:rPr>
        <w:t xml:space="preserve"> </w:t>
      </w:r>
      <w:bookmarkEnd w:id="548"/>
    </w:p>
    <w:p w14:paraId="56083B53" w14:textId="77777777" w:rsidR="00C5718A" w:rsidRPr="005D07A1" w:rsidRDefault="00C5718A" w:rsidP="00C5718A">
      <w:pPr>
        <w:ind w:firstLine="720"/>
        <w:rPr>
          <w:lang w:val="ru-RU"/>
        </w:rPr>
      </w:pPr>
      <w:r w:rsidRPr="005D07A1">
        <w:rPr>
          <w:lang w:val="ru-RU"/>
        </w:rPr>
        <w:t xml:space="preserve">Държавно предприятие “Държавна петролна компания“ </w:t>
      </w:r>
      <w:r w:rsidRPr="005D07A1">
        <w:rPr>
          <w:bCs/>
          <w:lang w:val="ru-RU"/>
        </w:rPr>
        <w:t>(</w:t>
      </w:r>
      <w:r w:rsidRPr="005D07A1">
        <w:rPr>
          <w:bCs/>
        </w:rPr>
        <w:t>ДП „ДПК“</w:t>
      </w:r>
      <w:r w:rsidRPr="005D07A1">
        <w:rPr>
          <w:bCs/>
          <w:lang w:val="ru-RU"/>
        </w:rPr>
        <w:t>)</w:t>
      </w:r>
      <w:r w:rsidRPr="005D07A1">
        <w:rPr>
          <w:lang w:val="ru-RU"/>
        </w:rPr>
        <w:t xml:space="preserve"> няма планирани собствени </w:t>
      </w:r>
      <w:r w:rsidRPr="005D07A1">
        <w:rPr>
          <w:b/>
          <w:i/>
          <w:lang w:val="ru-RU"/>
        </w:rPr>
        <w:t>приходи</w:t>
      </w:r>
      <w:r w:rsidRPr="005D07A1">
        <w:rPr>
          <w:lang w:val="ru-RU"/>
        </w:rPr>
        <w:t xml:space="preserve"> по бюджета си за 2022 г.</w:t>
      </w:r>
    </w:p>
    <w:p w14:paraId="14D8B0D4" w14:textId="126116A5" w:rsidR="00C5718A" w:rsidRPr="00350CF4" w:rsidRDefault="00C5718A" w:rsidP="00C5718A">
      <w:pPr>
        <w:ind w:firstLine="720"/>
        <w:jc w:val="both"/>
        <w:rPr>
          <w:color w:val="0070C0"/>
          <w:sz w:val="8"/>
          <w:szCs w:val="8"/>
        </w:rPr>
      </w:pPr>
      <w:r w:rsidRPr="00066658">
        <w:t xml:space="preserve">Към 31.12.2022 г. </w:t>
      </w:r>
      <w:r w:rsidRPr="00066658">
        <w:rPr>
          <w:bCs/>
        </w:rPr>
        <w:t>ДП „ДПК“</w:t>
      </w:r>
      <w:r w:rsidRPr="00066658">
        <w:t xml:space="preserve"> е отчело разходи в размер на 0,77 млн. лв., при разчетени със ЗДБРБ за 2022 г. – 0,8 млн. лв., или изпълнението </w:t>
      </w:r>
      <w:r>
        <w:t>спрямо разчетените по закон е 94,9 %. Отчетените разходи са за</w:t>
      </w:r>
      <w:r w:rsidRPr="00066658">
        <w:t xml:space="preserve"> персонал – </w:t>
      </w:r>
      <w:r>
        <w:rPr>
          <w:lang w:val="ru-RU"/>
        </w:rPr>
        <w:t>0,69</w:t>
      </w:r>
      <w:r>
        <w:t xml:space="preserve"> млн. лв.</w:t>
      </w:r>
      <w:r w:rsidRPr="00066658">
        <w:t xml:space="preserve"> и</w:t>
      </w:r>
      <w:r>
        <w:t xml:space="preserve"> за издръжка – 0,085</w:t>
      </w:r>
      <w:r w:rsidRPr="00066658">
        <w:t xml:space="preserve"> млн. лв.</w:t>
      </w:r>
    </w:p>
    <w:p w14:paraId="2BF7A0C7" w14:textId="77777777" w:rsidR="00666D9F" w:rsidRPr="007B48E9" w:rsidRDefault="00666D9F" w:rsidP="004B00F7">
      <w:pPr>
        <w:ind w:firstLine="709"/>
        <w:jc w:val="both"/>
        <w:rPr>
          <w:color w:val="0070C0"/>
          <w:sz w:val="8"/>
          <w:szCs w:val="8"/>
        </w:rPr>
      </w:pPr>
      <w:r w:rsidRPr="007B48E9">
        <w:rPr>
          <w:color w:val="0070C0"/>
          <w:szCs w:val="28"/>
        </w:rPr>
        <w:br w:type="page"/>
      </w:r>
    </w:p>
    <w:p w14:paraId="25C1D4D2" w14:textId="77777777" w:rsidR="00D2710D" w:rsidRPr="007B48E9" w:rsidRDefault="00D2710D" w:rsidP="009C2A71">
      <w:pPr>
        <w:pStyle w:val="Heading1"/>
        <w:rPr>
          <w:color w:val="0070C0"/>
          <w:sz w:val="28"/>
          <w:szCs w:val="28"/>
        </w:rPr>
      </w:pPr>
      <w:bookmarkStart w:id="550" w:name="_Toc324863459"/>
    </w:p>
    <w:p w14:paraId="55DFB8CD" w14:textId="77777777" w:rsidR="00666D9F" w:rsidRPr="003A24F8" w:rsidRDefault="00666D9F" w:rsidP="009C2A71">
      <w:pPr>
        <w:pStyle w:val="Heading1"/>
        <w:rPr>
          <w:sz w:val="28"/>
          <w:szCs w:val="28"/>
        </w:rPr>
      </w:pPr>
      <w:bookmarkStart w:id="551" w:name="_Toc146037950"/>
      <w:r w:rsidRPr="003A24F8">
        <w:rPr>
          <w:sz w:val="28"/>
          <w:szCs w:val="28"/>
        </w:rPr>
        <w:t>ЗАКЛЮЧЕНИЕ</w:t>
      </w:r>
      <w:bookmarkEnd w:id="550"/>
      <w:bookmarkEnd w:id="551"/>
    </w:p>
    <w:p w14:paraId="02C16765" w14:textId="77777777" w:rsidR="00666D9F" w:rsidRPr="007B48E9" w:rsidRDefault="00666D9F" w:rsidP="009C2A71">
      <w:pPr>
        <w:ind w:firstLine="720"/>
        <w:jc w:val="both"/>
        <w:rPr>
          <w:color w:val="0070C0"/>
          <w:sz w:val="16"/>
          <w:szCs w:val="16"/>
        </w:rPr>
      </w:pPr>
    </w:p>
    <w:p w14:paraId="05A21B2F" w14:textId="32D68230" w:rsidR="003A24F8" w:rsidRPr="007D34AB" w:rsidRDefault="003A24F8" w:rsidP="003A24F8">
      <w:pPr>
        <w:ind w:firstLine="709"/>
        <w:jc w:val="both"/>
        <w:rPr>
          <w:bCs/>
          <w:color w:val="000000" w:themeColor="text1"/>
        </w:rPr>
      </w:pPr>
      <w:r w:rsidRPr="00D57A36">
        <w:rPr>
          <w:bCs/>
          <w:color w:val="000000" w:themeColor="text1"/>
        </w:rPr>
        <w:t>Салдото по консолидираната фискална програма на касова основа за 202</w:t>
      </w:r>
      <w:r>
        <w:rPr>
          <w:bCs/>
          <w:color w:val="000000" w:themeColor="text1"/>
        </w:rPr>
        <w:t>2 г. е отрицателно в размер на 1 323,</w:t>
      </w:r>
      <w:r w:rsidR="00141FF0" w:rsidRPr="00F26A14">
        <w:rPr>
          <w:bCs/>
          <w:color w:val="000000" w:themeColor="text1"/>
          <w:lang w:val="ru-RU"/>
        </w:rPr>
        <w:t>6</w:t>
      </w:r>
      <w:r w:rsidRPr="00D57A36">
        <w:rPr>
          <w:bCs/>
          <w:color w:val="000000" w:themeColor="text1"/>
        </w:rPr>
        <w:t xml:space="preserve"> млн. лева. Отнесен към БВП, дефицитът по КФП за</w:t>
      </w:r>
      <w:r w:rsidRPr="00113720">
        <w:rPr>
          <w:bCs/>
          <w:color w:val="000000" w:themeColor="text1"/>
        </w:rPr>
        <w:t xml:space="preserve"> 202</w:t>
      </w:r>
      <w:r>
        <w:rPr>
          <w:bCs/>
          <w:color w:val="000000" w:themeColor="text1"/>
        </w:rPr>
        <w:t>2</w:t>
      </w:r>
      <w:r w:rsidRPr="00113720">
        <w:rPr>
          <w:iCs/>
          <w:color w:val="000000" w:themeColor="text1"/>
        </w:rPr>
        <w:t> </w:t>
      </w:r>
      <w:r>
        <w:rPr>
          <w:bCs/>
          <w:color w:val="000000" w:themeColor="text1"/>
        </w:rPr>
        <w:t>г. представлява 0,8</w:t>
      </w:r>
      <w:r w:rsidRPr="00113720">
        <w:rPr>
          <w:bCs/>
          <w:color w:val="000000" w:themeColor="text1"/>
        </w:rPr>
        <w:t xml:space="preserve"> % от БВП. </w:t>
      </w:r>
      <w:r w:rsidRPr="00113720">
        <w:rPr>
          <w:iCs/>
          <w:color w:val="000000" w:themeColor="text1"/>
        </w:rPr>
        <w:t>За сравнение в актуализи</w:t>
      </w:r>
      <w:r>
        <w:rPr>
          <w:iCs/>
          <w:color w:val="000000" w:themeColor="text1"/>
        </w:rPr>
        <w:t>раните разчети към ЗДБРБ за 2022</w:t>
      </w:r>
      <w:r w:rsidRPr="00113720">
        <w:rPr>
          <w:iCs/>
          <w:color w:val="000000" w:themeColor="text1"/>
        </w:rPr>
        <w:t xml:space="preserve"> г. е заложен дефицит за годината в размер на </w:t>
      </w:r>
      <w:r>
        <w:rPr>
          <w:iCs/>
          <w:color w:val="000000" w:themeColor="text1"/>
        </w:rPr>
        <w:t>6</w:t>
      </w:r>
      <w:r>
        <w:rPr>
          <w:iCs/>
          <w:color w:val="000000" w:themeColor="text1"/>
          <w:lang w:val="en-US"/>
        </w:rPr>
        <w:t> </w:t>
      </w:r>
      <w:r>
        <w:rPr>
          <w:iCs/>
          <w:color w:val="000000" w:themeColor="text1"/>
        </w:rPr>
        <w:t>228,4</w:t>
      </w:r>
      <w:r w:rsidRPr="00113720">
        <w:rPr>
          <w:iCs/>
          <w:color w:val="000000" w:themeColor="text1"/>
        </w:rPr>
        <w:t xml:space="preserve"> млн. лв., което означава, че спрямо заложеното в програмата за годината се отчита номинално подобрен</w:t>
      </w:r>
      <w:r>
        <w:rPr>
          <w:iCs/>
          <w:color w:val="000000" w:themeColor="text1"/>
        </w:rPr>
        <w:t>ие на бюджетното салдо с над 4,9</w:t>
      </w:r>
      <w:r w:rsidRPr="00113720">
        <w:rPr>
          <w:iCs/>
          <w:color w:val="000000" w:themeColor="text1"/>
        </w:rPr>
        <w:t xml:space="preserve"> млрд. л</w:t>
      </w:r>
      <w:r w:rsidR="006D5930">
        <w:rPr>
          <w:iCs/>
          <w:color w:val="000000" w:themeColor="text1"/>
        </w:rPr>
        <w:t>е</w:t>
      </w:r>
      <w:r w:rsidRPr="00113720">
        <w:rPr>
          <w:iCs/>
          <w:color w:val="000000" w:themeColor="text1"/>
        </w:rPr>
        <w:t>в</w:t>
      </w:r>
      <w:r w:rsidR="006D5930">
        <w:rPr>
          <w:iCs/>
          <w:color w:val="000000" w:themeColor="text1"/>
        </w:rPr>
        <w:t>а</w:t>
      </w:r>
      <w:r w:rsidRPr="00113720">
        <w:rPr>
          <w:iCs/>
          <w:color w:val="000000" w:themeColor="text1"/>
        </w:rPr>
        <w:t xml:space="preserve">. </w:t>
      </w:r>
      <w:r w:rsidRPr="00113720">
        <w:rPr>
          <w:color w:val="000000" w:themeColor="text1"/>
        </w:rPr>
        <w:t xml:space="preserve">Бюджетното салдо по КФП за годината на касова основа е в рамките на предвиденото ограничение във фискалното правило по чл. 27, ал. 4 на ЗПФ, а именно, </w:t>
      </w:r>
      <w:r w:rsidRPr="00113720">
        <w:t>годишният бюджетен дефицит по КФП, изчислен на касова основа, да не надвишава 3 на сто от БВП</w:t>
      </w:r>
      <w:r w:rsidRPr="007D34AB">
        <w:rPr>
          <w:bCs/>
          <w:color w:val="000000" w:themeColor="text1"/>
        </w:rPr>
        <w:t xml:space="preserve">. </w:t>
      </w:r>
      <w:r>
        <w:rPr>
          <w:bCs/>
          <w:color w:val="000000" w:themeColor="text1"/>
        </w:rPr>
        <w:t>Основ</w:t>
      </w:r>
      <w:r w:rsidRPr="007D34AB">
        <w:rPr>
          <w:bCs/>
          <w:color w:val="000000" w:themeColor="text1"/>
        </w:rPr>
        <w:t>н</w:t>
      </w:r>
      <w:r>
        <w:rPr>
          <w:bCs/>
          <w:color w:val="000000" w:themeColor="text1"/>
        </w:rPr>
        <w:t>ите</w:t>
      </w:r>
      <w:r w:rsidRPr="007D34AB">
        <w:rPr>
          <w:bCs/>
          <w:color w:val="000000" w:themeColor="text1"/>
        </w:rPr>
        <w:t xml:space="preserve"> фактор</w:t>
      </w:r>
      <w:r>
        <w:rPr>
          <w:bCs/>
          <w:color w:val="000000" w:themeColor="text1"/>
        </w:rPr>
        <w:t>и</w:t>
      </w:r>
      <w:r w:rsidRPr="007D34AB">
        <w:rPr>
          <w:bCs/>
          <w:color w:val="000000" w:themeColor="text1"/>
        </w:rPr>
        <w:t xml:space="preserve"> за постигнатото подобрение са реализираните по-ниски от планираните разходи, както и добрите параметри по изпълнението на приходите.</w:t>
      </w:r>
    </w:p>
    <w:p w14:paraId="36F995A5" w14:textId="046C6FA8" w:rsidR="003A24F8" w:rsidRPr="00F90779" w:rsidRDefault="003A24F8" w:rsidP="003A24F8">
      <w:pPr>
        <w:ind w:firstLine="709"/>
        <w:jc w:val="both"/>
        <w:rPr>
          <w:iCs/>
          <w:color w:val="000000" w:themeColor="text1"/>
        </w:rPr>
      </w:pPr>
      <w:r w:rsidRPr="007D34AB">
        <w:rPr>
          <w:color w:val="000000" w:themeColor="text1"/>
        </w:rPr>
        <w:t>Фискалните развития през 2022 г. бяха доминирани в голяма степен от множество фактори, които не бе възможно да бъдат оценени в пълнота на етапа на планиране. От една страна</w:t>
      </w:r>
      <w:r w:rsidR="006D5930">
        <w:rPr>
          <w:color w:val="000000" w:themeColor="text1"/>
        </w:rPr>
        <w:t>,</w:t>
      </w:r>
      <w:r w:rsidRPr="007D34AB">
        <w:rPr>
          <w:color w:val="000000" w:themeColor="text1"/>
        </w:rPr>
        <w:t xml:space="preserve"> постепенното затихване на пандемията от COVID-19 позволи основната част от </w:t>
      </w:r>
      <w:r>
        <w:rPr>
          <w:color w:val="000000" w:themeColor="text1"/>
        </w:rPr>
        <w:t>мерките за борба с пандемията да преустанови своето действие още до средата на годината, което до голяма степен съответстваше на допусканията, залегнали при изготвянето на първоначалния проект на ЗДБРБ за 2022 г. от февруари. От друга страна</w:t>
      </w:r>
      <w:r w:rsidR="006D5930">
        <w:rPr>
          <w:color w:val="000000" w:themeColor="text1"/>
        </w:rPr>
        <w:t>,</w:t>
      </w:r>
      <w:r>
        <w:rPr>
          <w:color w:val="000000" w:themeColor="text1"/>
        </w:rPr>
        <w:t xml:space="preserve"> избухването на военния конфликт в Украйна породи п</w:t>
      </w:r>
      <w:r>
        <w:rPr>
          <w:color w:val="000000"/>
        </w:rPr>
        <w:t>оредица от шокове върху пазарите на енергоносители, горива и суровини</w:t>
      </w:r>
      <w:r w:rsidR="00476644">
        <w:rPr>
          <w:color w:val="000000"/>
        </w:rPr>
        <w:t>, които</w:t>
      </w:r>
      <w:r>
        <w:rPr>
          <w:color w:val="000000"/>
        </w:rPr>
        <w:t xml:space="preserve"> заедно с нарушените вериги за доставка съществено промениха икономическите перспективи и създадоха безпрецедентни рискове за редица сектори на икономиката. </w:t>
      </w:r>
      <w:r w:rsidRPr="008E6E8A">
        <w:t xml:space="preserve">Европейският съюз </w:t>
      </w:r>
      <w:r>
        <w:t>и в частност България се сблъскаха със</w:t>
      </w:r>
      <w:r w:rsidRPr="008E6E8A">
        <w:t xml:space="preserve"> знач</w:t>
      </w:r>
      <w:r>
        <w:t xml:space="preserve">ителен скок на цените както на </w:t>
      </w:r>
      <w:r w:rsidRPr="008E6E8A">
        <w:t>нефта, природния газ</w:t>
      </w:r>
      <w:r>
        <w:t xml:space="preserve"> и</w:t>
      </w:r>
      <w:r w:rsidRPr="008E6E8A">
        <w:t xml:space="preserve"> електрическата енергия, така и на цените на основни</w:t>
      </w:r>
      <w:r w:rsidR="00476644">
        <w:t>те</w:t>
      </w:r>
      <w:r w:rsidRPr="008E6E8A">
        <w:t xml:space="preserve"> хранителни продукти, породени от нарасналото търсене в </w:t>
      </w:r>
      <w:r>
        <w:t>регионален</w:t>
      </w:r>
      <w:r w:rsidRPr="008E6E8A">
        <w:t xml:space="preserve"> и световен мащаб.</w:t>
      </w:r>
      <w:r w:rsidRPr="004D5FFC">
        <w:rPr>
          <w:lang w:val="ru-RU"/>
        </w:rPr>
        <w:t xml:space="preserve"> </w:t>
      </w:r>
      <w:r>
        <w:t xml:space="preserve">Това доведе до </w:t>
      </w:r>
      <w:r>
        <w:rPr>
          <w:color w:val="000000"/>
        </w:rPr>
        <w:t>допълнително ускоряване на инфлацията при голяма част от стоките, к</w:t>
      </w:r>
      <w:r w:rsidR="00476644">
        <w:rPr>
          <w:color w:val="000000"/>
        </w:rPr>
        <w:t>а</w:t>
      </w:r>
      <w:r>
        <w:rPr>
          <w:color w:val="000000"/>
        </w:rPr>
        <w:t xml:space="preserve">то застраши хората с ниски доходи и увеличи значително групата на лицата с доходи под линията на бедност. Тези неблагоприятни развития наложиха в средата на годината правителството на премиера Петков да изготви и внесе в Народното събрание законопроект за актуализация на бюджета, в който бе заложен спешен пакет от антикризисни мерки, насочени към </w:t>
      </w:r>
      <w:r w:rsidRPr="00B110B4">
        <w:rPr>
          <w:color w:val="000000"/>
        </w:rPr>
        <w:t>преодоляване на негативните последствия от нарастващите цени на горивата и енергоносителите, съответно нарастващия инфлационен натиск върху най-засегнатите</w:t>
      </w:r>
      <w:r>
        <w:rPr>
          <w:color w:val="000000"/>
        </w:rPr>
        <w:t xml:space="preserve"> групи от обществото и бизнеса. Целта бе да се подкрепят българските граждани и бизнеса в условията на безпрецедентна</w:t>
      </w:r>
      <w:r w:rsidR="00476644">
        <w:rPr>
          <w:color w:val="000000"/>
        </w:rPr>
        <w:t>та</w:t>
      </w:r>
      <w:r>
        <w:rPr>
          <w:color w:val="000000"/>
        </w:rPr>
        <w:t xml:space="preserve"> криза, породена от </w:t>
      </w:r>
      <w:r w:rsidRPr="00F90779">
        <w:rPr>
          <w:color w:val="000000" w:themeColor="text1"/>
        </w:rPr>
        <w:t xml:space="preserve">войната в Украйна и да се смекчат шоковете, породени от високите цени на енергоносителите и суровините за уязвимите групи от обществото и за икономиката на България. </w:t>
      </w:r>
    </w:p>
    <w:p w14:paraId="1FEE9DEE" w14:textId="13A8D003" w:rsidR="003A24F8" w:rsidRDefault="003A24F8" w:rsidP="003A24F8">
      <w:pPr>
        <w:ind w:firstLine="709"/>
        <w:jc w:val="both"/>
        <w:rPr>
          <w:color w:val="000000"/>
        </w:rPr>
      </w:pPr>
      <w:r w:rsidRPr="00F930FD">
        <w:rPr>
          <w:color w:val="000000"/>
        </w:rPr>
        <w:t>Законопроектът бе окончателно одобрен от Народното събрание в края на м</w:t>
      </w:r>
      <w:r>
        <w:rPr>
          <w:color w:val="000000"/>
        </w:rPr>
        <w:t>есец</w:t>
      </w:r>
      <w:r w:rsidRPr="00F930FD">
        <w:rPr>
          <w:color w:val="000000"/>
        </w:rPr>
        <w:t xml:space="preserve"> юни и обнародван в началото на месец юли (ДВ, бр. № 52 от 2022 г.)</w:t>
      </w:r>
      <w:r>
        <w:rPr>
          <w:color w:val="000000"/>
          <w:lang w:val="ru-RU"/>
        </w:rPr>
        <w:t>. Актуализираната</w:t>
      </w:r>
      <w:r w:rsidRPr="004A2E93">
        <w:rPr>
          <w:color w:val="000000"/>
          <w:lang w:val="ru-RU"/>
        </w:rPr>
        <w:t xml:space="preserve"> </w:t>
      </w:r>
      <w:r>
        <w:rPr>
          <w:color w:val="000000"/>
        </w:rPr>
        <w:t>фискална цел за годината на касова основа остана непроменена спрямо заложената в началото на годината – дефицитът по КФП да не надвиши 4,1 на сто от прогнозния БВП. Приемането на актуализацията на бюджета за 2022 г. предшестваше с около един месец разпускането на 47-то Народно събрание и насрочването на предсрочни избори през октомври 2022 г. Поради сложната политическа обстановка до края на годината ново редовно правителство не бе сформирано и управлението на страната бе в правомощията на назначени от Президента служебни правителства.</w:t>
      </w:r>
    </w:p>
    <w:p w14:paraId="202D75C6" w14:textId="7E7261B9" w:rsidR="003A24F8" w:rsidRDefault="003A24F8" w:rsidP="003A24F8">
      <w:pPr>
        <w:ind w:firstLine="709"/>
        <w:jc w:val="both"/>
        <w:rPr>
          <w:color w:val="000000" w:themeColor="text1"/>
        </w:rPr>
      </w:pPr>
      <w:r w:rsidRPr="00114F9C">
        <w:rPr>
          <w:color w:val="000000" w:themeColor="text1"/>
        </w:rPr>
        <w:t>Приходната страна на бюджета бе повлияна</w:t>
      </w:r>
      <w:r w:rsidR="00476644">
        <w:rPr>
          <w:color w:val="000000" w:themeColor="text1"/>
        </w:rPr>
        <w:t>,</w:t>
      </w:r>
      <w:r w:rsidRPr="00114F9C">
        <w:rPr>
          <w:color w:val="000000" w:themeColor="text1"/>
        </w:rPr>
        <w:t xml:space="preserve"> от една страна</w:t>
      </w:r>
      <w:r w:rsidR="00476644">
        <w:rPr>
          <w:color w:val="000000" w:themeColor="text1"/>
        </w:rPr>
        <w:t>,</w:t>
      </w:r>
      <w:r w:rsidRPr="00114F9C">
        <w:rPr>
          <w:color w:val="000000" w:themeColor="text1"/>
        </w:rPr>
        <w:t xml:space="preserve"> от по-високия от планирания реал</w:t>
      </w:r>
      <w:r>
        <w:rPr>
          <w:color w:val="000000" w:themeColor="text1"/>
        </w:rPr>
        <w:t>е</w:t>
      </w:r>
      <w:r w:rsidRPr="00114F9C">
        <w:rPr>
          <w:color w:val="000000" w:themeColor="text1"/>
        </w:rPr>
        <w:t>н растеж на БВП</w:t>
      </w:r>
      <w:r>
        <w:rPr>
          <w:color w:val="000000" w:themeColor="text1"/>
        </w:rPr>
        <w:t xml:space="preserve"> и от друга</w:t>
      </w:r>
      <w:r w:rsidR="00CD73FA">
        <w:rPr>
          <w:color w:val="000000" w:themeColor="text1"/>
        </w:rPr>
        <w:t xml:space="preserve"> -</w:t>
      </w:r>
      <w:r w:rsidRPr="004A2E93">
        <w:rPr>
          <w:color w:val="000000" w:themeColor="text1"/>
          <w:lang w:val="ru-RU"/>
        </w:rPr>
        <w:t xml:space="preserve"> </w:t>
      </w:r>
      <w:r>
        <w:rPr>
          <w:color w:val="000000" w:themeColor="text1"/>
        </w:rPr>
        <w:t>от</w:t>
      </w:r>
      <w:r w:rsidRPr="00114F9C">
        <w:rPr>
          <w:color w:val="000000" w:themeColor="text1"/>
        </w:rPr>
        <w:t xml:space="preserve"> безпрецедентната за последните години инфлация. </w:t>
      </w:r>
      <w:r>
        <w:rPr>
          <w:color w:val="000000" w:themeColor="text1"/>
        </w:rPr>
        <w:t>Значителният ръст на цените на енергоносителите и храните доведе до верижно поскъпване на международните пазари на много стоки, в които те формират значителна част от себестойността на продукцията, което респективно ускори значително инфлацията. Заедно с това вътрешното търсене се запази силно, което бе движено както от ускорения ръст на компенсацията на заетите в публичния и частния сектор, така и от по-високото публично потребление. Поради тези фактори, въпреки избухването на военните действия в Украйна,</w:t>
      </w:r>
      <w:r w:rsidRPr="00114F9C">
        <w:rPr>
          <w:color w:val="000000" w:themeColor="text1"/>
        </w:rPr>
        <w:t xml:space="preserve"> приходи</w:t>
      </w:r>
      <w:r w:rsidR="003156EE">
        <w:rPr>
          <w:color w:val="000000" w:themeColor="text1"/>
        </w:rPr>
        <w:t>те</w:t>
      </w:r>
      <w:r w:rsidRPr="00114F9C">
        <w:rPr>
          <w:color w:val="000000" w:themeColor="text1"/>
        </w:rPr>
        <w:t xml:space="preserve"> не бяха засегнати, а продължиха да нарастват с добри темпове. Това, заедно с подобряващите се индикатори на пазара на труда и запазващото се вътрешно търсене</w:t>
      </w:r>
      <w:r>
        <w:rPr>
          <w:color w:val="000000" w:themeColor="text1"/>
        </w:rPr>
        <w:t xml:space="preserve"> свидетелства</w:t>
      </w:r>
      <w:r w:rsidRPr="00114F9C">
        <w:rPr>
          <w:color w:val="000000" w:themeColor="text1"/>
        </w:rPr>
        <w:t>, че бизнесът успя</w:t>
      </w:r>
      <w:r>
        <w:rPr>
          <w:color w:val="000000" w:themeColor="text1"/>
        </w:rPr>
        <w:t xml:space="preserve"> в голяма степен</w:t>
      </w:r>
      <w:r w:rsidRPr="00114F9C">
        <w:rPr>
          <w:color w:val="000000" w:themeColor="text1"/>
        </w:rPr>
        <w:t xml:space="preserve"> да се адаптира към променената среда. Нещо повече, през месец</w:t>
      </w:r>
      <w:r w:rsidR="009C5C80">
        <w:rPr>
          <w:color w:val="000000" w:themeColor="text1"/>
        </w:rPr>
        <w:t>ите</w:t>
      </w:r>
      <w:r w:rsidRPr="00114F9C">
        <w:rPr>
          <w:color w:val="000000" w:themeColor="text1"/>
        </w:rPr>
        <w:t xml:space="preserve"> май, юли и август по данни на Евростат индустриалното производство в България отч</w:t>
      </w:r>
      <w:r w:rsidR="009C5C80">
        <w:rPr>
          <w:color w:val="000000" w:themeColor="text1"/>
        </w:rPr>
        <w:t>е</w:t>
      </w:r>
      <w:r w:rsidRPr="00114F9C">
        <w:rPr>
          <w:color w:val="000000" w:themeColor="text1"/>
        </w:rPr>
        <w:t>т</w:t>
      </w:r>
      <w:r w:rsidR="009C5C80">
        <w:rPr>
          <w:color w:val="000000" w:themeColor="text1"/>
        </w:rPr>
        <w:t>е</w:t>
      </w:r>
      <w:r w:rsidRPr="00114F9C">
        <w:rPr>
          <w:color w:val="000000" w:themeColor="text1"/>
        </w:rPr>
        <w:t xml:space="preserve"> най-голям растеж на годишна база (съответно 20,</w:t>
      </w:r>
      <w:r>
        <w:rPr>
          <w:color w:val="000000" w:themeColor="text1"/>
        </w:rPr>
        <w:t>5</w:t>
      </w:r>
      <w:r w:rsidRPr="00114F9C">
        <w:rPr>
          <w:color w:val="000000" w:themeColor="text1"/>
        </w:rPr>
        <w:t xml:space="preserve"> на сто за май, 1</w:t>
      </w:r>
      <w:r>
        <w:rPr>
          <w:color w:val="000000" w:themeColor="text1"/>
        </w:rPr>
        <w:t>8</w:t>
      </w:r>
      <w:r w:rsidRPr="00114F9C">
        <w:rPr>
          <w:color w:val="000000" w:themeColor="text1"/>
        </w:rPr>
        <w:t>,</w:t>
      </w:r>
      <w:r>
        <w:rPr>
          <w:color w:val="000000" w:themeColor="text1"/>
        </w:rPr>
        <w:t>0</w:t>
      </w:r>
      <w:r w:rsidRPr="00114F9C">
        <w:rPr>
          <w:color w:val="000000" w:themeColor="text1"/>
        </w:rPr>
        <w:t xml:space="preserve"> на сто за юли и 16,5 на сто за август) сред всички държави-членки на ЕС. </w:t>
      </w:r>
      <w:r>
        <w:rPr>
          <w:color w:val="000000" w:themeColor="text1"/>
        </w:rPr>
        <w:t>Това показва, че бизнесът запаз</w:t>
      </w:r>
      <w:r w:rsidR="009C5C80">
        <w:rPr>
          <w:color w:val="000000" w:themeColor="text1"/>
        </w:rPr>
        <w:t>и</w:t>
      </w:r>
      <w:r>
        <w:rPr>
          <w:color w:val="000000" w:themeColor="text1"/>
        </w:rPr>
        <w:t xml:space="preserve"> и подобр</w:t>
      </w:r>
      <w:r w:rsidR="009C5C80">
        <w:rPr>
          <w:color w:val="000000" w:themeColor="text1"/>
        </w:rPr>
        <w:t>и</w:t>
      </w:r>
      <w:r>
        <w:rPr>
          <w:color w:val="000000" w:themeColor="text1"/>
        </w:rPr>
        <w:t xml:space="preserve"> конкурентното си предимство, включително и поради щедрата програма за изплащане на компенсации на потребителите на електрическа енергия извън регулирания пазар.</w:t>
      </w:r>
    </w:p>
    <w:p w14:paraId="0B0BFD42" w14:textId="159B418F" w:rsidR="003A24F8" w:rsidRPr="00F907ED" w:rsidRDefault="003A24F8" w:rsidP="003A24F8">
      <w:pPr>
        <w:ind w:firstLine="709"/>
        <w:jc w:val="both"/>
        <w:rPr>
          <w:color w:val="000000" w:themeColor="text1"/>
        </w:rPr>
      </w:pPr>
      <w:r>
        <w:rPr>
          <w:color w:val="000000" w:themeColor="text1"/>
        </w:rPr>
        <w:t>Въпреки че през 2022 г. разходите нараснаха номинално с безпрецедентен за последните години темп</w:t>
      </w:r>
      <w:r w:rsidR="003156EE">
        <w:rPr>
          <w:color w:val="000000" w:themeColor="text1"/>
        </w:rPr>
        <w:t xml:space="preserve">, </w:t>
      </w:r>
      <w:r>
        <w:rPr>
          <w:color w:val="000000" w:themeColor="text1"/>
        </w:rPr>
        <w:t xml:space="preserve">те останаха по-ниски от планираните с разчетите към ЗДБРБ за 2022 г. </w:t>
      </w:r>
      <w:r w:rsidRPr="00AB44E4">
        <w:rPr>
          <w:color w:val="000000" w:themeColor="text1"/>
        </w:rPr>
        <w:t xml:space="preserve">Най-съществено </w:t>
      </w:r>
      <w:r>
        <w:rPr>
          <w:color w:val="000000" w:themeColor="text1"/>
        </w:rPr>
        <w:t>това се прояви п</w:t>
      </w:r>
      <w:r w:rsidRPr="00AB44E4">
        <w:rPr>
          <w:color w:val="000000" w:themeColor="text1"/>
        </w:rPr>
        <w:t>ри разходите по сметките за средства от ЕС. Основен принос за това има</w:t>
      </w:r>
      <w:r>
        <w:rPr>
          <w:color w:val="000000" w:themeColor="text1"/>
        </w:rPr>
        <w:t>ше</w:t>
      </w:r>
      <w:r w:rsidRPr="00AB44E4">
        <w:rPr>
          <w:color w:val="000000" w:themeColor="text1"/>
        </w:rPr>
        <w:t xml:space="preserve"> ниското усвояване на разходите по Плана за възстановяване и устойчивост (ПВУ) и някои оперативни програми от програмния период 2021-2027 г., ка</w:t>
      </w:r>
      <w:r w:rsidR="003156EE">
        <w:rPr>
          <w:color w:val="000000" w:themeColor="text1"/>
        </w:rPr>
        <w:t>к</w:t>
      </w:r>
      <w:r w:rsidRPr="00AB44E4">
        <w:rPr>
          <w:color w:val="000000" w:themeColor="text1"/>
        </w:rPr>
        <w:t>то</w:t>
      </w:r>
      <w:r>
        <w:rPr>
          <w:color w:val="000000" w:themeColor="text1"/>
        </w:rPr>
        <w:t xml:space="preserve"> и</w:t>
      </w:r>
      <w:r w:rsidRPr="00AB44E4">
        <w:rPr>
          <w:color w:val="000000" w:themeColor="text1"/>
        </w:rPr>
        <w:t xml:space="preserve"> по-ниски</w:t>
      </w:r>
      <w:r>
        <w:rPr>
          <w:color w:val="000000" w:themeColor="text1"/>
        </w:rPr>
        <w:t>те</w:t>
      </w:r>
      <w:r w:rsidRPr="00AB44E4">
        <w:rPr>
          <w:color w:val="000000" w:themeColor="text1"/>
        </w:rPr>
        <w:t xml:space="preserve"> от планираните разходи и предоставени трансфери по държавния бюджет. Разходите и предоставените трансфери по сметките за средства от ЕС са с около 2,7 млрд. лв. по-ниски от планираните с разчетите за годината. През месец декември постъпи първият транш по ПВУ за България в размер на около 2,7</w:t>
      </w:r>
      <w:r w:rsidR="00186FB3">
        <w:rPr>
          <w:color w:val="000000" w:themeColor="text1"/>
        </w:rPr>
        <w:t> </w:t>
      </w:r>
      <w:r w:rsidRPr="00AB44E4">
        <w:rPr>
          <w:color w:val="000000" w:themeColor="text1"/>
        </w:rPr>
        <w:t>млрд. лв., но данните сочат, че ефективно усвоените разходи по ПВУ са едва 0,1 млрд. л</w:t>
      </w:r>
      <w:r w:rsidR="003156EE">
        <w:rPr>
          <w:color w:val="000000" w:themeColor="text1"/>
        </w:rPr>
        <w:t>е</w:t>
      </w:r>
      <w:r w:rsidRPr="00AB44E4">
        <w:rPr>
          <w:color w:val="000000" w:themeColor="text1"/>
        </w:rPr>
        <w:t>в</w:t>
      </w:r>
      <w:r w:rsidR="003156EE">
        <w:rPr>
          <w:color w:val="000000" w:themeColor="text1"/>
        </w:rPr>
        <w:t>а</w:t>
      </w:r>
      <w:r w:rsidRPr="00AB44E4">
        <w:rPr>
          <w:color w:val="000000" w:themeColor="text1"/>
        </w:rPr>
        <w:t>.</w:t>
      </w:r>
      <w:r>
        <w:rPr>
          <w:color w:val="000000" w:themeColor="text1"/>
        </w:rPr>
        <w:t xml:space="preserve"> </w:t>
      </w:r>
      <w:r w:rsidR="00675F0D">
        <w:rPr>
          <w:color w:val="000000" w:themeColor="text1"/>
        </w:rPr>
        <w:t>З</w:t>
      </w:r>
      <w:r>
        <w:rPr>
          <w:color w:val="000000" w:themeColor="text1"/>
        </w:rPr>
        <w:t xml:space="preserve">абавянето при усвояването на планираните разходи </w:t>
      </w:r>
      <w:r w:rsidR="003156EE">
        <w:rPr>
          <w:color w:val="000000" w:themeColor="text1"/>
        </w:rPr>
        <w:t>и доброто изпълнение на приходите са</w:t>
      </w:r>
      <w:r>
        <w:rPr>
          <w:color w:val="000000" w:themeColor="text1"/>
        </w:rPr>
        <w:t xml:space="preserve">  основните фактори за подобряване на бюджетното салдо спрямо планираното с разчетите към ЗДБРБ за 2022 г.</w:t>
      </w:r>
    </w:p>
    <w:p w14:paraId="65FF75A9" w14:textId="77777777" w:rsidR="003A24F8" w:rsidRPr="00F94CA7" w:rsidRDefault="003A24F8" w:rsidP="003A24F8">
      <w:pPr>
        <w:ind w:firstLine="709"/>
        <w:jc w:val="both"/>
        <w:rPr>
          <w:rFonts w:eastAsia="Batang"/>
          <w:color w:val="000000" w:themeColor="text1"/>
        </w:rPr>
      </w:pPr>
      <w:r w:rsidRPr="00F94CA7">
        <w:rPr>
          <w:rFonts w:eastAsia="Batang"/>
          <w:color w:val="000000" w:themeColor="text1"/>
        </w:rPr>
        <w:t xml:space="preserve">Представени накратко, някои от основните бюджетни показатели и макроикономически индикатори за 2022 г. са, както следва: </w:t>
      </w:r>
    </w:p>
    <w:p w14:paraId="1451C670" w14:textId="5C5F4215" w:rsidR="003A24F8" w:rsidRPr="00F94CA7" w:rsidRDefault="003A24F8" w:rsidP="003A24F8">
      <w:pPr>
        <w:numPr>
          <w:ilvl w:val="0"/>
          <w:numId w:val="5"/>
        </w:numPr>
        <w:tabs>
          <w:tab w:val="clear" w:pos="2160"/>
          <w:tab w:val="num" w:pos="360"/>
        </w:tabs>
        <w:ind w:left="0" w:firstLine="426"/>
        <w:jc w:val="both"/>
        <w:rPr>
          <w:color w:val="000000" w:themeColor="text1"/>
        </w:rPr>
      </w:pPr>
      <w:r w:rsidRPr="00F94CA7">
        <w:rPr>
          <w:color w:val="000000" w:themeColor="text1"/>
        </w:rPr>
        <w:t xml:space="preserve">През 2022 г. брутният вътрешен продукт на България </w:t>
      </w:r>
      <w:r w:rsidRPr="00F94CA7">
        <w:rPr>
          <w:rFonts w:eastAsia="Calibri"/>
          <w:color w:val="000000" w:themeColor="text1"/>
        </w:rPr>
        <w:t xml:space="preserve">отбеляза реален растеж от 3,4 %. </w:t>
      </w:r>
      <w:r w:rsidRPr="00F94CA7">
        <w:rPr>
          <w:color w:val="000000" w:themeColor="text1"/>
        </w:rPr>
        <w:t>От страна на търсенето</w:t>
      </w:r>
      <w:r w:rsidR="003156EE">
        <w:rPr>
          <w:color w:val="000000" w:themeColor="text1"/>
        </w:rPr>
        <w:t>,</w:t>
      </w:r>
      <w:r w:rsidRPr="00F94CA7">
        <w:rPr>
          <w:color w:val="000000" w:themeColor="text1"/>
        </w:rPr>
        <w:t xml:space="preserve"> основен принос за растежа </w:t>
      </w:r>
      <w:r w:rsidR="003156EE">
        <w:rPr>
          <w:color w:val="000000" w:themeColor="text1"/>
        </w:rPr>
        <w:t>има</w:t>
      </w:r>
      <w:r w:rsidRPr="00F94CA7">
        <w:rPr>
          <w:color w:val="000000" w:themeColor="text1"/>
        </w:rPr>
        <w:t xml:space="preserve"> крайното потребление.</w:t>
      </w:r>
      <w:r w:rsidRPr="00F94CA7">
        <w:rPr>
          <w:rFonts w:eastAsia="Calibri"/>
          <w:color w:val="000000" w:themeColor="text1"/>
        </w:rPr>
        <w:t xml:space="preserve"> В номинално изражение БВП възлезе на 165 384 млн. лв., което представлява номинален растеж от 19,0 процента</w:t>
      </w:r>
      <w:r w:rsidRPr="00F94CA7">
        <w:rPr>
          <w:color w:val="000000" w:themeColor="text1"/>
        </w:rPr>
        <w:t>.</w:t>
      </w:r>
    </w:p>
    <w:p w14:paraId="20367BB3" w14:textId="38747EA9" w:rsidR="003A24F8" w:rsidRPr="00C7409C" w:rsidRDefault="003A24F8" w:rsidP="003A24F8">
      <w:pPr>
        <w:numPr>
          <w:ilvl w:val="0"/>
          <w:numId w:val="5"/>
        </w:numPr>
        <w:tabs>
          <w:tab w:val="clear" w:pos="2160"/>
          <w:tab w:val="num" w:pos="360"/>
        </w:tabs>
        <w:ind w:left="0" w:firstLine="426"/>
        <w:jc w:val="both"/>
        <w:rPr>
          <w:color w:val="000000" w:themeColor="text1"/>
        </w:rPr>
      </w:pPr>
      <w:r w:rsidRPr="00E648EB">
        <w:rPr>
          <w:rFonts w:eastAsia="Calibri"/>
        </w:rPr>
        <w:t>През 2022 г. се наблюдаваше бързо възстановяване на заетостта</w:t>
      </w:r>
      <w:r>
        <w:rPr>
          <w:rFonts w:eastAsia="Calibri"/>
        </w:rPr>
        <w:t xml:space="preserve"> - с</w:t>
      </w:r>
      <w:r w:rsidRPr="00E648EB">
        <w:rPr>
          <w:rFonts w:eastAsia="Calibri"/>
        </w:rPr>
        <w:t xml:space="preserve">редногодишният брой на заетите </w:t>
      </w:r>
      <w:r>
        <w:rPr>
          <w:rFonts w:eastAsia="Calibri"/>
        </w:rPr>
        <w:t>в българската икономика надмина прага от</w:t>
      </w:r>
      <w:r w:rsidRPr="00E648EB">
        <w:rPr>
          <w:rFonts w:eastAsia="Calibri"/>
        </w:rPr>
        <w:t xml:space="preserve"> 3</w:t>
      </w:r>
      <w:r>
        <w:rPr>
          <w:rFonts w:eastAsia="Calibri"/>
        </w:rPr>
        <w:t>,</w:t>
      </w:r>
      <w:r w:rsidRPr="00E648EB">
        <w:rPr>
          <w:rFonts w:eastAsia="Calibri"/>
        </w:rPr>
        <w:t>5</w:t>
      </w:r>
      <w:r>
        <w:rPr>
          <w:rFonts w:eastAsia="Calibri"/>
        </w:rPr>
        <w:t xml:space="preserve"> млн.</w:t>
      </w:r>
      <w:r w:rsidRPr="00E648EB">
        <w:rPr>
          <w:rFonts w:eastAsia="Calibri"/>
        </w:rPr>
        <w:t xml:space="preserve"> души и се повиши </w:t>
      </w:r>
      <w:r w:rsidRPr="00C7409C">
        <w:rPr>
          <w:rFonts w:eastAsia="Calibri"/>
          <w:color w:val="000000" w:themeColor="text1"/>
        </w:rPr>
        <w:t>с 1,3</w:t>
      </w:r>
      <w:r w:rsidR="000154B6">
        <w:rPr>
          <w:rFonts w:eastAsia="Calibri"/>
          <w:color w:val="000000" w:themeColor="text1"/>
        </w:rPr>
        <w:t> </w:t>
      </w:r>
      <w:r w:rsidRPr="00C7409C">
        <w:rPr>
          <w:rFonts w:eastAsia="Calibri"/>
          <w:color w:val="000000" w:themeColor="text1"/>
        </w:rPr>
        <w:t xml:space="preserve">% спрямо предходната година. Този ръст се дължеше на ръста на заетите в сферата на услугите и </w:t>
      </w:r>
      <w:r w:rsidR="002421D2">
        <w:rPr>
          <w:rFonts w:eastAsia="Calibri"/>
          <w:color w:val="000000" w:themeColor="text1"/>
        </w:rPr>
        <w:t xml:space="preserve">в </w:t>
      </w:r>
      <w:r w:rsidRPr="00C7409C">
        <w:rPr>
          <w:rFonts w:eastAsia="Calibri"/>
          <w:color w:val="000000" w:themeColor="text1"/>
        </w:rPr>
        <w:t>строителството.</w:t>
      </w:r>
    </w:p>
    <w:p w14:paraId="653440AA" w14:textId="77777777" w:rsidR="003A24F8" w:rsidRPr="00C7409C" w:rsidRDefault="003A24F8" w:rsidP="003A24F8">
      <w:pPr>
        <w:numPr>
          <w:ilvl w:val="0"/>
          <w:numId w:val="5"/>
        </w:numPr>
        <w:tabs>
          <w:tab w:val="clear" w:pos="2160"/>
          <w:tab w:val="num" w:pos="360"/>
        </w:tabs>
        <w:ind w:left="0" w:firstLine="426"/>
        <w:jc w:val="both"/>
        <w:rPr>
          <w:color w:val="000000" w:themeColor="text1"/>
        </w:rPr>
      </w:pPr>
      <w:r w:rsidRPr="00C7409C">
        <w:rPr>
          <w:color w:val="000000" w:themeColor="text1"/>
        </w:rPr>
        <w:t xml:space="preserve">Дефицитът по текущата сметка се сви с 1,2 пр. п. до 0,7 % от БВП. </w:t>
      </w:r>
    </w:p>
    <w:p w14:paraId="20A1B445" w14:textId="77777777" w:rsidR="003A24F8" w:rsidRPr="00C7409C" w:rsidRDefault="003A24F8" w:rsidP="003A24F8">
      <w:pPr>
        <w:numPr>
          <w:ilvl w:val="0"/>
          <w:numId w:val="5"/>
        </w:numPr>
        <w:tabs>
          <w:tab w:val="clear" w:pos="2160"/>
          <w:tab w:val="num" w:pos="360"/>
        </w:tabs>
        <w:ind w:left="0" w:firstLine="426"/>
        <w:jc w:val="both"/>
        <w:rPr>
          <w:iCs/>
          <w:color w:val="000000" w:themeColor="text1"/>
        </w:rPr>
      </w:pPr>
      <w:r w:rsidRPr="00C7409C">
        <w:rPr>
          <w:iCs/>
          <w:color w:val="000000" w:themeColor="text1"/>
        </w:rPr>
        <w:t>Параметрите по изпълнението на консолидираната фискална програма и параметрите за сектор „Държавно управление“ за 2022 г. отговарят на изискванията на фискалните правила съгласно разпоредбите на Закона за публичните финанси.</w:t>
      </w:r>
    </w:p>
    <w:p w14:paraId="768D6DDD" w14:textId="77777777" w:rsidR="003A24F8" w:rsidRPr="00C7409C" w:rsidRDefault="003A24F8" w:rsidP="003A24F8">
      <w:pPr>
        <w:numPr>
          <w:ilvl w:val="0"/>
          <w:numId w:val="5"/>
        </w:numPr>
        <w:tabs>
          <w:tab w:val="clear" w:pos="2160"/>
          <w:tab w:val="num" w:pos="360"/>
        </w:tabs>
        <w:ind w:left="0" w:firstLine="426"/>
        <w:jc w:val="both"/>
        <w:rPr>
          <w:iCs/>
          <w:color w:val="000000" w:themeColor="text1"/>
        </w:rPr>
      </w:pPr>
      <w:r w:rsidRPr="00C7409C">
        <w:rPr>
          <w:iCs/>
          <w:color w:val="000000" w:themeColor="text1"/>
        </w:rPr>
        <w:t>Оценката в априлските Нотификационни таблици за дефицита и дълга е, че през 2022</w:t>
      </w:r>
      <w:r w:rsidRPr="00C7409C">
        <w:rPr>
          <w:iCs/>
          <w:color w:val="000000" w:themeColor="text1"/>
          <w:lang w:val="en-US"/>
        </w:rPr>
        <w:t> </w:t>
      </w:r>
      <w:r w:rsidRPr="00C7409C">
        <w:rPr>
          <w:iCs/>
          <w:color w:val="000000" w:themeColor="text1"/>
        </w:rPr>
        <w:t xml:space="preserve">г. салдото на сектор „Държавно управление“ е отрицателно в размер на 2,8 % от БВП. </w:t>
      </w:r>
      <w:r w:rsidRPr="00C7409C">
        <w:rPr>
          <w:bCs/>
          <w:iCs/>
          <w:color w:val="000000" w:themeColor="text1"/>
        </w:rPr>
        <w:t>По отношение на дълга България се подобри с една позиция и вече е втора след Естония с най-нисък дълг на сектор „Държавно управление“ в ЕС за 2022 г. – 22,9 % от БВП</w:t>
      </w:r>
      <w:r w:rsidRPr="00C7409C">
        <w:rPr>
          <w:iCs/>
          <w:color w:val="000000" w:themeColor="text1"/>
        </w:rPr>
        <w:t>.</w:t>
      </w:r>
    </w:p>
    <w:p w14:paraId="2ABCBD55" w14:textId="0258DAA7" w:rsidR="003A24F8" w:rsidRPr="00C7409C" w:rsidRDefault="003A24F8" w:rsidP="003A24F8">
      <w:pPr>
        <w:numPr>
          <w:ilvl w:val="0"/>
          <w:numId w:val="5"/>
        </w:numPr>
        <w:tabs>
          <w:tab w:val="clear" w:pos="2160"/>
          <w:tab w:val="num" w:pos="360"/>
        </w:tabs>
        <w:ind w:left="0" w:firstLine="426"/>
        <w:jc w:val="both"/>
        <w:rPr>
          <w:iCs/>
          <w:color w:val="000000" w:themeColor="text1"/>
        </w:rPr>
      </w:pPr>
      <w:r w:rsidRPr="00C7409C">
        <w:rPr>
          <w:iCs/>
          <w:color w:val="000000" w:themeColor="text1"/>
        </w:rPr>
        <w:t>Салдото по КФП за 2022 г. е отрицателно в размер на 1 323,</w:t>
      </w:r>
      <w:r w:rsidR="00C970BE">
        <w:rPr>
          <w:iCs/>
          <w:color w:val="000000" w:themeColor="text1"/>
        </w:rPr>
        <w:t>6</w:t>
      </w:r>
      <w:r w:rsidRPr="00C7409C">
        <w:rPr>
          <w:iCs/>
          <w:color w:val="000000" w:themeColor="text1"/>
        </w:rPr>
        <w:t xml:space="preserve"> млн. лв., което представлява 0,8 % от БВП. </w:t>
      </w:r>
      <w:r w:rsidRPr="00C7409C">
        <w:rPr>
          <w:color w:val="000000" w:themeColor="text1"/>
        </w:rPr>
        <w:t>Бюджетното салдо по КФП за годината на касова основа е в рамките на предвиденото ограничение във фискалното правило по чл. 27, ал. 4 на ЗПФ, а именно, годишният бюджетен дефицит по КФП, изчислен на касова основа, да не надвишава 3 на сто от БВП.</w:t>
      </w:r>
    </w:p>
    <w:p w14:paraId="25B83E12" w14:textId="32D4676B" w:rsidR="003A24F8" w:rsidRPr="005E3C87" w:rsidRDefault="003A24F8" w:rsidP="003A24F8">
      <w:pPr>
        <w:numPr>
          <w:ilvl w:val="0"/>
          <w:numId w:val="5"/>
        </w:numPr>
        <w:tabs>
          <w:tab w:val="clear" w:pos="2160"/>
          <w:tab w:val="num" w:pos="360"/>
        </w:tabs>
        <w:ind w:left="0" w:firstLine="426"/>
        <w:jc w:val="both"/>
        <w:rPr>
          <w:iCs/>
          <w:color w:val="548DD4" w:themeColor="text2" w:themeTint="99"/>
        </w:rPr>
      </w:pPr>
      <w:r w:rsidRPr="00286B90">
        <w:rPr>
          <w:color w:val="000000" w:themeColor="text1"/>
        </w:rPr>
        <w:t>Приходите, помощите и даренията по консолид</w:t>
      </w:r>
      <w:r>
        <w:rPr>
          <w:color w:val="000000" w:themeColor="text1"/>
        </w:rPr>
        <w:t>ираната фискална програма за</w:t>
      </w:r>
      <w:r w:rsidRPr="00286B90">
        <w:rPr>
          <w:color w:val="000000" w:themeColor="text1"/>
        </w:rPr>
        <w:t xml:space="preserve"> 2022</w:t>
      </w:r>
      <w:r w:rsidR="004A7F38">
        <w:rPr>
          <w:color w:val="000000" w:themeColor="text1"/>
        </w:rPr>
        <w:t> </w:t>
      </w:r>
      <w:r w:rsidRPr="00286B90">
        <w:rPr>
          <w:color w:val="000000" w:themeColor="text1"/>
        </w:rPr>
        <w:t xml:space="preserve">г. са в размер на </w:t>
      </w:r>
      <w:r>
        <w:rPr>
          <w:color w:val="000000" w:themeColor="text1"/>
        </w:rPr>
        <w:t>64,8</w:t>
      </w:r>
      <w:r w:rsidRPr="00286B90">
        <w:rPr>
          <w:color w:val="000000" w:themeColor="text1"/>
        </w:rPr>
        <w:t xml:space="preserve"> </w:t>
      </w:r>
      <w:r>
        <w:rPr>
          <w:color w:val="000000" w:themeColor="text1"/>
        </w:rPr>
        <w:t>млрд</w:t>
      </w:r>
      <w:r w:rsidRPr="00286B90">
        <w:rPr>
          <w:color w:val="000000" w:themeColor="text1"/>
        </w:rPr>
        <w:t>. лв., вкл.</w:t>
      </w:r>
      <w:r>
        <w:rPr>
          <w:color w:val="000000" w:themeColor="text1"/>
        </w:rPr>
        <w:t xml:space="preserve"> 3,2</w:t>
      </w:r>
      <w:r w:rsidRPr="00286B90">
        <w:rPr>
          <w:color w:val="000000" w:themeColor="text1"/>
        </w:rPr>
        <w:t xml:space="preserve"> млрд. лв. приходи с еднократен извънреден характер, които не са включен</w:t>
      </w:r>
      <w:r>
        <w:rPr>
          <w:color w:val="000000" w:themeColor="text1"/>
        </w:rPr>
        <w:t>и в разчетите към ЗДБРБ за 2022 </w:t>
      </w:r>
      <w:r w:rsidRPr="00286B90">
        <w:rPr>
          <w:color w:val="000000" w:themeColor="text1"/>
        </w:rPr>
        <w:t>г.</w:t>
      </w:r>
      <w:r>
        <w:rPr>
          <w:color w:val="000000" w:themeColor="text1"/>
        </w:rPr>
        <w:t xml:space="preserve"> </w:t>
      </w:r>
      <w:r w:rsidRPr="00FA317F">
        <w:rPr>
          <w:color w:val="000000" w:themeColor="text1"/>
        </w:rPr>
        <w:t xml:space="preserve">Параметрите по изпълнението на приходите </w:t>
      </w:r>
      <w:r>
        <w:rPr>
          <w:color w:val="000000" w:themeColor="text1"/>
        </w:rPr>
        <w:t>за 2022 г. на съпоставима база с разчетите към ЗДБРБ за 2022</w:t>
      </w:r>
      <w:r w:rsidR="002421D2">
        <w:rPr>
          <w:color w:val="000000" w:themeColor="text1"/>
        </w:rPr>
        <w:t> </w:t>
      </w:r>
      <w:r>
        <w:rPr>
          <w:color w:val="000000" w:themeColor="text1"/>
        </w:rPr>
        <w:t>г.</w:t>
      </w:r>
      <w:r w:rsidR="0093476C">
        <w:rPr>
          <w:color w:val="000000" w:themeColor="text1"/>
        </w:rPr>
        <w:t>,</w:t>
      </w:r>
      <w:r>
        <w:rPr>
          <w:color w:val="000000" w:themeColor="text1"/>
        </w:rPr>
        <w:t xml:space="preserve"> </w:t>
      </w:r>
      <w:r w:rsidRPr="00FA317F">
        <w:rPr>
          <w:color w:val="000000" w:themeColor="text1"/>
        </w:rPr>
        <w:t xml:space="preserve">при елиминиране въздействието на постъпления с еднократен характер, са близки до планираните за годината, като данъчните и осигурителните приходи надвишават плана за годината с 1,5 на сто. </w:t>
      </w:r>
    </w:p>
    <w:p w14:paraId="28320A5D" w14:textId="2F7A1398" w:rsidR="003A24F8" w:rsidRDefault="003A24F8" w:rsidP="003A24F8">
      <w:pPr>
        <w:numPr>
          <w:ilvl w:val="0"/>
          <w:numId w:val="5"/>
        </w:numPr>
        <w:tabs>
          <w:tab w:val="clear" w:pos="2160"/>
          <w:tab w:val="num" w:pos="360"/>
        </w:tabs>
        <w:ind w:left="0" w:firstLine="426"/>
        <w:jc w:val="both"/>
        <w:rPr>
          <w:iCs/>
          <w:color w:val="548DD4" w:themeColor="text2" w:themeTint="99"/>
        </w:rPr>
      </w:pPr>
      <w:r>
        <w:rPr>
          <w:color w:val="000000" w:themeColor="text1"/>
        </w:rPr>
        <w:t>Общите р</w:t>
      </w:r>
      <w:r w:rsidRPr="00AB44E4">
        <w:rPr>
          <w:color w:val="000000" w:themeColor="text1"/>
        </w:rPr>
        <w:t xml:space="preserve">азходи по КФП (вкл. вноската на Република България в бюджета на ЕС) за 2022 г. са в размер на </w:t>
      </w:r>
      <w:r>
        <w:rPr>
          <w:color w:val="000000" w:themeColor="text1"/>
        </w:rPr>
        <w:t>66,1</w:t>
      </w:r>
      <w:r w:rsidRPr="00AB44E4">
        <w:rPr>
          <w:color w:val="000000" w:themeColor="text1"/>
        </w:rPr>
        <w:t xml:space="preserve"> м</w:t>
      </w:r>
      <w:r>
        <w:rPr>
          <w:color w:val="000000" w:themeColor="text1"/>
        </w:rPr>
        <w:t>лрд</w:t>
      </w:r>
      <w:r w:rsidRPr="00AB44E4">
        <w:rPr>
          <w:color w:val="000000" w:themeColor="text1"/>
        </w:rPr>
        <w:t>. лв., вкл. 3,</w:t>
      </w:r>
      <w:r>
        <w:rPr>
          <w:color w:val="000000" w:themeColor="text1"/>
        </w:rPr>
        <w:t>2</w:t>
      </w:r>
      <w:r w:rsidRPr="00AB44E4">
        <w:rPr>
          <w:color w:val="000000" w:themeColor="text1"/>
        </w:rPr>
        <w:t xml:space="preserve"> млрд. лв. разходи с еднократен извънреден характер</w:t>
      </w:r>
      <w:r>
        <w:rPr>
          <w:color w:val="000000" w:themeColor="text1"/>
        </w:rPr>
        <w:t>.</w:t>
      </w:r>
      <w:r w:rsidRPr="00AB44E4">
        <w:rPr>
          <w:color w:val="000000" w:themeColor="text1"/>
        </w:rPr>
        <w:t xml:space="preserve"> </w:t>
      </w:r>
      <w:r>
        <w:rPr>
          <w:color w:val="000000" w:themeColor="text1"/>
        </w:rPr>
        <w:t>На съпоставима база след като</w:t>
      </w:r>
      <w:r w:rsidRPr="00AB44E4">
        <w:rPr>
          <w:color w:val="000000" w:themeColor="text1"/>
        </w:rPr>
        <w:t xml:space="preserve"> се елиминира въздействието на еднократните извънредни разходи по бюджета на </w:t>
      </w:r>
      <w:r>
        <w:rPr>
          <w:color w:val="000000" w:themeColor="text1"/>
        </w:rPr>
        <w:t>ФСЕС</w:t>
      </w:r>
      <w:r w:rsidRPr="00A1312F">
        <w:rPr>
          <w:color w:val="000000" w:themeColor="text1"/>
        </w:rPr>
        <w:t>, разходите по КФП за 2022</w:t>
      </w:r>
      <w:r>
        <w:rPr>
          <w:color w:val="000000" w:themeColor="text1"/>
        </w:rPr>
        <w:t xml:space="preserve"> г.</w:t>
      </w:r>
      <w:r w:rsidRPr="00A1312F">
        <w:rPr>
          <w:color w:val="000000" w:themeColor="text1"/>
        </w:rPr>
        <w:t xml:space="preserve"> са в размер на 62,9</w:t>
      </w:r>
      <w:r w:rsidR="000B3E9C">
        <w:rPr>
          <w:color w:val="000000" w:themeColor="text1"/>
        </w:rPr>
        <w:t> </w:t>
      </w:r>
      <w:r w:rsidRPr="00A1312F">
        <w:rPr>
          <w:color w:val="000000" w:themeColor="text1"/>
        </w:rPr>
        <w:t>млрд. лв.,</w:t>
      </w:r>
      <w:r w:rsidRPr="00AB44E4">
        <w:rPr>
          <w:color w:val="000000" w:themeColor="text1"/>
        </w:rPr>
        <w:t xml:space="preserve"> което представлява 95,</w:t>
      </w:r>
      <w:r>
        <w:rPr>
          <w:color w:val="000000" w:themeColor="text1"/>
        </w:rPr>
        <w:t>5</w:t>
      </w:r>
      <w:r w:rsidRPr="00AB44E4">
        <w:rPr>
          <w:color w:val="000000" w:themeColor="text1"/>
        </w:rPr>
        <w:t xml:space="preserve"> % от р</w:t>
      </w:r>
      <w:r>
        <w:rPr>
          <w:color w:val="000000" w:themeColor="text1"/>
        </w:rPr>
        <w:t>азчета към ЗДБРБ за 2022</w:t>
      </w:r>
      <w:r w:rsidR="00B530C6">
        <w:rPr>
          <w:color w:val="000000" w:themeColor="text1"/>
        </w:rPr>
        <w:t xml:space="preserve"> </w:t>
      </w:r>
      <w:r w:rsidRPr="00AB44E4">
        <w:rPr>
          <w:color w:val="000000" w:themeColor="text1"/>
        </w:rPr>
        <w:t>г.</w:t>
      </w:r>
    </w:p>
    <w:p w14:paraId="22C452C0" w14:textId="77777777" w:rsidR="003A24F8" w:rsidRPr="00C7409C" w:rsidRDefault="003A24F8" w:rsidP="003A24F8">
      <w:pPr>
        <w:numPr>
          <w:ilvl w:val="0"/>
          <w:numId w:val="5"/>
        </w:numPr>
        <w:tabs>
          <w:tab w:val="clear" w:pos="2160"/>
          <w:tab w:val="num" w:pos="360"/>
        </w:tabs>
        <w:ind w:left="0" w:firstLine="426"/>
        <w:jc w:val="both"/>
        <w:rPr>
          <w:bCs/>
          <w:color w:val="000000" w:themeColor="text1"/>
        </w:rPr>
      </w:pPr>
      <w:r w:rsidRPr="00C7409C">
        <w:rPr>
          <w:bCs/>
          <w:color w:val="000000" w:themeColor="text1"/>
        </w:rPr>
        <w:t>Предвидените законови ограничения по отношение на държавния дълг за 2022 г. са спазени, като номиналният размер на държавния дълг към 31.12.2022 г. е 36,1 млрд. лв., или под прага на предвиденото в ЗДБРБ дългово ограничение от 38,5 млрд. лв., съгласно чл. 67 от ЗДБРБ за 2022 г.</w:t>
      </w:r>
      <w:r w:rsidRPr="00C7409C">
        <w:rPr>
          <w:rFonts w:eastAsia="Batang"/>
          <w:color w:val="548DD4" w:themeColor="text2" w:themeTint="99"/>
        </w:rPr>
        <w:t xml:space="preserve"> </w:t>
      </w:r>
    </w:p>
    <w:p w14:paraId="60A755BB" w14:textId="113FC775" w:rsidR="003A24F8" w:rsidRPr="005E3C87" w:rsidRDefault="003A24F8" w:rsidP="003A24F8">
      <w:pPr>
        <w:pStyle w:val="ListParagraph"/>
        <w:numPr>
          <w:ilvl w:val="0"/>
          <w:numId w:val="5"/>
        </w:numPr>
        <w:tabs>
          <w:tab w:val="clear" w:pos="2160"/>
        </w:tabs>
        <w:spacing w:after="120"/>
        <w:ind w:left="0" w:firstLine="426"/>
        <w:jc w:val="both"/>
        <w:rPr>
          <w:bCs/>
          <w:color w:val="548DD4" w:themeColor="text2" w:themeTint="99"/>
        </w:rPr>
      </w:pPr>
      <w:r w:rsidRPr="004468D1">
        <w:rPr>
          <w:bCs/>
          <w:color w:val="000000" w:themeColor="text1"/>
        </w:rPr>
        <w:t>Общият размер на касовите постъпления от ЕС (от Структурните и Кохезионния фондове, от ЕЗФРСР и ЕФР, от средства за директни плащания към земеделските производители и плащания по пазарни мерки и др.) за 2022 г. е 7 5</w:t>
      </w:r>
      <w:r w:rsidR="00141FF0" w:rsidRPr="00F26A14">
        <w:rPr>
          <w:bCs/>
          <w:color w:val="000000" w:themeColor="text1"/>
          <w:lang w:val="ru-RU"/>
        </w:rPr>
        <w:t>90</w:t>
      </w:r>
      <w:r w:rsidRPr="004468D1">
        <w:rPr>
          <w:bCs/>
          <w:color w:val="000000" w:themeColor="text1"/>
        </w:rPr>
        <w:t>,</w:t>
      </w:r>
      <w:r w:rsidR="00141FF0" w:rsidRPr="00F26A14">
        <w:rPr>
          <w:bCs/>
          <w:color w:val="000000" w:themeColor="text1"/>
          <w:lang w:val="ru-RU"/>
        </w:rPr>
        <w:t>0</w:t>
      </w:r>
      <w:r w:rsidRPr="004468D1">
        <w:rPr>
          <w:bCs/>
          <w:color w:val="000000" w:themeColor="text1"/>
        </w:rPr>
        <w:t> млн. лв. Нетните постъпления от ЕС към 31.12.2022 г. (касови постъпления от ЕС, намалени с вноската в общия бюджет на ЕС) са положителни в размер на 5 8</w:t>
      </w:r>
      <w:r w:rsidR="00141FF0" w:rsidRPr="00F26A14">
        <w:rPr>
          <w:bCs/>
          <w:color w:val="000000" w:themeColor="text1"/>
          <w:lang w:val="ru-RU"/>
        </w:rPr>
        <w:t>84</w:t>
      </w:r>
      <w:r w:rsidRPr="004468D1">
        <w:rPr>
          <w:bCs/>
          <w:color w:val="000000" w:themeColor="text1"/>
        </w:rPr>
        <w:t>,</w:t>
      </w:r>
      <w:r w:rsidR="00141FF0" w:rsidRPr="00F26A14">
        <w:rPr>
          <w:bCs/>
          <w:color w:val="000000" w:themeColor="text1"/>
          <w:lang w:val="ru-RU"/>
        </w:rPr>
        <w:t>9</w:t>
      </w:r>
      <w:r w:rsidRPr="004468D1">
        <w:rPr>
          <w:bCs/>
          <w:color w:val="000000" w:themeColor="text1"/>
        </w:rPr>
        <w:t xml:space="preserve"> млн. лева.</w:t>
      </w:r>
      <w:r w:rsidRPr="005E3C87">
        <w:rPr>
          <w:bCs/>
          <w:color w:val="548DD4" w:themeColor="text2" w:themeTint="99"/>
        </w:rPr>
        <w:t xml:space="preserve"> </w:t>
      </w:r>
    </w:p>
    <w:p w14:paraId="2E4706BF" w14:textId="3CD021B9" w:rsidR="00EC2E0C" w:rsidRPr="00737402" w:rsidRDefault="003A24F8" w:rsidP="00737402">
      <w:pPr>
        <w:pStyle w:val="ListParagraph"/>
        <w:numPr>
          <w:ilvl w:val="0"/>
          <w:numId w:val="5"/>
        </w:numPr>
        <w:tabs>
          <w:tab w:val="clear" w:pos="2160"/>
        </w:tabs>
        <w:spacing w:after="120"/>
        <w:ind w:left="0" w:firstLine="426"/>
        <w:jc w:val="both"/>
        <w:rPr>
          <w:bCs/>
          <w:color w:val="000000" w:themeColor="text1"/>
        </w:rPr>
      </w:pPr>
      <w:r w:rsidRPr="00737402">
        <w:rPr>
          <w:bCs/>
          <w:color w:val="000000" w:themeColor="text1"/>
        </w:rPr>
        <w:t>Фискалният резерв към 31.12.2022 г. е в размер на 13,4 млрд. лв., в т.ч. 12,1 млрд. лв. депозити на фискалния резерв в БНБ и банки и 1,3 млрд. лв. вземания от фондовете на Европейския съюз за сертифицирани разходи, аванси и други. Фискалният резерв към края на годината е над определения в чл. 66 на ЗДБРБ за 2022 г. минимален размер от 4,5 млрд.</w:t>
      </w:r>
      <w:r w:rsidR="002421D2">
        <w:rPr>
          <w:bCs/>
          <w:color w:val="000000" w:themeColor="text1"/>
        </w:rPr>
        <w:t> </w:t>
      </w:r>
      <w:r w:rsidRPr="00737402">
        <w:rPr>
          <w:bCs/>
          <w:color w:val="000000" w:themeColor="text1"/>
        </w:rPr>
        <w:t>лева</w:t>
      </w:r>
      <w:r w:rsidR="000D4C6E" w:rsidRPr="00737402">
        <w:rPr>
          <w:bCs/>
          <w:color w:val="000000" w:themeColor="text1"/>
        </w:rPr>
        <w:t>.</w:t>
      </w:r>
    </w:p>
    <w:p w14:paraId="40EA1285" w14:textId="77777777" w:rsidR="00D2710D" w:rsidRPr="007B48E9" w:rsidRDefault="00D2710D" w:rsidP="00EC2E0C">
      <w:pPr>
        <w:jc w:val="both"/>
        <w:rPr>
          <w:b/>
          <w:bCs/>
          <w:color w:val="0070C0"/>
          <w:sz w:val="28"/>
          <w:szCs w:val="28"/>
          <w:lang w:eastAsia="en-US"/>
        </w:rPr>
      </w:pPr>
    </w:p>
    <w:p w14:paraId="00FF7551" w14:textId="77777777" w:rsidR="00A41AA0" w:rsidRDefault="00A41AA0" w:rsidP="00EC2E0C">
      <w:pPr>
        <w:ind w:left="2520" w:hanging="2520"/>
        <w:jc w:val="both"/>
        <w:rPr>
          <w:b/>
          <w:bCs/>
          <w:sz w:val="28"/>
          <w:szCs w:val="28"/>
          <w:lang w:eastAsia="en-US"/>
        </w:rPr>
      </w:pPr>
    </w:p>
    <w:p w14:paraId="5F6DF7D4" w14:textId="57E4D656" w:rsidR="00EC2E0C" w:rsidRPr="00902A6A" w:rsidRDefault="00EC2E0C" w:rsidP="00EC2E0C">
      <w:pPr>
        <w:ind w:left="2520" w:hanging="2520"/>
        <w:jc w:val="both"/>
        <w:rPr>
          <w:b/>
        </w:rPr>
      </w:pPr>
      <w:r w:rsidRPr="00902A6A">
        <w:rPr>
          <w:b/>
          <w:bCs/>
          <w:sz w:val="28"/>
          <w:szCs w:val="28"/>
          <w:lang w:eastAsia="en-US"/>
        </w:rPr>
        <w:t>ПРИЛОЖЕНИЯ</w:t>
      </w:r>
      <w:r w:rsidRPr="00902A6A">
        <w:rPr>
          <w:b/>
        </w:rPr>
        <w:t xml:space="preserve">:  </w:t>
      </w:r>
    </w:p>
    <w:p w14:paraId="18C967F2" w14:textId="3AAE2E3B" w:rsidR="00EC2E0C" w:rsidRPr="00902A6A" w:rsidRDefault="00EC2E0C" w:rsidP="00052FDA">
      <w:pPr>
        <w:ind w:left="2341" w:hanging="181"/>
      </w:pPr>
      <w:r w:rsidRPr="00902A6A">
        <w:t>1.Отчет за изпълнението на държавния бюджет на Република България за 20</w:t>
      </w:r>
      <w:r w:rsidR="00F56116" w:rsidRPr="00902A6A">
        <w:t>2</w:t>
      </w:r>
      <w:r w:rsidR="009C2919" w:rsidRPr="00902A6A">
        <w:t>2</w:t>
      </w:r>
      <w:r w:rsidRPr="00902A6A">
        <w:t xml:space="preserve"> г.</w:t>
      </w:r>
    </w:p>
    <w:p w14:paraId="01A55FEC" w14:textId="625CCEF5" w:rsidR="00EC2E0C" w:rsidRPr="00902A6A" w:rsidRDefault="00EC2E0C" w:rsidP="00052FDA">
      <w:pPr>
        <w:ind w:firstLine="2160"/>
        <w:rPr>
          <w:b/>
        </w:rPr>
      </w:pPr>
      <w:r w:rsidRPr="00902A6A">
        <w:t>2.Отчет на консолидираната фискална програма за 20</w:t>
      </w:r>
      <w:r w:rsidR="00F56116" w:rsidRPr="00902A6A">
        <w:t>2</w:t>
      </w:r>
      <w:r w:rsidR="009C2919" w:rsidRPr="00902A6A">
        <w:t>2</w:t>
      </w:r>
      <w:r w:rsidRPr="00902A6A">
        <w:t xml:space="preserve"> г.</w:t>
      </w:r>
    </w:p>
    <w:p w14:paraId="405D8C45" w14:textId="1E05D502" w:rsidR="00EC2E0C" w:rsidRPr="00902A6A" w:rsidRDefault="00EC2E0C" w:rsidP="00052FDA">
      <w:pPr>
        <w:ind w:left="2340" w:hanging="180"/>
        <w:jc w:val="both"/>
      </w:pPr>
      <w:r w:rsidRPr="00902A6A">
        <w:t>3.</w:t>
      </w:r>
      <w:r w:rsidR="00215364" w:rsidRPr="00902A6A">
        <w:t>Преглед</w:t>
      </w:r>
      <w:r w:rsidRPr="00902A6A">
        <w:t xml:space="preserve"> на изпълнението на утвърдените разходи по области на политики и бюджетни програми в ЗДБРБ за 20</w:t>
      </w:r>
      <w:r w:rsidR="00F56116" w:rsidRPr="00902A6A">
        <w:t>2</w:t>
      </w:r>
      <w:r w:rsidR="009C2919" w:rsidRPr="00902A6A">
        <w:t>2</w:t>
      </w:r>
      <w:r w:rsidRPr="00902A6A">
        <w:t xml:space="preserve"> г. на МС и </w:t>
      </w:r>
      <w:r w:rsidR="00301DB6" w:rsidRPr="00902A6A">
        <w:t xml:space="preserve">на </w:t>
      </w:r>
      <w:r w:rsidRPr="00902A6A">
        <w:t>министерствата</w:t>
      </w:r>
      <w:r w:rsidR="00301DB6" w:rsidRPr="00902A6A">
        <w:t xml:space="preserve"> и ведо</w:t>
      </w:r>
      <w:r w:rsidR="00945EA7" w:rsidRPr="00902A6A">
        <w:t>м</w:t>
      </w:r>
      <w:r w:rsidR="00301DB6" w:rsidRPr="00902A6A">
        <w:t>ствата</w:t>
      </w:r>
      <w:r w:rsidRPr="00902A6A">
        <w:t>, прилагащи програмен формат на бюджет, с акцент върху постигнатите резултати.</w:t>
      </w:r>
    </w:p>
    <w:p w14:paraId="53809CA9" w14:textId="0965EF0E" w:rsidR="00FC6E44" w:rsidRPr="007B48E9" w:rsidRDefault="00FC6E44" w:rsidP="00052FDA">
      <w:pPr>
        <w:rPr>
          <w:color w:val="0070C0"/>
          <w:sz w:val="20"/>
          <w:szCs w:val="20"/>
        </w:rPr>
      </w:pPr>
    </w:p>
    <w:p w14:paraId="6EE7FD52" w14:textId="77777777" w:rsidR="00A41AA0" w:rsidRDefault="00A41AA0" w:rsidP="00A41AA0">
      <w:pPr>
        <w:rPr>
          <w:sz w:val="20"/>
          <w:szCs w:val="20"/>
        </w:rPr>
      </w:pPr>
    </w:p>
    <w:p w14:paraId="1DAB2DB5" w14:textId="77777777" w:rsidR="00A41AA0" w:rsidRDefault="00A41AA0" w:rsidP="00A41AA0">
      <w:pPr>
        <w:rPr>
          <w:sz w:val="20"/>
          <w:szCs w:val="20"/>
        </w:rPr>
      </w:pPr>
      <w:bookmarkStart w:id="552" w:name="_GoBack"/>
      <w:bookmarkEnd w:id="552"/>
    </w:p>
    <w:sectPr w:rsidR="00A41AA0" w:rsidSect="0065693A">
      <w:pgSz w:w="11906" w:h="16838"/>
      <w:pgMar w:top="1258" w:right="1106" w:bottom="1276"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CB627F" w14:textId="77777777" w:rsidR="00C15E71" w:rsidRDefault="00C15E71">
      <w:r>
        <w:separator/>
      </w:r>
    </w:p>
  </w:endnote>
  <w:endnote w:type="continuationSeparator" w:id="0">
    <w:p w14:paraId="44D76DB8" w14:textId="77777777" w:rsidR="00C15E71" w:rsidRDefault="00C15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MS Minngs">
    <w:altName w:val="Yu Gothic UI"/>
    <w:panose1 w:val="00000000000000000000"/>
    <w:charset w:val="80"/>
    <w:family w:val="roman"/>
    <w:notTrueType/>
    <w:pitch w:val="fixed"/>
    <w:sig w:usb0="00000000"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Futura Bk">
    <w:altName w:val="Century Gothic"/>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notTrueType/>
    <w:pitch w:val="default"/>
    <w:sig w:usb0="00000003" w:usb1="00000000" w:usb2="00000000" w:usb3="00000000" w:csb0="00000001" w:csb1="00000000"/>
  </w:font>
  <w:font w:name="TimesNewRomanPSMT">
    <w:altName w:val="Times New Roman"/>
    <w:panose1 w:val="00000000000000000000"/>
    <w:charset w:val="CC"/>
    <w:family w:val="roman"/>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D37660" w14:textId="77777777" w:rsidR="00C15E71" w:rsidRDefault="00C15E71" w:rsidP="00CC2AF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70FB8B" w14:textId="77777777" w:rsidR="00C15E71" w:rsidRDefault="00C15E71" w:rsidP="00C21101">
    <w:pPr>
      <w:pStyle w:val="Footer"/>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788F0A" w14:textId="24D4B4B3" w:rsidR="00C15E71" w:rsidRDefault="00C15E71" w:rsidP="00CC2AFC">
    <w:pPr>
      <w:pStyle w:val="Footer"/>
      <w:framePr w:wrap="around" w:vAnchor="text" w:hAnchor="margin" w:xAlign="right" w:y="1"/>
      <w:jc w:val="right"/>
      <w:rPr>
        <w:rStyle w:val="PageNumber"/>
      </w:rPr>
    </w:pPr>
    <w:r>
      <w:rPr>
        <w:rStyle w:val="PageNumber"/>
      </w:rPr>
      <w:fldChar w:fldCharType="begin"/>
    </w:r>
    <w:r>
      <w:rPr>
        <w:rStyle w:val="PageNumber"/>
      </w:rPr>
      <w:instrText xml:space="preserve">PAGE  </w:instrText>
    </w:r>
    <w:r>
      <w:rPr>
        <w:rStyle w:val="PageNumber"/>
      </w:rPr>
      <w:fldChar w:fldCharType="separate"/>
    </w:r>
    <w:r w:rsidR="00A16570">
      <w:rPr>
        <w:rStyle w:val="PageNumber"/>
        <w:noProof/>
      </w:rPr>
      <w:t>203</w:t>
    </w:r>
    <w:r>
      <w:rPr>
        <w:rStyle w:val="PageNumber"/>
      </w:rPr>
      <w:fldChar w:fldCharType="end"/>
    </w:r>
  </w:p>
  <w:p w14:paraId="5C1464D2" w14:textId="77777777" w:rsidR="00C15E71" w:rsidRDefault="00C15E71" w:rsidP="00CC2AFC">
    <w:pPr>
      <w:pStyle w:val="Footer"/>
      <w:framePr w:wrap="around" w:vAnchor="text" w:hAnchor="margin" w:xAlign="right" w:y="1"/>
      <w:ind w:right="360"/>
      <w:rPr>
        <w:rStyle w:val="PageNumber"/>
      </w:rPr>
    </w:pPr>
  </w:p>
  <w:p w14:paraId="156CC59A" w14:textId="77777777" w:rsidR="00C15E71" w:rsidRDefault="00C15E71" w:rsidP="00797BA4">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73A09A" w14:textId="77777777" w:rsidR="00C15E71" w:rsidRDefault="00C15E71">
      <w:r>
        <w:separator/>
      </w:r>
    </w:p>
  </w:footnote>
  <w:footnote w:type="continuationSeparator" w:id="0">
    <w:p w14:paraId="6BA1AEEB" w14:textId="77777777" w:rsidR="00C15E71" w:rsidRDefault="00C15E71">
      <w:r>
        <w:continuationSeparator/>
      </w:r>
    </w:p>
  </w:footnote>
  <w:footnote w:id="1">
    <w:p w14:paraId="24E9786E" w14:textId="77777777" w:rsidR="00C15E71" w:rsidRPr="006B18DE" w:rsidRDefault="00C15E71" w:rsidP="004F29B4">
      <w:pPr>
        <w:pStyle w:val="FootnoteText"/>
      </w:pPr>
      <w:r w:rsidRPr="006B18DE">
        <w:rPr>
          <w:rStyle w:val="FootnoteReference"/>
        </w:rPr>
        <w:footnoteRef/>
      </w:r>
      <w:r w:rsidRPr="006B18DE">
        <w:t xml:space="preserve"> От общата инфлация е изключена динамиката на енергийни стоки, храни, алкохол и цигари.</w:t>
      </w:r>
    </w:p>
  </w:footnote>
  <w:footnote w:id="2">
    <w:p w14:paraId="2BBDD693" w14:textId="77777777" w:rsidR="00C15E71" w:rsidRPr="006B18DE" w:rsidRDefault="00C15E71" w:rsidP="004F29B4">
      <w:pPr>
        <w:pStyle w:val="FootnoteText"/>
      </w:pPr>
      <w:r w:rsidRPr="006B18DE">
        <w:rPr>
          <w:rStyle w:val="FootnoteReference"/>
        </w:rPr>
        <w:footnoteRef/>
      </w:r>
      <w:r w:rsidRPr="006B18DE">
        <w:t xml:space="preserve"> Индексът на контролираните цени се изчислява чрез претегляне на съответните елементарни агрегати.</w:t>
      </w:r>
    </w:p>
  </w:footnote>
  <w:footnote w:id="3">
    <w:p w14:paraId="2CDD8B3D" w14:textId="77777777" w:rsidR="00C15E71" w:rsidRPr="004D5FFC" w:rsidRDefault="00C15E71" w:rsidP="004F29B4">
      <w:pPr>
        <w:pStyle w:val="FootnoteText"/>
      </w:pPr>
      <w:r>
        <w:rPr>
          <w:rStyle w:val="FootnoteReference"/>
        </w:rPr>
        <w:footnoteRef/>
      </w:r>
      <w:r>
        <w:t xml:space="preserve"> </w:t>
      </w:r>
      <w:hyperlink r:id="rId1" w:history="1">
        <w:r w:rsidRPr="00374F1E">
          <w:rPr>
            <w:rStyle w:val="Hyperlink"/>
          </w:rPr>
          <w:t>https://www.minfin.bg/upload/52199/MacroForecast_May2022_bg.pdf</w:t>
        </w:r>
      </w:hyperlink>
      <w:r w:rsidRPr="004D5FFC">
        <w:t xml:space="preserve"> </w:t>
      </w:r>
    </w:p>
  </w:footnote>
  <w:footnote w:id="4">
    <w:p w14:paraId="11187F37" w14:textId="77777777" w:rsidR="00C15E71" w:rsidRPr="00116196" w:rsidRDefault="00C15E71" w:rsidP="00A02919">
      <w:pPr>
        <w:pStyle w:val="FootnoteText"/>
        <w:rPr>
          <w:sz w:val="18"/>
        </w:rPr>
      </w:pPr>
      <w:r w:rsidRPr="00116196">
        <w:rPr>
          <w:rStyle w:val="FootnoteReference"/>
          <w:sz w:val="18"/>
        </w:rPr>
        <w:footnoteRef/>
      </w:r>
      <w:r w:rsidRPr="00116196">
        <w:rPr>
          <w:sz w:val="18"/>
        </w:rPr>
        <w:t xml:space="preserve"> В съответствие с § 1, т. 41 от Допълнителните разпоредби на Закона за публичните финанси</w:t>
      </w:r>
    </w:p>
  </w:footnote>
  <w:footnote w:id="5">
    <w:p w14:paraId="73D50A90" w14:textId="77777777" w:rsidR="00C15E71" w:rsidRDefault="00C15E71" w:rsidP="00A02919">
      <w:pPr>
        <w:pStyle w:val="FootnoteText"/>
      </w:pPr>
      <w:r>
        <w:rPr>
          <w:rStyle w:val="FootnoteReference"/>
        </w:rPr>
        <w:footnoteRef/>
      </w:r>
      <w:r>
        <w:t xml:space="preserve"> Съобщение на ЕК за активирането на общата клауза за дерогация - </w:t>
      </w:r>
      <w:hyperlink r:id="rId2" w:history="1">
        <w:r w:rsidRPr="002F1206">
          <w:rPr>
            <w:rStyle w:val="Hyperlink"/>
          </w:rPr>
          <w:t>https://eur-lex.europa.eu/legal-content/BG/TXT/HTML/?uri=CELEX:52020DC0123&amp;from=EN</w:t>
        </w:r>
      </w:hyperlink>
    </w:p>
  </w:footnote>
  <w:footnote w:id="6">
    <w:p w14:paraId="4F032F3F" w14:textId="77777777" w:rsidR="00C15E71" w:rsidRPr="001851E3" w:rsidRDefault="00C15E71" w:rsidP="00A02919">
      <w:pPr>
        <w:pStyle w:val="FootnoteText"/>
        <w:rPr>
          <w:sz w:val="18"/>
          <w:szCs w:val="18"/>
        </w:rPr>
      </w:pPr>
      <w:r w:rsidRPr="00FF51FB">
        <w:rPr>
          <w:rStyle w:val="FootnoteReference"/>
          <w:sz w:val="18"/>
          <w:szCs w:val="18"/>
        </w:rPr>
        <w:footnoteRef/>
      </w:r>
      <w:r w:rsidRPr="00FF51FB">
        <w:rPr>
          <w:sz w:val="18"/>
          <w:szCs w:val="18"/>
        </w:rPr>
        <w:t xml:space="preserve"> </w:t>
      </w:r>
      <w:r w:rsidRPr="00FF51FB">
        <w:rPr>
          <w:bCs/>
          <w:color w:val="000000" w:themeColor="text1"/>
          <w:sz w:val="18"/>
          <w:szCs w:val="18"/>
        </w:rPr>
        <w:t>В обхвата на разходите не се включват разходите, извършвани от сметки за средства от Европейския съюз, както и по други международни програми и договори, които са с режим на сметки за средства от Европейския съюз съгласно </w:t>
      </w:r>
      <w:hyperlink r:id="rId3" w:anchor="p8011318" w:tgtFrame="_blank" w:history="1">
        <w:r w:rsidRPr="00FF51FB">
          <w:rPr>
            <w:bCs/>
            <w:color w:val="000000" w:themeColor="text1"/>
            <w:sz w:val="18"/>
            <w:szCs w:val="18"/>
          </w:rPr>
          <w:t>чл. 8, ал. 4</w:t>
        </w:r>
      </w:hyperlink>
      <w:r w:rsidRPr="00FF51FB">
        <w:rPr>
          <w:bCs/>
          <w:color w:val="000000" w:themeColor="text1"/>
          <w:sz w:val="18"/>
          <w:szCs w:val="18"/>
        </w:rPr>
        <w:t>, на ЗПФ включително свързаното с тях национално съфинансиране.</w:t>
      </w:r>
    </w:p>
  </w:footnote>
  <w:footnote w:id="7">
    <w:p w14:paraId="643BD2E0" w14:textId="1BBB1C82" w:rsidR="00C15E71" w:rsidRDefault="00C15E71" w:rsidP="00B61AE7">
      <w:pPr>
        <w:pStyle w:val="FootnoteText"/>
      </w:pPr>
      <w:r>
        <w:rPr>
          <w:rStyle w:val="FootnoteReference"/>
        </w:rPr>
        <w:footnoteRef/>
      </w:r>
      <w:r>
        <w:t xml:space="preserve"> </w:t>
      </w:r>
      <w:r w:rsidRPr="000B100F">
        <w:rPr>
          <w:sz w:val="18"/>
          <w:szCs w:val="18"/>
        </w:rPr>
        <w:t>Обхваща държавния бюджет и бюджетите на общините, социалноосигурителните фондове, ДВУ, БАН, БНР, БНТ, БТА</w:t>
      </w:r>
      <w:r w:rsidRPr="000B100F">
        <w:rPr>
          <w:sz w:val="18"/>
          <w:szCs w:val="18"/>
          <w:lang w:val="ru-RU"/>
        </w:rPr>
        <w:t>, бюджетите по чл. 13, ал. 4 от ЗПФ,</w:t>
      </w:r>
      <w:r w:rsidRPr="000B100F">
        <w:rPr>
          <w:sz w:val="18"/>
          <w:szCs w:val="18"/>
        </w:rPr>
        <w:t xml:space="preserve">  както и сметките за средства от ЕС и сметките за чужди средства на бюджетните организации.</w:t>
      </w:r>
    </w:p>
  </w:footnote>
  <w:footnote w:id="8">
    <w:p w14:paraId="7DBA8F60" w14:textId="77777777" w:rsidR="00C15E71" w:rsidRPr="000B100F" w:rsidRDefault="00C15E71" w:rsidP="00612D58">
      <w:pPr>
        <w:pStyle w:val="FootnoteText"/>
        <w:jc w:val="both"/>
        <w:rPr>
          <w:sz w:val="18"/>
          <w:szCs w:val="18"/>
        </w:rPr>
      </w:pPr>
      <w:r w:rsidRPr="000B100F">
        <w:rPr>
          <w:rStyle w:val="FootnoteReference"/>
          <w:sz w:val="18"/>
          <w:szCs w:val="18"/>
        </w:rPr>
        <w:footnoteRef/>
      </w:r>
      <w:r w:rsidRPr="000B100F">
        <w:rPr>
          <w:sz w:val="18"/>
          <w:szCs w:val="18"/>
        </w:rPr>
        <w:t xml:space="preserve"> Поради закръгление в млн. лв. </w:t>
      </w:r>
      <w:r w:rsidRPr="00ED37B5">
        <w:rPr>
          <w:sz w:val="18"/>
          <w:szCs w:val="18"/>
        </w:rPr>
        <w:t>(</w:t>
      </w:r>
      <w:r w:rsidRPr="000B100F">
        <w:rPr>
          <w:sz w:val="18"/>
          <w:szCs w:val="18"/>
        </w:rPr>
        <w:t>респективно в проценти</w:t>
      </w:r>
      <w:r w:rsidRPr="00ED37B5">
        <w:rPr>
          <w:sz w:val="18"/>
          <w:szCs w:val="18"/>
        </w:rPr>
        <w:t>)</w:t>
      </w:r>
      <w:r w:rsidRPr="000B100F">
        <w:rPr>
          <w:sz w:val="18"/>
          <w:szCs w:val="18"/>
        </w:rPr>
        <w:t>, някои сумарни позиции в таблиците</w:t>
      </w:r>
      <w:r w:rsidRPr="00ED37B5">
        <w:rPr>
          <w:sz w:val="18"/>
          <w:szCs w:val="18"/>
        </w:rPr>
        <w:t xml:space="preserve"> </w:t>
      </w:r>
      <w:r w:rsidRPr="000B100F">
        <w:rPr>
          <w:sz w:val="18"/>
          <w:szCs w:val="18"/>
        </w:rPr>
        <w:t>и графиките не се изчерпват от съставните им числа.</w:t>
      </w:r>
    </w:p>
  </w:footnote>
  <w:footnote w:id="9">
    <w:p w14:paraId="791B5088" w14:textId="77777777" w:rsidR="00C15E71" w:rsidRPr="000B100F" w:rsidRDefault="00C15E71" w:rsidP="00612D58">
      <w:pPr>
        <w:pStyle w:val="FootnoteText"/>
        <w:jc w:val="both"/>
        <w:rPr>
          <w:sz w:val="18"/>
          <w:szCs w:val="18"/>
          <w:lang w:val="ru-RU"/>
        </w:rPr>
      </w:pPr>
      <w:r w:rsidRPr="000B100F">
        <w:rPr>
          <w:rStyle w:val="FootnoteReference"/>
          <w:sz w:val="18"/>
          <w:szCs w:val="18"/>
        </w:rPr>
        <w:footnoteRef/>
      </w:r>
      <w:r w:rsidRPr="000B100F">
        <w:rPr>
          <w:sz w:val="18"/>
          <w:szCs w:val="18"/>
        </w:rPr>
        <w:t xml:space="preserve"> С оглед съпоставимост с отчетните данни на показателите по КФП по програмата за 20</w:t>
      </w:r>
      <w:r>
        <w:rPr>
          <w:sz w:val="18"/>
          <w:szCs w:val="18"/>
        </w:rPr>
        <w:t>22</w:t>
      </w:r>
      <w:r w:rsidRPr="000B100F">
        <w:rPr>
          <w:sz w:val="18"/>
          <w:szCs w:val="18"/>
        </w:rPr>
        <w:t xml:space="preserve"> г.:</w:t>
      </w:r>
    </w:p>
    <w:p w14:paraId="27ED6420" w14:textId="77777777" w:rsidR="00C15E71" w:rsidRPr="000B100F" w:rsidRDefault="00C15E71" w:rsidP="00612D58">
      <w:pPr>
        <w:pStyle w:val="FootnoteText"/>
        <w:jc w:val="both"/>
        <w:rPr>
          <w:sz w:val="18"/>
          <w:szCs w:val="18"/>
          <w:lang w:val="ru-RU"/>
        </w:rPr>
      </w:pPr>
      <w:r w:rsidRPr="000B100F">
        <w:rPr>
          <w:sz w:val="18"/>
          <w:szCs w:val="18"/>
          <w:lang w:val="en-US"/>
        </w:rPr>
        <w:t>i</w:t>
      </w:r>
      <w:r w:rsidRPr="000B100F">
        <w:rPr>
          <w:sz w:val="18"/>
          <w:szCs w:val="18"/>
        </w:rPr>
        <w:t>) разчетите в позицията „Резерв за непредвидени и/или неотложни разходи” са отнесени в съответните разходни позиции според основното предназначение на планираните средства</w:t>
      </w:r>
      <w:r w:rsidRPr="000B100F">
        <w:rPr>
          <w:sz w:val="18"/>
          <w:szCs w:val="18"/>
          <w:lang w:val="ru-RU"/>
        </w:rPr>
        <w:t>;</w:t>
      </w:r>
    </w:p>
    <w:p w14:paraId="5926D6B2" w14:textId="77777777" w:rsidR="00C15E71" w:rsidRPr="000B100F" w:rsidRDefault="00C15E71" w:rsidP="00612D58">
      <w:pPr>
        <w:pStyle w:val="FootnoteText"/>
        <w:jc w:val="both"/>
        <w:rPr>
          <w:sz w:val="18"/>
          <w:szCs w:val="18"/>
        </w:rPr>
      </w:pPr>
      <w:r w:rsidRPr="000B100F">
        <w:rPr>
          <w:sz w:val="18"/>
          <w:szCs w:val="18"/>
          <w:lang w:val="en-US"/>
        </w:rPr>
        <w:t>ii</w:t>
      </w:r>
      <w:r w:rsidRPr="000B100F">
        <w:rPr>
          <w:sz w:val="18"/>
          <w:szCs w:val="18"/>
        </w:rPr>
        <w:t>) Нетният прираст на държавния резерв е отнесен в позицията „Капиталови разходи”.</w:t>
      </w:r>
    </w:p>
  </w:footnote>
  <w:footnote w:id="10">
    <w:p w14:paraId="420757E9" w14:textId="77777777" w:rsidR="00C15E71" w:rsidRPr="00341022" w:rsidRDefault="00C15E71" w:rsidP="00612D58">
      <w:pPr>
        <w:pStyle w:val="FootnoteText"/>
        <w:jc w:val="both"/>
        <w:rPr>
          <w:sz w:val="18"/>
          <w:szCs w:val="18"/>
        </w:rPr>
      </w:pPr>
      <w:r w:rsidRPr="00DC217A">
        <w:rPr>
          <w:rStyle w:val="FootnoteReference"/>
          <w:sz w:val="18"/>
          <w:szCs w:val="18"/>
        </w:rPr>
        <w:footnoteRef/>
      </w:r>
      <w:r w:rsidRPr="00DC217A">
        <w:rPr>
          <w:sz w:val="18"/>
          <w:szCs w:val="18"/>
        </w:rPr>
        <w:t xml:space="preserve"> </w:t>
      </w:r>
      <w:r w:rsidRPr="00DC217A">
        <w:rPr>
          <w:rFonts w:eastAsiaTheme="minorHAnsi"/>
          <w:sz w:val="18"/>
          <w:szCs w:val="18"/>
        </w:rPr>
        <w:t xml:space="preserve">По бюджета на Фонд „Сигурност на електроенергийната система“ постъпват неданъчни приходи, респективно се извършват разходи, в изпълнение на §24 и §23 от Преходните и заключителните разпоредби на ЗДБРБ за 2022 г., които са с еднократен извънреден характер и не са заложени в разчетите към ЗДБРБ за 2022 г. За периода юли-декември постъпилите приходи от </w:t>
      </w:r>
      <w:r w:rsidRPr="00341022">
        <w:rPr>
          <w:rFonts w:eastAsiaTheme="minorHAnsi"/>
          <w:sz w:val="18"/>
          <w:szCs w:val="18"/>
        </w:rPr>
        <w:t xml:space="preserve">целеви вноски са в размер на 3 181,0 млн. лв. </w:t>
      </w:r>
    </w:p>
  </w:footnote>
  <w:footnote w:id="11">
    <w:p w14:paraId="669A5C19" w14:textId="77777777" w:rsidR="00C15E71" w:rsidRPr="000B100F" w:rsidRDefault="00C15E71" w:rsidP="0036681C">
      <w:pPr>
        <w:pStyle w:val="FootnoteText"/>
        <w:jc w:val="both"/>
        <w:rPr>
          <w:sz w:val="18"/>
          <w:szCs w:val="18"/>
        </w:rPr>
      </w:pPr>
      <w:r w:rsidRPr="000B100F">
        <w:rPr>
          <w:rStyle w:val="FootnoteReference"/>
          <w:sz w:val="18"/>
          <w:szCs w:val="18"/>
        </w:rPr>
        <w:footnoteRef/>
      </w:r>
      <w:r w:rsidRPr="000B100F">
        <w:rPr>
          <w:sz w:val="18"/>
          <w:szCs w:val="18"/>
        </w:rPr>
        <w:t xml:space="preserve"> В разходите по функции не е включена Вноската на Република България в общия бюджет на ЕС.</w:t>
      </w:r>
    </w:p>
  </w:footnote>
  <w:footnote w:id="12">
    <w:p w14:paraId="4ACC0F43" w14:textId="77777777" w:rsidR="00C15E71" w:rsidRPr="000B100F" w:rsidRDefault="00C15E71" w:rsidP="0036681C">
      <w:pPr>
        <w:rPr>
          <w:sz w:val="18"/>
          <w:szCs w:val="18"/>
        </w:rPr>
      </w:pPr>
    </w:p>
  </w:footnote>
  <w:footnote w:id="13">
    <w:p w14:paraId="11725190" w14:textId="77777777" w:rsidR="00C15E71" w:rsidRPr="000B100F" w:rsidRDefault="00C15E71" w:rsidP="0036681C">
      <w:pPr>
        <w:pStyle w:val="FootnoteText"/>
        <w:jc w:val="both"/>
        <w:rPr>
          <w:sz w:val="18"/>
          <w:szCs w:val="18"/>
        </w:rPr>
      </w:pPr>
      <w:r w:rsidRPr="000B100F">
        <w:rPr>
          <w:rStyle w:val="FootnoteReference"/>
          <w:sz w:val="18"/>
          <w:szCs w:val="18"/>
        </w:rPr>
        <w:footnoteRef/>
      </w:r>
      <w:r w:rsidRPr="000B100F">
        <w:rPr>
          <w:sz w:val="18"/>
          <w:szCs w:val="18"/>
        </w:rPr>
        <w:t xml:space="preserve"> С оглед постигането на съпоставимост на данните, в разчетите към ЗДБРБ за 20</w:t>
      </w:r>
      <w:r>
        <w:rPr>
          <w:sz w:val="18"/>
          <w:szCs w:val="18"/>
        </w:rPr>
        <w:t>22</w:t>
      </w:r>
      <w:r w:rsidRPr="000B100F">
        <w:rPr>
          <w:sz w:val="18"/>
          <w:szCs w:val="18"/>
        </w:rPr>
        <w:t xml:space="preserve"> г. резервът за предотвратяване, овладяване и преодоляване на последиците от бедствия е прекласифициран от </w:t>
      </w:r>
      <w:r w:rsidRPr="000B100F">
        <w:rPr>
          <w:sz w:val="18"/>
          <w:szCs w:val="18"/>
          <w:lang w:val="en-US"/>
        </w:rPr>
        <w:t>IX</w:t>
      </w:r>
      <w:r w:rsidRPr="000B100F">
        <w:rPr>
          <w:sz w:val="18"/>
          <w:szCs w:val="18"/>
        </w:rPr>
        <w:t xml:space="preserve">-та функция във </w:t>
      </w:r>
      <w:r w:rsidRPr="000B100F">
        <w:rPr>
          <w:sz w:val="18"/>
          <w:szCs w:val="18"/>
          <w:lang w:val="en-US"/>
        </w:rPr>
        <w:t>II</w:t>
      </w:r>
      <w:r w:rsidRPr="000B100F">
        <w:rPr>
          <w:sz w:val="18"/>
          <w:szCs w:val="18"/>
        </w:rPr>
        <w:t>-ра функция, група Д</w:t>
      </w:r>
      <w:r w:rsidRPr="00ED37B5">
        <w:rPr>
          <w:sz w:val="18"/>
          <w:szCs w:val="18"/>
        </w:rPr>
        <w:t xml:space="preserve"> </w:t>
      </w:r>
      <w:r w:rsidRPr="000B100F">
        <w:rPr>
          <w:sz w:val="18"/>
          <w:szCs w:val="18"/>
        </w:rPr>
        <w:t>”Защита на населението, управление и дейности при стихийни бедствия и аварии</w:t>
      </w:r>
      <w:r w:rsidRPr="000B100F">
        <w:rPr>
          <w:sz w:val="18"/>
          <w:szCs w:val="18"/>
          <w:lang w:val="ru-RU"/>
        </w:rPr>
        <w:t>”</w:t>
      </w:r>
      <w:r w:rsidRPr="000B100F">
        <w:rPr>
          <w:sz w:val="18"/>
          <w:szCs w:val="18"/>
        </w:rPr>
        <w:t xml:space="preserve">, а резервът по бюджетите на НС, на съдебната власт и на НЗОК е прекласифициран, съответно в </w:t>
      </w:r>
      <w:r w:rsidRPr="000B100F">
        <w:rPr>
          <w:sz w:val="18"/>
          <w:szCs w:val="18"/>
          <w:lang w:val="en-US"/>
        </w:rPr>
        <w:t>I</w:t>
      </w:r>
      <w:r w:rsidRPr="00ED37B5">
        <w:rPr>
          <w:sz w:val="18"/>
          <w:szCs w:val="18"/>
        </w:rPr>
        <w:t>-</w:t>
      </w:r>
      <w:r w:rsidRPr="000B100F">
        <w:rPr>
          <w:sz w:val="18"/>
          <w:szCs w:val="18"/>
        </w:rPr>
        <w:t xml:space="preserve">ва, </w:t>
      </w:r>
      <w:r w:rsidRPr="000B100F">
        <w:rPr>
          <w:sz w:val="18"/>
          <w:szCs w:val="18"/>
          <w:lang w:val="en-US"/>
        </w:rPr>
        <w:t>II</w:t>
      </w:r>
      <w:r w:rsidRPr="000B100F">
        <w:rPr>
          <w:sz w:val="18"/>
          <w:szCs w:val="18"/>
        </w:rPr>
        <w:t xml:space="preserve">-ра и </w:t>
      </w:r>
      <w:r w:rsidRPr="000B100F">
        <w:rPr>
          <w:sz w:val="18"/>
          <w:szCs w:val="18"/>
          <w:lang w:val="en-US"/>
        </w:rPr>
        <w:t>IV</w:t>
      </w:r>
      <w:r w:rsidRPr="00ED37B5">
        <w:rPr>
          <w:sz w:val="18"/>
          <w:szCs w:val="18"/>
        </w:rPr>
        <w:t>-</w:t>
      </w:r>
      <w:r w:rsidRPr="000B100F">
        <w:rPr>
          <w:sz w:val="18"/>
          <w:szCs w:val="18"/>
        </w:rPr>
        <w:t xml:space="preserve">та функция, където са отчетени усвоените средства. </w:t>
      </w:r>
    </w:p>
  </w:footnote>
  <w:footnote w:id="14">
    <w:p w14:paraId="60C4A327" w14:textId="77777777" w:rsidR="00C15E71" w:rsidRPr="00341022" w:rsidRDefault="00C15E71" w:rsidP="00BD39E0">
      <w:pPr>
        <w:pStyle w:val="FootnoteText"/>
        <w:jc w:val="both"/>
        <w:rPr>
          <w:sz w:val="18"/>
          <w:szCs w:val="18"/>
        </w:rPr>
      </w:pPr>
      <w:r w:rsidRPr="00DC217A">
        <w:rPr>
          <w:rStyle w:val="FootnoteReference"/>
          <w:sz w:val="18"/>
          <w:szCs w:val="18"/>
        </w:rPr>
        <w:footnoteRef/>
      </w:r>
      <w:r w:rsidRPr="00DC217A">
        <w:rPr>
          <w:sz w:val="18"/>
          <w:szCs w:val="18"/>
        </w:rPr>
        <w:t xml:space="preserve"> </w:t>
      </w:r>
      <w:r w:rsidRPr="00DC217A">
        <w:rPr>
          <w:rFonts w:eastAsiaTheme="minorHAnsi"/>
          <w:sz w:val="18"/>
          <w:szCs w:val="18"/>
        </w:rPr>
        <w:t xml:space="preserve">По бюджета на Фонд „Сигурност на електроенергийната система“ постъпват неданъчни приходи, респективно се извършват разходи, в изпълнение на §24 и §23 от Преходните и заключителните разпоредби на ЗДБРБ за 2022 г., които са с еднократен извънреден характер и не са заложени в разчетите към ЗДБРБ за 2022 г. За периода юли-декември постъпилите приходи от </w:t>
      </w:r>
      <w:r w:rsidRPr="00341022">
        <w:rPr>
          <w:rFonts w:eastAsiaTheme="minorHAnsi"/>
          <w:sz w:val="18"/>
          <w:szCs w:val="18"/>
        </w:rPr>
        <w:t xml:space="preserve">целеви вноски са в размер на 3 181,0 млн. лв. </w:t>
      </w:r>
    </w:p>
  </w:footnote>
  <w:footnote w:id="15">
    <w:p w14:paraId="72B408EC" w14:textId="77777777" w:rsidR="00C15E71" w:rsidRPr="00DC217A" w:rsidRDefault="00C15E71" w:rsidP="00BD39E0">
      <w:pPr>
        <w:pStyle w:val="FootnoteText"/>
        <w:rPr>
          <w:sz w:val="18"/>
          <w:szCs w:val="18"/>
        </w:rPr>
      </w:pPr>
      <w:r w:rsidRPr="00341022">
        <w:rPr>
          <w:rStyle w:val="FootnoteReference"/>
          <w:sz w:val="18"/>
          <w:szCs w:val="18"/>
        </w:rPr>
        <w:footnoteRef/>
      </w:r>
      <w:r w:rsidRPr="00341022">
        <w:rPr>
          <w:sz w:val="18"/>
          <w:szCs w:val="18"/>
        </w:rPr>
        <w:t xml:space="preserve"> Временна солидарна вноска от свръхпечалбите на предприятията извършващи дейност в отраслите на суровия нефт, природния газ, въглищата и нефтопреработването в размер на 33 на сто върху основата за определяне на временната солидарна вноска.</w:t>
      </w:r>
    </w:p>
  </w:footnote>
  <w:footnote w:id="16">
    <w:p w14:paraId="7FC74C4D" w14:textId="77777777" w:rsidR="00C15E71" w:rsidRPr="009B3061" w:rsidRDefault="00C15E71" w:rsidP="00BD39E0">
      <w:pPr>
        <w:pStyle w:val="FootnoteText"/>
        <w:rPr>
          <w:sz w:val="18"/>
          <w:szCs w:val="18"/>
        </w:rPr>
      </w:pPr>
      <w:r w:rsidRPr="0059722A">
        <w:rPr>
          <w:rStyle w:val="FootnoteReference"/>
          <w:sz w:val="18"/>
          <w:szCs w:val="18"/>
        </w:rPr>
        <w:footnoteRef/>
      </w:r>
      <w:r w:rsidRPr="0059722A">
        <w:rPr>
          <w:sz w:val="18"/>
          <w:szCs w:val="18"/>
        </w:rPr>
        <w:t xml:space="preserve"> По предварителни </w:t>
      </w:r>
      <w:r>
        <w:rPr>
          <w:sz w:val="18"/>
          <w:szCs w:val="18"/>
        </w:rPr>
        <w:t xml:space="preserve">годишни </w:t>
      </w:r>
      <w:r w:rsidRPr="0059722A">
        <w:rPr>
          <w:sz w:val="18"/>
          <w:szCs w:val="18"/>
        </w:rPr>
        <w:t>данни на НСИ за 202</w:t>
      </w:r>
      <w:r>
        <w:rPr>
          <w:sz w:val="18"/>
          <w:szCs w:val="18"/>
        </w:rPr>
        <w:t>2</w:t>
      </w:r>
      <w:r w:rsidRPr="0059722A">
        <w:rPr>
          <w:sz w:val="18"/>
          <w:szCs w:val="18"/>
        </w:rPr>
        <w:t xml:space="preserve"> г.</w:t>
      </w:r>
      <w:r>
        <w:rPr>
          <w:sz w:val="18"/>
          <w:szCs w:val="18"/>
        </w:rPr>
        <w:t xml:space="preserve">: </w:t>
      </w:r>
      <w:r w:rsidRPr="00652538">
        <w:t xml:space="preserve"> </w:t>
      </w:r>
      <w:r w:rsidRPr="00E14E57">
        <w:rPr>
          <w:sz w:val="18"/>
          <w:szCs w:val="18"/>
        </w:rPr>
        <w:t>https://nsi.bg/bg/content/3958</w:t>
      </w:r>
      <w:r w:rsidRPr="00003485">
        <w:rPr>
          <w:sz w:val="18"/>
          <w:szCs w:val="18"/>
        </w:rPr>
        <w:t>/национално-ниво-икономически-дейности-форма-на-собственост-пол</w:t>
      </w:r>
      <w:r>
        <w:rPr>
          <w:sz w:val="18"/>
          <w:szCs w:val="18"/>
        </w:rPr>
        <w:t xml:space="preserve"> </w:t>
      </w:r>
    </w:p>
  </w:footnote>
  <w:footnote w:id="17">
    <w:p w14:paraId="1BC72EDF" w14:textId="77777777" w:rsidR="00C15E71" w:rsidRPr="0059722A" w:rsidRDefault="00C15E71" w:rsidP="00BD39E0">
      <w:pPr>
        <w:pStyle w:val="FootnoteText"/>
        <w:rPr>
          <w:sz w:val="18"/>
          <w:szCs w:val="18"/>
        </w:rPr>
      </w:pPr>
      <w:r w:rsidRPr="0059722A">
        <w:rPr>
          <w:rStyle w:val="FootnoteReference"/>
          <w:sz w:val="18"/>
          <w:szCs w:val="18"/>
        </w:rPr>
        <w:footnoteRef/>
      </w:r>
      <w:r w:rsidRPr="0059722A">
        <w:rPr>
          <w:sz w:val="18"/>
          <w:szCs w:val="18"/>
        </w:rPr>
        <w:t xml:space="preserve"> НСИ, Наблюдение на работната сила – годишни данни.</w:t>
      </w:r>
    </w:p>
  </w:footnote>
  <w:footnote w:id="18">
    <w:p w14:paraId="435DCF18" w14:textId="77777777" w:rsidR="00C15E71" w:rsidRDefault="00C15E71" w:rsidP="00BD39E0">
      <w:pPr>
        <w:pStyle w:val="FootnoteText"/>
      </w:pPr>
      <w:r>
        <w:rPr>
          <w:rStyle w:val="FootnoteReference"/>
        </w:rPr>
        <w:footnoteRef/>
      </w:r>
      <w:r>
        <w:t xml:space="preserve"> НСИ, Наблюдение на работната сила – годишни данни.</w:t>
      </w:r>
    </w:p>
  </w:footnote>
  <w:footnote w:id="19">
    <w:p w14:paraId="00DE9A66" w14:textId="77777777" w:rsidR="00C15E71" w:rsidRPr="00FE4C64" w:rsidRDefault="00C15E71" w:rsidP="00BD39E0">
      <w:pPr>
        <w:pStyle w:val="FootnoteText"/>
        <w:jc w:val="both"/>
        <w:rPr>
          <w:sz w:val="22"/>
          <w:szCs w:val="22"/>
        </w:rPr>
      </w:pPr>
      <w:r w:rsidRPr="00FE4C64">
        <w:rPr>
          <w:rStyle w:val="FootnoteReference"/>
          <w:sz w:val="22"/>
          <w:szCs w:val="22"/>
        </w:rPr>
        <w:footnoteRef/>
      </w:r>
      <w:r w:rsidRPr="00FE4C64">
        <w:rPr>
          <w:sz w:val="22"/>
          <w:szCs w:val="22"/>
        </w:rPr>
        <w:t xml:space="preserve"> </w:t>
      </w:r>
      <w:r w:rsidRPr="006D4333">
        <w:rPr>
          <w:sz w:val="22"/>
          <w:szCs w:val="22"/>
        </w:rPr>
        <w:t xml:space="preserve">Статистически </w:t>
      </w:r>
      <w:r w:rsidRPr="004C68F2">
        <w:rPr>
          <w:sz w:val="22"/>
          <w:szCs w:val="22"/>
        </w:rPr>
        <w:t>данни › Макроикономическа статистика › Брутен вътрешен продукт (БВП) › Брутен вътрешен продукт (БВП) - ЕСС 2010 › Годишни данни › БВП - Разходи за крайно потребление - национално ниво</w:t>
      </w:r>
    </w:p>
  </w:footnote>
  <w:footnote w:id="20">
    <w:p w14:paraId="76D5E3E3" w14:textId="77777777" w:rsidR="00C15E71" w:rsidRDefault="00C15E71" w:rsidP="00BD39E0">
      <w:pPr>
        <w:pStyle w:val="FootnoteText"/>
        <w:rPr>
          <w:sz w:val="22"/>
          <w:szCs w:val="22"/>
        </w:rPr>
      </w:pPr>
      <w:r w:rsidRPr="00FE4C64">
        <w:rPr>
          <w:rStyle w:val="FootnoteReference"/>
          <w:sz w:val="22"/>
          <w:szCs w:val="22"/>
        </w:rPr>
        <w:footnoteRef/>
      </w:r>
      <w:r w:rsidRPr="00FE4C64">
        <w:rPr>
          <w:sz w:val="22"/>
          <w:szCs w:val="22"/>
        </w:rPr>
        <w:t xml:space="preserve"> </w:t>
      </w:r>
      <w:r>
        <w:rPr>
          <w:sz w:val="22"/>
          <w:szCs w:val="22"/>
        </w:rPr>
        <w:t>Статистически данни</w:t>
      </w:r>
      <w:r w:rsidRPr="001031DF">
        <w:rPr>
          <w:sz w:val="22"/>
          <w:szCs w:val="22"/>
        </w:rPr>
        <w:t xml:space="preserve"> ›Бизнес статистика ›Външна търговия›</w:t>
      </w:r>
      <w:r>
        <w:rPr>
          <w:sz w:val="22"/>
          <w:szCs w:val="22"/>
        </w:rPr>
        <w:t>Статистически данни</w:t>
      </w:r>
      <w:r w:rsidRPr="001031DF">
        <w:rPr>
          <w:sz w:val="22"/>
          <w:szCs w:val="22"/>
        </w:rPr>
        <w:t>›</w:t>
      </w:r>
      <w:r>
        <w:rPr>
          <w:sz w:val="22"/>
          <w:szCs w:val="22"/>
        </w:rPr>
        <w:t xml:space="preserve"> Износ и внос  </w:t>
      </w:r>
      <w:r w:rsidRPr="00D15DE2">
        <w:rPr>
          <w:sz w:val="22"/>
          <w:szCs w:val="22"/>
        </w:rPr>
        <w:t>(предварителни данни)</w:t>
      </w:r>
      <w:r w:rsidRPr="00FE4C64">
        <w:rPr>
          <w:sz w:val="22"/>
          <w:szCs w:val="22"/>
        </w:rPr>
        <w:t>.</w:t>
      </w:r>
    </w:p>
    <w:p w14:paraId="06947B73" w14:textId="77777777" w:rsidR="00C15E71" w:rsidRPr="00C8281D" w:rsidRDefault="00C15E71" w:rsidP="00BD39E0">
      <w:pPr>
        <w:pStyle w:val="FootnoteText"/>
      </w:pPr>
      <w:r>
        <w:rPr>
          <w:sz w:val="22"/>
          <w:szCs w:val="22"/>
        </w:rPr>
        <w:t>⁸</w:t>
      </w:r>
      <w:r w:rsidRPr="008D14F2">
        <w:rPr>
          <w:sz w:val="22"/>
          <w:szCs w:val="22"/>
        </w:rPr>
        <w:t xml:space="preserve"> </w:t>
      </w:r>
      <w:r>
        <w:rPr>
          <w:sz w:val="22"/>
          <w:szCs w:val="22"/>
        </w:rPr>
        <w:t>Статистически данни</w:t>
      </w:r>
      <w:r w:rsidRPr="001031DF">
        <w:rPr>
          <w:sz w:val="22"/>
          <w:szCs w:val="22"/>
        </w:rPr>
        <w:t xml:space="preserve"> ›Бизнес статистика ›Външна търговия›</w:t>
      </w:r>
      <w:r>
        <w:rPr>
          <w:sz w:val="22"/>
          <w:szCs w:val="22"/>
        </w:rPr>
        <w:t>Статистически данни</w:t>
      </w:r>
      <w:r w:rsidRPr="001031DF">
        <w:rPr>
          <w:sz w:val="22"/>
          <w:szCs w:val="22"/>
        </w:rPr>
        <w:t>›</w:t>
      </w:r>
      <w:r>
        <w:rPr>
          <w:sz w:val="22"/>
          <w:szCs w:val="22"/>
        </w:rPr>
        <w:t xml:space="preserve"> Износ и внос  </w:t>
      </w:r>
      <w:r w:rsidRPr="00D15DE2">
        <w:rPr>
          <w:sz w:val="22"/>
          <w:szCs w:val="22"/>
        </w:rPr>
        <w:t>(предварителни данни)</w:t>
      </w:r>
      <w:r w:rsidRPr="00FE4C64">
        <w:rPr>
          <w:sz w:val="22"/>
          <w:szCs w:val="22"/>
        </w:rPr>
        <w:t>.</w:t>
      </w:r>
    </w:p>
  </w:footnote>
  <w:footnote w:id="21">
    <w:p w14:paraId="0767C7C9" w14:textId="77777777" w:rsidR="00C15E71" w:rsidRPr="000F3ED9" w:rsidRDefault="00C15E71" w:rsidP="00A81650">
      <w:pPr>
        <w:pStyle w:val="FootnoteText"/>
        <w:jc w:val="both"/>
      </w:pPr>
      <w:r w:rsidRPr="00355EEC">
        <w:rPr>
          <w:rStyle w:val="FootnoteReference"/>
        </w:rPr>
        <w:footnoteRef/>
      </w:r>
      <w:r w:rsidRPr="00355EEC">
        <w:rPr>
          <w:lang w:val="ru-RU"/>
        </w:rPr>
        <w:t xml:space="preserve"> </w:t>
      </w:r>
      <w:r w:rsidRPr="00355EEC">
        <w:rPr>
          <w:rFonts w:eastAsia="Calibri"/>
        </w:rPr>
        <w:t>По бюджета на Фонд „Сигурност на електроенергийната система“ постъпват неданъчни приходи, респективно се извършват разходи, в изпълнение на §24 и §23 от Преходните и заключителните разпоредби на ЗДБРБ за 2022 г., които са с еднократен извънреден характер и не са заложени в разчетите към ЗДБРБ за 2022 г. С оглед на съпоставимост на данните, се</w:t>
      </w:r>
      <w:r w:rsidRPr="00355EEC">
        <w:rPr>
          <w:color w:val="000000"/>
        </w:rPr>
        <w:t xml:space="preserve"> </w:t>
      </w:r>
      <w:r w:rsidRPr="00355EEC">
        <w:rPr>
          <w:rFonts w:eastAsia="Calibri"/>
        </w:rPr>
        <w:t>елиминира въздействието на еднократните извънредни разходи по бюджета на ФСЕС в изпълнение на §23 от Преходните и заключителните разпоредби на ЗДБРБ за 2022 г. за изплащане на компенсации към потребителите на електрическа енергия извън регулирания пазар.</w:t>
      </w:r>
    </w:p>
  </w:footnote>
  <w:footnote w:id="22">
    <w:p w14:paraId="4A109924" w14:textId="32659E18" w:rsidR="00C15E71" w:rsidRPr="00213E9D" w:rsidRDefault="00C15E71" w:rsidP="00623138">
      <w:pPr>
        <w:pStyle w:val="FootnoteText"/>
        <w:jc w:val="both"/>
        <w:rPr>
          <w:sz w:val="18"/>
          <w:szCs w:val="18"/>
        </w:rPr>
      </w:pPr>
      <w:r w:rsidRPr="00213E9D">
        <w:rPr>
          <w:rStyle w:val="FootnoteReference"/>
          <w:sz w:val="18"/>
          <w:szCs w:val="18"/>
        </w:rPr>
        <w:footnoteRef/>
      </w:r>
      <w:r w:rsidRPr="00213E9D">
        <w:rPr>
          <w:sz w:val="18"/>
          <w:szCs w:val="18"/>
        </w:rPr>
        <w:t xml:space="preserve"> В разходите по функции не е включена </w:t>
      </w:r>
      <w:r>
        <w:rPr>
          <w:sz w:val="18"/>
          <w:szCs w:val="18"/>
        </w:rPr>
        <w:t>в</w:t>
      </w:r>
      <w:r w:rsidRPr="00213E9D">
        <w:rPr>
          <w:sz w:val="18"/>
          <w:szCs w:val="18"/>
        </w:rPr>
        <w:t>носката на Република България в общия бюджет на ЕС</w:t>
      </w:r>
    </w:p>
  </w:footnote>
  <w:footnote w:id="23">
    <w:p w14:paraId="1B1E43DD" w14:textId="77777777" w:rsidR="00C15E71" w:rsidRDefault="00C15E71" w:rsidP="00CC09AC">
      <w:pPr>
        <w:pStyle w:val="FootnoteText"/>
        <w:jc w:val="both"/>
        <w:rPr>
          <w:sz w:val="18"/>
          <w:szCs w:val="18"/>
        </w:rPr>
      </w:pPr>
      <w:r>
        <w:rPr>
          <w:rStyle w:val="FootnoteReference"/>
          <w:sz w:val="18"/>
          <w:szCs w:val="18"/>
        </w:rPr>
        <w:footnoteRef/>
      </w:r>
      <w:r>
        <w:rPr>
          <w:sz w:val="18"/>
          <w:szCs w:val="18"/>
        </w:rPr>
        <w:t>Средствата  по други международни програми и договори са получени по международни програми и договори извън средствата от Европейския съюз.</w:t>
      </w:r>
    </w:p>
  </w:footnote>
  <w:footnote w:id="24">
    <w:p w14:paraId="731E3D23" w14:textId="77777777" w:rsidR="00C15E71" w:rsidRPr="00E4618C" w:rsidRDefault="00C15E71" w:rsidP="00CC09AC">
      <w:pPr>
        <w:pStyle w:val="FootnoteText"/>
        <w:jc w:val="both"/>
      </w:pPr>
      <w:r>
        <w:rPr>
          <w:rStyle w:val="FootnoteReference"/>
          <w:sz w:val="18"/>
          <w:szCs w:val="18"/>
        </w:rPr>
        <w:footnoteRef/>
      </w:r>
      <w:r>
        <w:rPr>
          <w:sz w:val="18"/>
          <w:szCs w:val="18"/>
        </w:rPr>
        <w:t xml:space="preserve">Средствата от Европейския съюз са предоставени от фондове и институции на Европейския съюз. Те включват разходите по програмите, съфинансирани по Структурните и Кохезионния фондове на ЕС, </w:t>
      </w:r>
      <w:r w:rsidRPr="00E51CC5">
        <w:rPr>
          <w:sz w:val="18"/>
          <w:szCs w:val="18"/>
        </w:rPr>
        <w:t>Европейския земеделски фонд за развитие на селските райони и Европейския фонд за рибарство</w:t>
      </w:r>
      <w:r>
        <w:rPr>
          <w:sz w:val="18"/>
          <w:szCs w:val="18"/>
        </w:rPr>
        <w:t>, както и други програми и проекти, финансирани от фондове и институции на ЕС, вкл. националното съфинансиране</w:t>
      </w:r>
      <w:r w:rsidRPr="00E4618C">
        <w:rPr>
          <w:sz w:val="18"/>
          <w:szCs w:val="18"/>
        </w:rPr>
        <w:t>.</w:t>
      </w:r>
    </w:p>
  </w:footnote>
  <w:footnote w:id="25">
    <w:p w14:paraId="238F4853" w14:textId="577D2F72" w:rsidR="00C15E71" w:rsidRPr="0067703F" w:rsidRDefault="00C15E71" w:rsidP="008911C1">
      <w:pPr>
        <w:pStyle w:val="FootnoteText"/>
        <w:rPr>
          <w:sz w:val="18"/>
          <w:szCs w:val="18"/>
        </w:rPr>
      </w:pPr>
      <w:r w:rsidRPr="0067703F">
        <w:rPr>
          <w:rStyle w:val="FootnoteReference"/>
          <w:sz w:val="18"/>
          <w:szCs w:val="18"/>
        </w:rPr>
        <w:footnoteRef/>
      </w:r>
      <w:r w:rsidRPr="0067703F">
        <w:rPr>
          <w:sz w:val="18"/>
          <w:szCs w:val="18"/>
        </w:rPr>
        <w:t xml:space="preserve"> С оглед съпоставимост на показателите по държавния бюджет в програмата за 202</w:t>
      </w:r>
      <w:r w:rsidRPr="00F26A14">
        <w:rPr>
          <w:sz w:val="18"/>
          <w:szCs w:val="18"/>
          <w:lang w:val="ru-RU"/>
        </w:rPr>
        <w:t>2</w:t>
      </w:r>
      <w:r w:rsidRPr="0067703F">
        <w:rPr>
          <w:sz w:val="18"/>
          <w:szCs w:val="18"/>
        </w:rPr>
        <w:t xml:space="preserve"> г.:</w:t>
      </w:r>
    </w:p>
    <w:p w14:paraId="4AD65A8A" w14:textId="77777777" w:rsidR="00C15E71" w:rsidRPr="0067703F" w:rsidRDefault="00C15E71" w:rsidP="008911C1">
      <w:pPr>
        <w:pStyle w:val="FootnoteText"/>
        <w:rPr>
          <w:sz w:val="18"/>
          <w:szCs w:val="18"/>
        </w:rPr>
      </w:pPr>
      <w:r w:rsidRPr="0067703F">
        <w:rPr>
          <w:sz w:val="18"/>
          <w:szCs w:val="18"/>
        </w:rPr>
        <w:t>i) разчетите в позицията „Резерв за непредвидени и/или неотложни разходи” са отнесени в съответните разходни позиции според основното предназначение на планираните средства;</w:t>
      </w:r>
    </w:p>
    <w:p w14:paraId="1C5C376D" w14:textId="77777777" w:rsidR="00C15E71" w:rsidRPr="0067703F" w:rsidRDefault="00C15E71" w:rsidP="008911C1">
      <w:pPr>
        <w:pStyle w:val="FootnoteText"/>
        <w:rPr>
          <w:sz w:val="18"/>
          <w:szCs w:val="18"/>
        </w:rPr>
      </w:pPr>
      <w:r w:rsidRPr="0067703F">
        <w:rPr>
          <w:sz w:val="18"/>
          <w:szCs w:val="18"/>
        </w:rPr>
        <w:t>ii) Нетният прираст на държавния резерв е отнесен в позицията „Капиталови разходи”.</w:t>
      </w:r>
    </w:p>
  </w:footnote>
  <w:footnote w:id="26">
    <w:p w14:paraId="18C71B87" w14:textId="77777777" w:rsidR="00C15E71" w:rsidRPr="004003FC" w:rsidRDefault="00C15E71" w:rsidP="008911C1">
      <w:pPr>
        <w:pStyle w:val="FootnoteText"/>
        <w:rPr>
          <w:sz w:val="18"/>
        </w:rPr>
      </w:pPr>
      <w:r w:rsidRPr="004003FC">
        <w:rPr>
          <w:rStyle w:val="FootnoteReference"/>
          <w:sz w:val="18"/>
        </w:rPr>
        <w:footnoteRef/>
      </w:r>
      <w:r w:rsidRPr="004003FC">
        <w:rPr>
          <w:sz w:val="18"/>
        </w:rPr>
        <w:t xml:space="preserve"> Решение на Съвета 2014/335/ЕС, Евратом относно системата на собствените ресурси на Европейския съюз, Регламент (ЕС, Евратом) № 608/2014 на Съвета от 26 май 2014 година за определяне на мерки за прилагане на системата на собствените ресурси на ЕС и Регламент (EС, Евратом) № 609/2014 на Съвета от 26 май 2014 година относно методите и процедурата за предоставяне на традиционните собствени ресурси, собствените ресурси на база ДДС и на база БНД и относно мерките за удовлетворяване на потребностите от парични средства, изменен с Регламент (EС, Евратом) 2016/804 на Съвета от 17 май 2016 година. </w:t>
      </w:r>
      <w:r w:rsidRPr="004003FC">
        <w:rPr>
          <w:sz w:val="18"/>
          <w:szCs w:val="18"/>
        </w:rPr>
        <w:t>Решение (ЕС, Евратом) 2020/2053 на Съвета oт 14 декември 2020 година относно системата на собствените ресурси на Европейския съюз и за отмяна на Решение 2014/335/ЕС, Евратом; Регламент (ЕС, Евратом) № 2021/768 на Съвета от 30 април 2021 година за определяне на мерки за прилагане на системата на собствените ресурси наЕвропейския съюз и за отмяна на Регламент (ЕС, Евратом) № 608/2014; Регламент (EС, Евратом) № 609/2014 на Съвета от 26 май 2014 година относно методите и процедурата за предоставяне на традиционните собствени ресурси, собствените ресурси на база ДДС и на база БНД и относно мерките за удовлетворяване на потребностите от парични средства, изменен с Регламент (EС, Евратом) 2016/804 на Съвета от 17 май 2016 година и Регламент (ЕС, Евратом) 2021/770 на Съвета от 30 април 2021 година относно изчисляването на собствения ресурс на база нерециклираните отпадъци от опаковки от пластмаса, относно методите и процедурата за предоставяне на този собствен ресурс, относно мерките за удовлетворяване на потребностите от парични средства и относно някои аспекти на собствения ресурс на база брутен национален доход.</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B967D" w14:textId="77777777" w:rsidR="00C15E71" w:rsidRPr="00483166" w:rsidRDefault="00C15E71" w:rsidP="00497D9C">
    <w:pPr>
      <w:pStyle w:val="Header"/>
      <w:tabs>
        <w:tab w:val="left" w:pos="5910"/>
        <w:tab w:val="left" w:pos="6015"/>
        <w:tab w:val="right" w:pos="9203"/>
      </w:tabs>
      <w:rPr>
        <w:rFonts w:ascii="Times New Roman Bold" w:hAnsi="Times New Roman Bold"/>
        <w:sz w:val="10"/>
        <w:szCs w:val="10"/>
      </w:rPr>
    </w:pP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A07AF"/>
    <w:multiLevelType w:val="hybridMultilevel"/>
    <w:tmpl w:val="FA960204"/>
    <w:lvl w:ilvl="0" w:tplc="9F445AFC">
      <w:start w:val="1"/>
      <w:numFmt w:val="bullet"/>
      <w:lvlText w:val="-"/>
      <w:lvlJc w:val="left"/>
      <w:pPr>
        <w:tabs>
          <w:tab w:val="num" w:pos="1069"/>
        </w:tabs>
        <w:ind w:left="1069" w:hanging="360"/>
      </w:pPr>
      <w:rPr>
        <w:rFonts w:ascii="Times New Roman" w:eastAsia="Times New Roman" w:hAnsi="Times New Roman" w:cs="Times New Roman" w:hint="default"/>
        <w:color w:val="auto"/>
      </w:rPr>
    </w:lvl>
    <w:lvl w:ilvl="1" w:tplc="04020003">
      <w:start w:val="1"/>
      <w:numFmt w:val="bullet"/>
      <w:lvlText w:val="o"/>
      <w:lvlJc w:val="left"/>
      <w:pPr>
        <w:tabs>
          <w:tab w:val="num" w:pos="1789"/>
        </w:tabs>
        <w:ind w:left="1789" w:hanging="360"/>
      </w:pPr>
      <w:rPr>
        <w:rFonts w:ascii="Courier New" w:hAnsi="Courier New" w:cs="Courier New" w:hint="default"/>
      </w:rPr>
    </w:lvl>
    <w:lvl w:ilvl="2" w:tplc="04020005" w:tentative="1">
      <w:start w:val="1"/>
      <w:numFmt w:val="bullet"/>
      <w:lvlText w:val=""/>
      <w:lvlJc w:val="left"/>
      <w:pPr>
        <w:tabs>
          <w:tab w:val="num" w:pos="2509"/>
        </w:tabs>
        <w:ind w:left="2509" w:hanging="360"/>
      </w:pPr>
      <w:rPr>
        <w:rFonts w:ascii="Wingdings" w:hAnsi="Wingdings" w:hint="default"/>
      </w:rPr>
    </w:lvl>
    <w:lvl w:ilvl="3" w:tplc="04020001" w:tentative="1">
      <w:start w:val="1"/>
      <w:numFmt w:val="bullet"/>
      <w:lvlText w:val=""/>
      <w:lvlJc w:val="left"/>
      <w:pPr>
        <w:tabs>
          <w:tab w:val="num" w:pos="3229"/>
        </w:tabs>
        <w:ind w:left="3229" w:hanging="360"/>
      </w:pPr>
      <w:rPr>
        <w:rFonts w:ascii="Symbol" w:hAnsi="Symbol" w:hint="default"/>
      </w:rPr>
    </w:lvl>
    <w:lvl w:ilvl="4" w:tplc="04020003" w:tentative="1">
      <w:start w:val="1"/>
      <w:numFmt w:val="bullet"/>
      <w:lvlText w:val="o"/>
      <w:lvlJc w:val="left"/>
      <w:pPr>
        <w:tabs>
          <w:tab w:val="num" w:pos="3949"/>
        </w:tabs>
        <w:ind w:left="3949" w:hanging="360"/>
      </w:pPr>
      <w:rPr>
        <w:rFonts w:ascii="Courier New" w:hAnsi="Courier New" w:cs="Courier New" w:hint="default"/>
      </w:rPr>
    </w:lvl>
    <w:lvl w:ilvl="5" w:tplc="04020005" w:tentative="1">
      <w:start w:val="1"/>
      <w:numFmt w:val="bullet"/>
      <w:lvlText w:val=""/>
      <w:lvlJc w:val="left"/>
      <w:pPr>
        <w:tabs>
          <w:tab w:val="num" w:pos="4669"/>
        </w:tabs>
        <w:ind w:left="4669" w:hanging="360"/>
      </w:pPr>
      <w:rPr>
        <w:rFonts w:ascii="Wingdings" w:hAnsi="Wingdings" w:hint="default"/>
      </w:rPr>
    </w:lvl>
    <w:lvl w:ilvl="6" w:tplc="04020001" w:tentative="1">
      <w:start w:val="1"/>
      <w:numFmt w:val="bullet"/>
      <w:lvlText w:val=""/>
      <w:lvlJc w:val="left"/>
      <w:pPr>
        <w:tabs>
          <w:tab w:val="num" w:pos="5389"/>
        </w:tabs>
        <w:ind w:left="5389" w:hanging="360"/>
      </w:pPr>
      <w:rPr>
        <w:rFonts w:ascii="Symbol" w:hAnsi="Symbol" w:hint="default"/>
      </w:rPr>
    </w:lvl>
    <w:lvl w:ilvl="7" w:tplc="04020003" w:tentative="1">
      <w:start w:val="1"/>
      <w:numFmt w:val="bullet"/>
      <w:lvlText w:val="o"/>
      <w:lvlJc w:val="left"/>
      <w:pPr>
        <w:tabs>
          <w:tab w:val="num" w:pos="6109"/>
        </w:tabs>
        <w:ind w:left="6109" w:hanging="360"/>
      </w:pPr>
      <w:rPr>
        <w:rFonts w:ascii="Courier New" w:hAnsi="Courier New" w:cs="Courier New" w:hint="default"/>
      </w:rPr>
    </w:lvl>
    <w:lvl w:ilvl="8" w:tplc="04020005" w:tentative="1">
      <w:start w:val="1"/>
      <w:numFmt w:val="bullet"/>
      <w:lvlText w:val=""/>
      <w:lvlJc w:val="left"/>
      <w:pPr>
        <w:tabs>
          <w:tab w:val="num" w:pos="6829"/>
        </w:tabs>
        <w:ind w:left="6829" w:hanging="360"/>
      </w:pPr>
      <w:rPr>
        <w:rFonts w:ascii="Wingdings" w:hAnsi="Wingdings" w:hint="default"/>
      </w:rPr>
    </w:lvl>
  </w:abstractNum>
  <w:abstractNum w:abstractNumId="1" w15:restartNumberingAfterBreak="0">
    <w:nsid w:val="022D2AFD"/>
    <w:multiLevelType w:val="hybridMultilevel"/>
    <w:tmpl w:val="F43406B0"/>
    <w:lvl w:ilvl="0" w:tplc="8C28760A">
      <w:numFmt w:val="bullet"/>
      <w:lvlText w:val="-"/>
      <w:lvlJc w:val="left"/>
      <w:pPr>
        <w:ind w:left="840" w:hanging="360"/>
      </w:pPr>
      <w:rPr>
        <w:rFonts w:ascii="Times New Roman" w:eastAsia="Times New Roman" w:hAnsi="Times New Roman" w:cs="Times New Roman" w:hint="default"/>
        <w:i/>
      </w:rPr>
    </w:lvl>
    <w:lvl w:ilvl="1" w:tplc="04020003" w:tentative="1">
      <w:start w:val="1"/>
      <w:numFmt w:val="bullet"/>
      <w:lvlText w:val="o"/>
      <w:lvlJc w:val="left"/>
      <w:pPr>
        <w:ind w:left="1560" w:hanging="360"/>
      </w:pPr>
      <w:rPr>
        <w:rFonts w:ascii="Courier New" w:hAnsi="Courier New" w:cs="Courier New" w:hint="default"/>
      </w:rPr>
    </w:lvl>
    <w:lvl w:ilvl="2" w:tplc="04020005" w:tentative="1">
      <w:start w:val="1"/>
      <w:numFmt w:val="bullet"/>
      <w:lvlText w:val=""/>
      <w:lvlJc w:val="left"/>
      <w:pPr>
        <w:ind w:left="2280" w:hanging="360"/>
      </w:pPr>
      <w:rPr>
        <w:rFonts w:ascii="Wingdings" w:hAnsi="Wingdings" w:hint="default"/>
      </w:rPr>
    </w:lvl>
    <w:lvl w:ilvl="3" w:tplc="04020001" w:tentative="1">
      <w:start w:val="1"/>
      <w:numFmt w:val="bullet"/>
      <w:lvlText w:val=""/>
      <w:lvlJc w:val="left"/>
      <w:pPr>
        <w:ind w:left="3000" w:hanging="360"/>
      </w:pPr>
      <w:rPr>
        <w:rFonts w:ascii="Symbol" w:hAnsi="Symbol" w:hint="default"/>
      </w:rPr>
    </w:lvl>
    <w:lvl w:ilvl="4" w:tplc="04020003" w:tentative="1">
      <w:start w:val="1"/>
      <w:numFmt w:val="bullet"/>
      <w:lvlText w:val="o"/>
      <w:lvlJc w:val="left"/>
      <w:pPr>
        <w:ind w:left="3720" w:hanging="360"/>
      </w:pPr>
      <w:rPr>
        <w:rFonts w:ascii="Courier New" w:hAnsi="Courier New" w:cs="Courier New" w:hint="default"/>
      </w:rPr>
    </w:lvl>
    <w:lvl w:ilvl="5" w:tplc="04020005" w:tentative="1">
      <w:start w:val="1"/>
      <w:numFmt w:val="bullet"/>
      <w:lvlText w:val=""/>
      <w:lvlJc w:val="left"/>
      <w:pPr>
        <w:ind w:left="4440" w:hanging="360"/>
      </w:pPr>
      <w:rPr>
        <w:rFonts w:ascii="Wingdings" w:hAnsi="Wingdings" w:hint="default"/>
      </w:rPr>
    </w:lvl>
    <w:lvl w:ilvl="6" w:tplc="04020001" w:tentative="1">
      <w:start w:val="1"/>
      <w:numFmt w:val="bullet"/>
      <w:lvlText w:val=""/>
      <w:lvlJc w:val="left"/>
      <w:pPr>
        <w:ind w:left="5160" w:hanging="360"/>
      </w:pPr>
      <w:rPr>
        <w:rFonts w:ascii="Symbol" w:hAnsi="Symbol" w:hint="default"/>
      </w:rPr>
    </w:lvl>
    <w:lvl w:ilvl="7" w:tplc="04020003" w:tentative="1">
      <w:start w:val="1"/>
      <w:numFmt w:val="bullet"/>
      <w:lvlText w:val="o"/>
      <w:lvlJc w:val="left"/>
      <w:pPr>
        <w:ind w:left="5880" w:hanging="360"/>
      </w:pPr>
      <w:rPr>
        <w:rFonts w:ascii="Courier New" w:hAnsi="Courier New" w:cs="Courier New" w:hint="default"/>
      </w:rPr>
    </w:lvl>
    <w:lvl w:ilvl="8" w:tplc="04020005" w:tentative="1">
      <w:start w:val="1"/>
      <w:numFmt w:val="bullet"/>
      <w:lvlText w:val=""/>
      <w:lvlJc w:val="left"/>
      <w:pPr>
        <w:ind w:left="6600" w:hanging="360"/>
      </w:pPr>
      <w:rPr>
        <w:rFonts w:ascii="Wingdings" w:hAnsi="Wingdings" w:hint="default"/>
      </w:rPr>
    </w:lvl>
  </w:abstractNum>
  <w:abstractNum w:abstractNumId="2" w15:restartNumberingAfterBreak="0">
    <w:nsid w:val="02A64D70"/>
    <w:multiLevelType w:val="hybridMultilevel"/>
    <w:tmpl w:val="F85C9BE4"/>
    <w:lvl w:ilvl="0" w:tplc="982A2DA2">
      <w:numFmt w:val="bullet"/>
      <w:lvlText w:val="-"/>
      <w:lvlJc w:val="left"/>
      <w:pPr>
        <w:ind w:left="420" w:hanging="360"/>
      </w:pPr>
      <w:rPr>
        <w:rFonts w:ascii="Times New Roman" w:eastAsiaTheme="minorHAnsi" w:hAnsi="Times New Roman" w:cs="Times New Roman" w:hint="default"/>
      </w:rPr>
    </w:lvl>
    <w:lvl w:ilvl="1" w:tplc="04020003" w:tentative="1">
      <w:start w:val="1"/>
      <w:numFmt w:val="bullet"/>
      <w:lvlText w:val="o"/>
      <w:lvlJc w:val="left"/>
      <w:pPr>
        <w:ind w:left="1140" w:hanging="360"/>
      </w:pPr>
      <w:rPr>
        <w:rFonts w:ascii="Courier New" w:hAnsi="Courier New" w:cs="Courier New" w:hint="default"/>
      </w:rPr>
    </w:lvl>
    <w:lvl w:ilvl="2" w:tplc="04020005" w:tentative="1">
      <w:start w:val="1"/>
      <w:numFmt w:val="bullet"/>
      <w:lvlText w:val=""/>
      <w:lvlJc w:val="left"/>
      <w:pPr>
        <w:ind w:left="1860" w:hanging="360"/>
      </w:pPr>
      <w:rPr>
        <w:rFonts w:ascii="Wingdings" w:hAnsi="Wingdings" w:hint="default"/>
      </w:rPr>
    </w:lvl>
    <w:lvl w:ilvl="3" w:tplc="04020001" w:tentative="1">
      <w:start w:val="1"/>
      <w:numFmt w:val="bullet"/>
      <w:lvlText w:val=""/>
      <w:lvlJc w:val="left"/>
      <w:pPr>
        <w:ind w:left="2580" w:hanging="360"/>
      </w:pPr>
      <w:rPr>
        <w:rFonts w:ascii="Symbol" w:hAnsi="Symbol" w:hint="default"/>
      </w:rPr>
    </w:lvl>
    <w:lvl w:ilvl="4" w:tplc="04020003" w:tentative="1">
      <w:start w:val="1"/>
      <w:numFmt w:val="bullet"/>
      <w:lvlText w:val="o"/>
      <w:lvlJc w:val="left"/>
      <w:pPr>
        <w:ind w:left="3300" w:hanging="360"/>
      </w:pPr>
      <w:rPr>
        <w:rFonts w:ascii="Courier New" w:hAnsi="Courier New" w:cs="Courier New" w:hint="default"/>
      </w:rPr>
    </w:lvl>
    <w:lvl w:ilvl="5" w:tplc="04020005" w:tentative="1">
      <w:start w:val="1"/>
      <w:numFmt w:val="bullet"/>
      <w:lvlText w:val=""/>
      <w:lvlJc w:val="left"/>
      <w:pPr>
        <w:ind w:left="4020" w:hanging="360"/>
      </w:pPr>
      <w:rPr>
        <w:rFonts w:ascii="Wingdings" w:hAnsi="Wingdings" w:hint="default"/>
      </w:rPr>
    </w:lvl>
    <w:lvl w:ilvl="6" w:tplc="04020001" w:tentative="1">
      <w:start w:val="1"/>
      <w:numFmt w:val="bullet"/>
      <w:lvlText w:val=""/>
      <w:lvlJc w:val="left"/>
      <w:pPr>
        <w:ind w:left="4740" w:hanging="360"/>
      </w:pPr>
      <w:rPr>
        <w:rFonts w:ascii="Symbol" w:hAnsi="Symbol" w:hint="default"/>
      </w:rPr>
    </w:lvl>
    <w:lvl w:ilvl="7" w:tplc="04020003" w:tentative="1">
      <w:start w:val="1"/>
      <w:numFmt w:val="bullet"/>
      <w:lvlText w:val="o"/>
      <w:lvlJc w:val="left"/>
      <w:pPr>
        <w:ind w:left="5460" w:hanging="360"/>
      </w:pPr>
      <w:rPr>
        <w:rFonts w:ascii="Courier New" w:hAnsi="Courier New" w:cs="Courier New" w:hint="default"/>
      </w:rPr>
    </w:lvl>
    <w:lvl w:ilvl="8" w:tplc="04020005" w:tentative="1">
      <w:start w:val="1"/>
      <w:numFmt w:val="bullet"/>
      <w:lvlText w:val=""/>
      <w:lvlJc w:val="left"/>
      <w:pPr>
        <w:ind w:left="6180" w:hanging="360"/>
      </w:pPr>
      <w:rPr>
        <w:rFonts w:ascii="Wingdings" w:hAnsi="Wingdings" w:hint="default"/>
      </w:rPr>
    </w:lvl>
  </w:abstractNum>
  <w:abstractNum w:abstractNumId="3" w15:restartNumberingAfterBreak="0">
    <w:nsid w:val="04130D3C"/>
    <w:multiLevelType w:val="hybridMultilevel"/>
    <w:tmpl w:val="082A789A"/>
    <w:lvl w:ilvl="0" w:tplc="F5901BC0">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4304CFE"/>
    <w:multiLevelType w:val="hybridMultilevel"/>
    <w:tmpl w:val="9170DA66"/>
    <w:lvl w:ilvl="0" w:tplc="0402000B">
      <w:start w:val="1"/>
      <w:numFmt w:val="bullet"/>
      <w:lvlText w:val=""/>
      <w:lvlJc w:val="left"/>
      <w:pPr>
        <w:ind w:left="1463" w:hanging="360"/>
      </w:pPr>
      <w:rPr>
        <w:rFonts w:ascii="Wingdings" w:hAnsi="Wingdings" w:hint="default"/>
      </w:rPr>
    </w:lvl>
    <w:lvl w:ilvl="1" w:tplc="04020003">
      <w:start w:val="1"/>
      <w:numFmt w:val="bullet"/>
      <w:lvlText w:val="o"/>
      <w:lvlJc w:val="left"/>
      <w:pPr>
        <w:ind w:left="2183" w:hanging="360"/>
      </w:pPr>
      <w:rPr>
        <w:rFonts w:ascii="Courier New" w:hAnsi="Courier New" w:cs="Courier New" w:hint="default"/>
      </w:rPr>
    </w:lvl>
    <w:lvl w:ilvl="2" w:tplc="04020005">
      <w:start w:val="1"/>
      <w:numFmt w:val="bullet"/>
      <w:lvlText w:val=""/>
      <w:lvlJc w:val="left"/>
      <w:pPr>
        <w:ind w:left="2903" w:hanging="360"/>
      </w:pPr>
      <w:rPr>
        <w:rFonts w:ascii="Wingdings" w:hAnsi="Wingdings" w:hint="default"/>
      </w:rPr>
    </w:lvl>
    <w:lvl w:ilvl="3" w:tplc="04020001">
      <w:start w:val="1"/>
      <w:numFmt w:val="bullet"/>
      <w:lvlText w:val=""/>
      <w:lvlJc w:val="left"/>
      <w:pPr>
        <w:ind w:left="3623" w:hanging="360"/>
      </w:pPr>
      <w:rPr>
        <w:rFonts w:ascii="Symbol" w:hAnsi="Symbol" w:hint="default"/>
      </w:rPr>
    </w:lvl>
    <w:lvl w:ilvl="4" w:tplc="04020003">
      <w:start w:val="1"/>
      <w:numFmt w:val="bullet"/>
      <w:lvlText w:val="o"/>
      <w:lvlJc w:val="left"/>
      <w:pPr>
        <w:ind w:left="4343" w:hanging="360"/>
      </w:pPr>
      <w:rPr>
        <w:rFonts w:ascii="Courier New" w:hAnsi="Courier New" w:cs="Courier New" w:hint="default"/>
      </w:rPr>
    </w:lvl>
    <w:lvl w:ilvl="5" w:tplc="04020005">
      <w:start w:val="1"/>
      <w:numFmt w:val="bullet"/>
      <w:lvlText w:val=""/>
      <w:lvlJc w:val="left"/>
      <w:pPr>
        <w:ind w:left="5063" w:hanging="360"/>
      </w:pPr>
      <w:rPr>
        <w:rFonts w:ascii="Wingdings" w:hAnsi="Wingdings" w:hint="default"/>
      </w:rPr>
    </w:lvl>
    <w:lvl w:ilvl="6" w:tplc="04020001">
      <w:start w:val="1"/>
      <w:numFmt w:val="bullet"/>
      <w:lvlText w:val=""/>
      <w:lvlJc w:val="left"/>
      <w:pPr>
        <w:ind w:left="5783" w:hanging="360"/>
      </w:pPr>
      <w:rPr>
        <w:rFonts w:ascii="Symbol" w:hAnsi="Symbol" w:hint="default"/>
      </w:rPr>
    </w:lvl>
    <w:lvl w:ilvl="7" w:tplc="04020003">
      <w:start w:val="1"/>
      <w:numFmt w:val="bullet"/>
      <w:lvlText w:val="o"/>
      <w:lvlJc w:val="left"/>
      <w:pPr>
        <w:ind w:left="6503" w:hanging="360"/>
      </w:pPr>
      <w:rPr>
        <w:rFonts w:ascii="Courier New" w:hAnsi="Courier New" w:cs="Courier New" w:hint="default"/>
      </w:rPr>
    </w:lvl>
    <w:lvl w:ilvl="8" w:tplc="04020005">
      <w:start w:val="1"/>
      <w:numFmt w:val="bullet"/>
      <w:lvlText w:val=""/>
      <w:lvlJc w:val="left"/>
      <w:pPr>
        <w:ind w:left="7223" w:hanging="360"/>
      </w:pPr>
      <w:rPr>
        <w:rFonts w:ascii="Wingdings" w:hAnsi="Wingdings" w:hint="default"/>
      </w:rPr>
    </w:lvl>
  </w:abstractNum>
  <w:abstractNum w:abstractNumId="5" w15:restartNumberingAfterBreak="0">
    <w:nsid w:val="05801DBB"/>
    <w:multiLevelType w:val="multilevel"/>
    <w:tmpl w:val="CCF08B70"/>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15:restartNumberingAfterBreak="0">
    <w:nsid w:val="05D91319"/>
    <w:multiLevelType w:val="multilevel"/>
    <w:tmpl w:val="821ABD8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7284BAC"/>
    <w:multiLevelType w:val="multilevel"/>
    <w:tmpl w:val="3FE24642"/>
    <w:lvl w:ilvl="0">
      <w:start w:val="1"/>
      <w:numFmt w:val="bullet"/>
      <w:suff w:val="space"/>
      <w:lvlText w:val="-"/>
      <w:lvlJc w:val="left"/>
      <w:pPr>
        <w:ind w:left="0" w:firstLine="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3A418F"/>
    <w:multiLevelType w:val="hybridMultilevel"/>
    <w:tmpl w:val="7B584E86"/>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 w15:restartNumberingAfterBreak="0">
    <w:nsid w:val="09483012"/>
    <w:multiLevelType w:val="hybridMultilevel"/>
    <w:tmpl w:val="E132B94A"/>
    <w:lvl w:ilvl="0" w:tplc="04020001">
      <w:start w:val="1"/>
      <w:numFmt w:val="bullet"/>
      <w:lvlText w:val=""/>
      <w:lvlJc w:val="left"/>
      <w:pPr>
        <w:ind w:left="1069" w:hanging="360"/>
      </w:pPr>
      <w:rPr>
        <w:rFonts w:ascii="Symbol" w:hAnsi="Symbol" w:hint="default"/>
      </w:rPr>
    </w:lvl>
    <w:lvl w:ilvl="1" w:tplc="04020003">
      <w:start w:val="1"/>
      <w:numFmt w:val="bullet"/>
      <w:lvlText w:val="o"/>
      <w:lvlJc w:val="left"/>
      <w:pPr>
        <w:ind w:left="1789" w:hanging="360"/>
      </w:pPr>
      <w:rPr>
        <w:rFonts w:ascii="Courier New" w:hAnsi="Courier New" w:cs="Courier New" w:hint="default"/>
      </w:rPr>
    </w:lvl>
    <w:lvl w:ilvl="2" w:tplc="04020005">
      <w:start w:val="1"/>
      <w:numFmt w:val="bullet"/>
      <w:lvlText w:val=""/>
      <w:lvlJc w:val="left"/>
      <w:pPr>
        <w:ind w:left="2509" w:hanging="360"/>
      </w:pPr>
      <w:rPr>
        <w:rFonts w:ascii="Wingdings" w:hAnsi="Wingdings" w:hint="default"/>
      </w:rPr>
    </w:lvl>
    <w:lvl w:ilvl="3" w:tplc="04020001">
      <w:start w:val="1"/>
      <w:numFmt w:val="bullet"/>
      <w:lvlText w:val=""/>
      <w:lvlJc w:val="left"/>
      <w:pPr>
        <w:ind w:left="3229" w:hanging="360"/>
      </w:pPr>
      <w:rPr>
        <w:rFonts w:ascii="Symbol" w:hAnsi="Symbol" w:hint="default"/>
      </w:rPr>
    </w:lvl>
    <w:lvl w:ilvl="4" w:tplc="04020003">
      <w:start w:val="1"/>
      <w:numFmt w:val="bullet"/>
      <w:lvlText w:val="o"/>
      <w:lvlJc w:val="left"/>
      <w:pPr>
        <w:ind w:left="3949" w:hanging="360"/>
      </w:pPr>
      <w:rPr>
        <w:rFonts w:ascii="Courier New" w:hAnsi="Courier New" w:cs="Courier New" w:hint="default"/>
      </w:rPr>
    </w:lvl>
    <w:lvl w:ilvl="5" w:tplc="04020005">
      <w:start w:val="1"/>
      <w:numFmt w:val="bullet"/>
      <w:lvlText w:val=""/>
      <w:lvlJc w:val="left"/>
      <w:pPr>
        <w:ind w:left="4669" w:hanging="360"/>
      </w:pPr>
      <w:rPr>
        <w:rFonts w:ascii="Wingdings" w:hAnsi="Wingdings" w:hint="default"/>
      </w:rPr>
    </w:lvl>
    <w:lvl w:ilvl="6" w:tplc="04020001">
      <w:start w:val="1"/>
      <w:numFmt w:val="bullet"/>
      <w:lvlText w:val=""/>
      <w:lvlJc w:val="left"/>
      <w:pPr>
        <w:ind w:left="5389" w:hanging="360"/>
      </w:pPr>
      <w:rPr>
        <w:rFonts w:ascii="Symbol" w:hAnsi="Symbol" w:hint="default"/>
      </w:rPr>
    </w:lvl>
    <w:lvl w:ilvl="7" w:tplc="04020003">
      <w:start w:val="1"/>
      <w:numFmt w:val="bullet"/>
      <w:lvlText w:val="o"/>
      <w:lvlJc w:val="left"/>
      <w:pPr>
        <w:ind w:left="6109" w:hanging="360"/>
      </w:pPr>
      <w:rPr>
        <w:rFonts w:ascii="Courier New" w:hAnsi="Courier New" w:cs="Courier New" w:hint="default"/>
      </w:rPr>
    </w:lvl>
    <w:lvl w:ilvl="8" w:tplc="04020005">
      <w:start w:val="1"/>
      <w:numFmt w:val="bullet"/>
      <w:lvlText w:val=""/>
      <w:lvlJc w:val="left"/>
      <w:pPr>
        <w:ind w:left="6829" w:hanging="360"/>
      </w:pPr>
      <w:rPr>
        <w:rFonts w:ascii="Wingdings" w:hAnsi="Wingdings" w:hint="default"/>
      </w:rPr>
    </w:lvl>
  </w:abstractNum>
  <w:abstractNum w:abstractNumId="10" w15:restartNumberingAfterBreak="0">
    <w:nsid w:val="09A5249C"/>
    <w:multiLevelType w:val="hybridMultilevel"/>
    <w:tmpl w:val="0B200D50"/>
    <w:lvl w:ilvl="0" w:tplc="0F7C68D6">
      <w:start w:val="1"/>
      <w:numFmt w:val="bullet"/>
      <w:lvlText w:val=""/>
      <w:lvlJc w:val="left"/>
      <w:pPr>
        <w:tabs>
          <w:tab w:val="num" w:pos="720"/>
        </w:tabs>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B945BDF"/>
    <w:multiLevelType w:val="hybridMultilevel"/>
    <w:tmpl w:val="9528B150"/>
    <w:lvl w:ilvl="0" w:tplc="0402000D">
      <w:start w:val="1"/>
      <w:numFmt w:val="bullet"/>
      <w:lvlText w:val=""/>
      <w:lvlJc w:val="left"/>
      <w:pPr>
        <w:ind w:left="360" w:hanging="360"/>
      </w:pPr>
      <w:rPr>
        <w:rFonts w:ascii="Wingdings" w:hAnsi="Wingdings"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2" w15:restartNumberingAfterBreak="0">
    <w:nsid w:val="0D4B2721"/>
    <w:multiLevelType w:val="multilevel"/>
    <w:tmpl w:val="FB28CFD2"/>
    <w:lvl w:ilvl="0">
      <w:start w:val="1"/>
      <w:numFmt w:val="upperRoman"/>
      <w:lvlText w:val="%1."/>
      <w:lvlJc w:val="right"/>
      <w:pPr>
        <w:ind w:left="1429" w:hanging="360"/>
      </w:pPr>
      <w:rPr>
        <w:b/>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3" w15:restartNumberingAfterBreak="0">
    <w:nsid w:val="0F420522"/>
    <w:multiLevelType w:val="hybridMultilevel"/>
    <w:tmpl w:val="4D5E86A4"/>
    <w:lvl w:ilvl="0" w:tplc="04020001">
      <w:start w:val="1"/>
      <w:numFmt w:val="bullet"/>
      <w:lvlText w:val=""/>
      <w:lvlJc w:val="left"/>
      <w:pPr>
        <w:ind w:left="1259" w:hanging="360"/>
      </w:pPr>
      <w:rPr>
        <w:rFonts w:ascii="Symbol" w:hAnsi="Symbol" w:hint="default"/>
      </w:rPr>
    </w:lvl>
    <w:lvl w:ilvl="1" w:tplc="04020003" w:tentative="1">
      <w:start w:val="1"/>
      <w:numFmt w:val="bullet"/>
      <w:lvlText w:val="o"/>
      <w:lvlJc w:val="left"/>
      <w:pPr>
        <w:ind w:left="1979" w:hanging="360"/>
      </w:pPr>
      <w:rPr>
        <w:rFonts w:ascii="Courier New" w:hAnsi="Courier New" w:cs="Courier New" w:hint="default"/>
      </w:rPr>
    </w:lvl>
    <w:lvl w:ilvl="2" w:tplc="04020005" w:tentative="1">
      <w:start w:val="1"/>
      <w:numFmt w:val="bullet"/>
      <w:lvlText w:val=""/>
      <w:lvlJc w:val="left"/>
      <w:pPr>
        <w:ind w:left="2699" w:hanging="360"/>
      </w:pPr>
      <w:rPr>
        <w:rFonts w:ascii="Wingdings" w:hAnsi="Wingdings" w:hint="default"/>
      </w:rPr>
    </w:lvl>
    <w:lvl w:ilvl="3" w:tplc="04020001" w:tentative="1">
      <w:start w:val="1"/>
      <w:numFmt w:val="bullet"/>
      <w:lvlText w:val=""/>
      <w:lvlJc w:val="left"/>
      <w:pPr>
        <w:ind w:left="3419" w:hanging="360"/>
      </w:pPr>
      <w:rPr>
        <w:rFonts w:ascii="Symbol" w:hAnsi="Symbol" w:hint="default"/>
      </w:rPr>
    </w:lvl>
    <w:lvl w:ilvl="4" w:tplc="04020003" w:tentative="1">
      <w:start w:val="1"/>
      <w:numFmt w:val="bullet"/>
      <w:lvlText w:val="o"/>
      <w:lvlJc w:val="left"/>
      <w:pPr>
        <w:ind w:left="4139" w:hanging="360"/>
      </w:pPr>
      <w:rPr>
        <w:rFonts w:ascii="Courier New" w:hAnsi="Courier New" w:cs="Courier New" w:hint="default"/>
      </w:rPr>
    </w:lvl>
    <w:lvl w:ilvl="5" w:tplc="04020005" w:tentative="1">
      <w:start w:val="1"/>
      <w:numFmt w:val="bullet"/>
      <w:lvlText w:val=""/>
      <w:lvlJc w:val="left"/>
      <w:pPr>
        <w:ind w:left="4859" w:hanging="360"/>
      </w:pPr>
      <w:rPr>
        <w:rFonts w:ascii="Wingdings" w:hAnsi="Wingdings" w:hint="default"/>
      </w:rPr>
    </w:lvl>
    <w:lvl w:ilvl="6" w:tplc="04020001" w:tentative="1">
      <w:start w:val="1"/>
      <w:numFmt w:val="bullet"/>
      <w:lvlText w:val=""/>
      <w:lvlJc w:val="left"/>
      <w:pPr>
        <w:ind w:left="5579" w:hanging="360"/>
      </w:pPr>
      <w:rPr>
        <w:rFonts w:ascii="Symbol" w:hAnsi="Symbol" w:hint="default"/>
      </w:rPr>
    </w:lvl>
    <w:lvl w:ilvl="7" w:tplc="04020003" w:tentative="1">
      <w:start w:val="1"/>
      <w:numFmt w:val="bullet"/>
      <w:lvlText w:val="o"/>
      <w:lvlJc w:val="left"/>
      <w:pPr>
        <w:ind w:left="6299" w:hanging="360"/>
      </w:pPr>
      <w:rPr>
        <w:rFonts w:ascii="Courier New" w:hAnsi="Courier New" w:cs="Courier New" w:hint="default"/>
      </w:rPr>
    </w:lvl>
    <w:lvl w:ilvl="8" w:tplc="04020005" w:tentative="1">
      <w:start w:val="1"/>
      <w:numFmt w:val="bullet"/>
      <w:lvlText w:val=""/>
      <w:lvlJc w:val="left"/>
      <w:pPr>
        <w:ind w:left="7019" w:hanging="360"/>
      </w:pPr>
      <w:rPr>
        <w:rFonts w:ascii="Wingdings" w:hAnsi="Wingdings" w:hint="default"/>
      </w:rPr>
    </w:lvl>
  </w:abstractNum>
  <w:abstractNum w:abstractNumId="14" w15:restartNumberingAfterBreak="0">
    <w:nsid w:val="0FB53659"/>
    <w:multiLevelType w:val="multilevel"/>
    <w:tmpl w:val="76A05BAE"/>
    <w:styleLink w:val="WWNum19"/>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5" w15:restartNumberingAfterBreak="0">
    <w:nsid w:val="11EF3B47"/>
    <w:multiLevelType w:val="hybridMultilevel"/>
    <w:tmpl w:val="D3A042E2"/>
    <w:lvl w:ilvl="0" w:tplc="4872C6EA">
      <w:start w:val="1"/>
      <w:numFmt w:val="bullet"/>
      <w:lvlText w:val=""/>
      <w:lvlJc w:val="left"/>
      <w:pPr>
        <w:tabs>
          <w:tab w:val="num" w:pos="1430"/>
        </w:tabs>
        <w:ind w:left="1430" w:hanging="360"/>
      </w:pPr>
      <w:rPr>
        <w:rFonts w:ascii="Wingdings" w:hAnsi="Wingdings" w:hint="default"/>
        <w:b w:val="0"/>
        <w:color w:val="auto"/>
      </w:rPr>
    </w:lvl>
    <w:lvl w:ilvl="1" w:tplc="51BCF814">
      <w:start w:val="1"/>
      <w:numFmt w:val="bullet"/>
      <w:lvlText w:val=""/>
      <w:lvlJc w:val="left"/>
      <w:pPr>
        <w:tabs>
          <w:tab w:val="num" w:pos="2150"/>
        </w:tabs>
        <w:ind w:left="2150" w:hanging="360"/>
      </w:pPr>
      <w:rPr>
        <w:rFonts w:ascii="Wingdings" w:hAnsi="Wingdings" w:hint="default"/>
        <w:b/>
        <w:color w:val="auto"/>
      </w:rPr>
    </w:lvl>
    <w:lvl w:ilvl="2" w:tplc="04020005" w:tentative="1">
      <w:start w:val="1"/>
      <w:numFmt w:val="bullet"/>
      <w:lvlText w:val=""/>
      <w:lvlJc w:val="left"/>
      <w:pPr>
        <w:tabs>
          <w:tab w:val="num" w:pos="2870"/>
        </w:tabs>
        <w:ind w:left="2870" w:hanging="360"/>
      </w:pPr>
      <w:rPr>
        <w:rFonts w:ascii="Wingdings" w:hAnsi="Wingdings" w:hint="default"/>
      </w:rPr>
    </w:lvl>
    <w:lvl w:ilvl="3" w:tplc="04020001" w:tentative="1">
      <w:start w:val="1"/>
      <w:numFmt w:val="bullet"/>
      <w:lvlText w:val=""/>
      <w:lvlJc w:val="left"/>
      <w:pPr>
        <w:tabs>
          <w:tab w:val="num" w:pos="3590"/>
        </w:tabs>
        <w:ind w:left="3590" w:hanging="360"/>
      </w:pPr>
      <w:rPr>
        <w:rFonts w:ascii="Symbol" w:hAnsi="Symbol" w:hint="default"/>
      </w:rPr>
    </w:lvl>
    <w:lvl w:ilvl="4" w:tplc="04020003" w:tentative="1">
      <w:start w:val="1"/>
      <w:numFmt w:val="bullet"/>
      <w:lvlText w:val="o"/>
      <w:lvlJc w:val="left"/>
      <w:pPr>
        <w:tabs>
          <w:tab w:val="num" w:pos="4310"/>
        </w:tabs>
        <w:ind w:left="4310" w:hanging="360"/>
      </w:pPr>
      <w:rPr>
        <w:rFonts w:ascii="Courier New" w:hAnsi="Courier New" w:cs="Courier New" w:hint="default"/>
      </w:rPr>
    </w:lvl>
    <w:lvl w:ilvl="5" w:tplc="04020005" w:tentative="1">
      <w:start w:val="1"/>
      <w:numFmt w:val="bullet"/>
      <w:lvlText w:val=""/>
      <w:lvlJc w:val="left"/>
      <w:pPr>
        <w:tabs>
          <w:tab w:val="num" w:pos="5030"/>
        </w:tabs>
        <w:ind w:left="5030" w:hanging="360"/>
      </w:pPr>
      <w:rPr>
        <w:rFonts w:ascii="Wingdings" w:hAnsi="Wingdings" w:hint="default"/>
      </w:rPr>
    </w:lvl>
    <w:lvl w:ilvl="6" w:tplc="04020001" w:tentative="1">
      <w:start w:val="1"/>
      <w:numFmt w:val="bullet"/>
      <w:lvlText w:val=""/>
      <w:lvlJc w:val="left"/>
      <w:pPr>
        <w:tabs>
          <w:tab w:val="num" w:pos="5750"/>
        </w:tabs>
        <w:ind w:left="5750" w:hanging="360"/>
      </w:pPr>
      <w:rPr>
        <w:rFonts w:ascii="Symbol" w:hAnsi="Symbol" w:hint="default"/>
      </w:rPr>
    </w:lvl>
    <w:lvl w:ilvl="7" w:tplc="04020003" w:tentative="1">
      <w:start w:val="1"/>
      <w:numFmt w:val="bullet"/>
      <w:lvlText w:val="o"/>
      <w:lvlJc w:val="left"/>
      <w:pPr>
        <w:tabs>
          <w:tab w:val="num" w:pos="6470"/>
        </w:tabs>
        <w:ind w:left="6470" w:hanging="360"/>
      </w:pPr>
      <w:rPr>
        <w:rFonts w:ascii="Courier New" w:hAnsi="Courier New" w:cs="Courier New" w:hint="default"/>
      </w:rPr>
    </w:lvl>
    <w:lvl w:ilvl="8" w:tplc="04020005" w:tentative="1">
      <w:start w:val="1"/>
      <w:numFmt w:val="bullet"/>
      <w:lvlText w:val=""/>
      <w:lvlJc w:val="left"/>
      <w:pPr>
        <w:tabs>
          <w:tab w:val="num" w:pos="7190"/>
        </w:tabs>
        <w:ind w:left="7190" w:hanging="360"/>
      </w:pPr>
      <w:rPr>
        <w:rFonts w:ascii="Wingdings" w:hAnsi="Wingdings" w:hint="default"/>
      </w:rPr>
    </w:lvl>
  </w:abstractNum>
  <w:abstractNum w:abstractNumId="16" w15:restartNumberingAfterBreak="0">
    <w:nsid w:val="12E04E9D"/>
    <w:multiLevelType w:val="hybridMultilevel"/>
    <w:tmpl w:val="2B6AF46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141821C7"/>
    <w:multiLevelType w:val="multilevel"/>
    <w:tmpl w:val="FD72B840"/>
    <w:lvl w:ilvl="0">
      <w:start w:val="2"/>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8" w15:restartNumberingAfterBreak="0">
    <w:nsid w:val="16185A29"/>
    <w:multiLevelType w:val="hybridMultilevel"/>
    <w:tmpl w:val="4DE4988E"/>
    <w:lvl w:ilvl="0" w:tplc="7A38267C">
      <w:start w:val="1"/>
      <w:numFmt w:val="bullet"/>
      <w:lvlText w:val=""/>
      <w:lvlJc w:val="left"/>
      <w:pPr>
        <w:tabs>
          <w:tab w:val="num" w:pos="1863"/>
        </w:tabs>
        <w:ind w:left="1863" w:hanging="360"/>
      </w:pPr>
      <w:rPr>
        <w:rFonts w:ascii="Symbol" w:hAnsi="Symbol" w:hint="default"/>
        <w:color w:val="auto"/>
      </w:rPr>
    </w:lvl>
    <w:lvl w:ilvl="1" w:tplc="04020007">
      <w:start w:val="1"/>
      <w:numFmt w:val="bullet"/>
      <w:lvlText w:val=""/>
      <w:lvlJc w:val="left"/>
      <w:pPr>
        <w:tabs>
          <w:tab w:val="num" w:pos="2148"/>
        </w:tabs>
        <w:ind w:left="2148" w:hanging="360"/>
      </w:pPr>
      <w:rPr>
        <w:rFonts w:ascii="Symbol" w:hAnsi="Symbol" w:hint="default"/>
        <w:color w:val="auto"/>
      </w:rPr>
    </w:lvl>
    <w:lvl w:ilvl="2" w:tplc="F73A176E">
      <w:numFmt w:val="bullet"/>
      <w:lvlText w:val="-"/>
      <w:lvlJc w:val="left"/>
      <w:pPr>
        <w:tabs>
          <w:tab w:val="num" w:pos="2868"/>
        </w:tabs>
        <w:ind w:left="2868" w:hanging="360"/>
      </w:pPr>
      <w:rPr>
        <w:rFonts w:ascii="Times New Roman" w:eastAsia="Times New Roman" w:hAnsi="Times New Roman" w:cs="Times New Roman"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cs="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cs="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19" w15:restartNumberingAfterBreak="0">
    <w:nsid w:val="188020B7"/>
    <w:multiLevelType w:val="hybridMultilevel"/>
    <w:tmpl w:val="3D2C19F0"/>
    <w:lvl w:ilvl="0" w:tplc="04266EAE">
      <w:start w:val="1"/>
      <w:numFmt w:val="bullet"/>
      <w:lvlText w:val="♦"/>
      <w:lvlJc w:val="left"/>
      <w:pPr>
        <w:tabs>
          <w:tab w:val="num" w:pos="2160"/>
        </w:tabs>
        <w:ind w:left="2160" w:hanging="360"/>
      </w:pPr>
      <w:rPr>
        <w:rFonts w:ascii="Courier New" w:hAnsi="Courier New" w:hint="default"/>
        <w:color w:val="000000"/>
        <w:sz w:val="28"/>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C13400B"/>
    <w:multiLevelType w:val="multilevel"/>
    <w:tmpl w:val="7504A50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1F76309A"/>
    <w:multiLevelType w:val="hybridMultilevel"/>
    <w:tmpl w:val="364A0F5C"/>
    <w:lvl w:ilvl="0" w:tplc="04020001">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2108686D"/>
    <w:multiLevelType w:val="multilevel"/>
    <w:tmpl w:val="0402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15D2256"/>
    <w:multiLevelType w:val="hybridMultilevel"/>
    <w:tmpl w:val="EBF84C52"/>
    <w:lvl w:ilvl="0" w:tplc="04020001">
      <w:start w:val="1"/>
      <w:numFmt w:val="bullet"/>
      <w:lvlText w:val=""/>
      <w:lvlJc w:val="left"/>
      <w:pPr>
        <w:ind w:left="117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4" w15:restartNumberingAfterBreak="0">
    <w:nsid w:val="22CC1C88"/>
    <w:multiLevelType w:val="hybridMultilevel"/>
    <w:tmpl w:val="6E2C09D8"/>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5" w15:restartNumberingAfterBreak="0">
    <w:nsid w:val="22DA3EAE"/>
    <w:multiLevelType w:val="hybridMultilevel"/>
    <w:tmpl w:val="B82856D0"/>
    <w:lvl w:ilvl="0" w:tplc="FFFFFFFF">
      <w:start w:val="1"/>
      <w:numFmt w:val="bullet"/>
      <w:lvlText w:val=""/>
      <w:lvlJc w:val="left"/>
      <w:pPr>
        <w:ind w:left="1260" w:hanging="360"/>
      </w:pPr>
      <w:rPr>
        <w:rFonts w:ascii="Symbol" w:hAnsi="Symbol" w:hint="default"/>
        <w:color w:val="auto"/>
      </w:rPr>
    </w:lvl>
    <w:lvl w:ilvl="1" w:tplc="04020003" w:tentative="1">
      <w:start w:val="1"/>
      <w:numFmt w:val="bullet"/>
      <w:lvlText w:val="o"/>
      <w:lvlJc w:val="left"/>
      <w:pPr>
        <w:ind w:left="1980" w:hanging="360"/>
      </w:pPr>
      <w:rPr>
        <w:rFonts w:ascii="Courier New" w:hAnsi="Courier New" w:cs="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cs="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cs="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26" w15:restartNumberingAfterBreak="0">
    <w:nsid w:val="240F0E88"/>
    <w:multiLevelType w:val="multilevel"/>
    <w:tmpl w:val="49E41F0A"/>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 w15:restartNumberingAfterBreak="0">
    <w:nsid w:val="25A20358"/>
    <w:multiLevelType w:val="hybridMultilevel"/>
    <w:tmpl w:val="E1D8CE2E"/>
    <w:lvl w:ilvl="0" w:tplc="B8369D36">
      <w:start w:val="1"/>
      <w:numFmt w:val="bullet"/>
      <w:lvlText w:val=""/>
      <w:lvlJc w:val="left"/>
      <w:pPr>
        <w:tabs>
          <w:tab w:val="num" w:pos="898"/>
        </w:tabs>
        <w:ind w:firstLine="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CC4BB2"/>
    <w:multiLevelType w:val="hybridMultilevel"/>
    <w:tmpl w:val="6338CB6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270478E0"/>
    <w:multiLevelType w:val="hybridMultilevel"/>
    <w:tmpl w:val="1714A934"/>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0" w15:restartNumberingAfterBreak="0">
    <w:nsid w:val="275B77DD"/>
    <w:multiLevelType w:val="hybridMultilevel"/>
    <w:tmpl w:val="4EDE2DB4"/>
    <w:lvl w:ilvl="0" w:tplc="A314B01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D526313"/>
    <w:multiLevelType w:val="hybridMultilevel"/>
    <w:tmpl w:val="7B501436"/>
    <w:lvl w:ilvl="0" w:tplc="02C8FF22">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2DBC33CA"/>
    <w:multiLevelType w:val="hybridMultilevel"/>
    <w:tmpl w:val="1AE632BE"/>
    <w:lvl w:ilvl="0" w:tplc="A308FDDC">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33" w15:restartNumberingAfterBreak="0">
    <w:nsid w:val="2F7F4720"/>
    <w:multiLevelType w:val="hybridMultilevel"/>
    <w:tmpl w:val="0CFA38B2"/>
    <w:lvl w:ilvl="0" w:tplc="B8089F6A">
      <w:start w:val="1"/>
      <w:numFmt w:val="bullet"/>
      <w:lvlText w:val=""/>
      <w:lvlJc w:val="left"/>
      <w:pPr>
        <w:tabs>
          <w:tab w:val="num" w:pos="1547"/>
        </w:tabs>
        <w:ind w:left="1185" w:firstLine="96"/>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4" w15:restartNumberingAfterBreak="0">
    <w:nsid w:val="30905154"/>
    <w:multiLevelType w:val="hybridMultilevel"/>
    <w:tmpl w:val="94749AF2"/>
    <w:lvl w:ilvl="0" w:tplc="C6C87552">
      <w:numFmt w:val="bullet"/>
      <w:lvlText w:val="-"/>
      <w:lvlJc w:val="left"/>
      <w:pPr>
        <w:tabs>
          <w:tab w:val="num" w:pos="1870"/>
        </w:tabs>
        <w:ind w:left="1870" w:hanging="360"/>
      </w:pPr>
      <w:rPr>
        <w:rFonts w:ascii="Times New Roman" w:eastAsia="Times New Roman" w:hAnsi="Times New Roman"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5" w15:restartNumberingAfterBreak="0">
    <w:nsid w:val="32E77FC2"/>
    <w:multiLevelType w:val="multilevel"/>
    <w:tmpl w:val="818EB08C"/>
    <w:lvl w:ilvl="0">
      <w:start w:val="1"/>
      <w:numFmt w:val="bullet"/>
      <w:suff w:val="space"/>
      <w:lvlText w:val="-"/>
      <w:lvlJc w:val="left"/>
      <w:pPr>
        <w:ind w:left="0" w:firstLine="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712A01"/>
    <w:multiLevelType w:val="hybridMultilevel"/>
    <w:tmpl w:val="90B61ECE"/>
    <w:lvl w:ilvl="0" w:tplc="04020005">
      <w:start w:val="1"/>
      <w:numFmt w:val="bullet"/>
      <w:lvlText w:val=""/>
      <w:lvlJc w:val="left"/>
      <w:pPr>
        <w:ind w:left="1155" w:hanging="360"/>
      </w:pPr>
      <w:rPr>
        <w:rFonts w:ascii="Wingdings" w:hAnsi="Wingdings" w:hint="default"/>
      </w:rPr>
    </w:lvl>
    <w:lvl w:ilvl="1" w:tplc="04020003">
      <w:start w:val="1"/>
      <w:numFmt w:val="bullet"/>
      <w:lvlText w:val="o"/>
      <w:lvlJc w:val="left"/>
      <w:pPr>
        <w:ind w:left="1875" w:hanging="360"/>
      </w:pPr>
      <w:rPr>
        <w:rFonts w:ascii="Courier New" w:hAnsi="Courier New" w:cs="Courier New" w:hint="default"/>
      </w:rPr>
    </w:lvl>
    <w:lvl w:ilvl="2" w:tplc="04020005">
      <w:start w:val="1"/>
      <w:numFmt w:val="bullet"/>
      <w:lvlText w:val=""/>
      <w:lvlJc w:val="left"/>
      <w:pPr>
        <w:ind w:left="2595" w:hanging="360"/>
      </w:pPr>
      <w:rPr>
        <w:rFonts w:ascii="Wingdings" w:hAnsi="Wingdings" w:hint="default"/>
      </w:rPr>
    </w:lvl>
    <w:lvl w:ilvl="3" w:tplc="04020001">
      <w:start w:val="1"/>
      <w:numFmt w:val="bullet"/>
      <w:lvlText w:val=""/>
      <w:lvlJc w:val="left"/>
      <w:pPr>
        <w:ind w:left="3315" w:hanging="360"/>
      </w:pPr>
      <w:rPr>
        <w:rFonts w:ascii="Symbol" w:hAnsi="Symbol" w:hint="default"/>
      </w:rPr>
    </w:lvl>
    <w:lvl w:ilvl="4" w:tplc="04020003">
      <w:start w:val="1"/>
      <w:numFmt w:val="bullet"/>
      <w:lvlText w:val="o"/>
      <w:lvlJc w:val="left"/>
      <w:pPr>
        <w:ind w:left="4035" w:hanging="360"/>
      </w:pPr>
      <w:rPr>
        <w:rFonts w:ascii="Courier New" w:hAnsi="Courier New" w:cs="Courier New" w:hint="default"/>
      </w:rPr>
    </w:lvl>
    <w:lvl w:ilvl="5" w:tplc="04020005">
      <w:start w:val="1"/>
      <w:numFmt w:val="bullet"/>
      <w:lvlText w:val=""/>
      <w:lvlJc w:val="left"/>
      <w:pPr>
        <w:ind w:left="4755" w:hanging="360"/>
      </w:pPr>
      <w:rPr>
        <w:rFonts w:ascii="Wingdings" w:hAnsi="Wingdings" w:hint="default"/>
      </w:rPr>
    </w:lvl>
    <w:lvl w:ilvl="6" w:tplc="04020001">
      <w:start w:val="1"/>
      <w:numFmt w:val="bullet"/>
      <w:lvlText w:val=""/>
      <w:lvlJc w:val="left"/>
      <w:pPr>
        <w:ind w:left="5475" w:hanging="360"/>
      </w:pPr>
      <w:rPr>
        <w:rFonts w:ascii="Symbol" w:hAnsi="Symbol" w:hint="default"/>
      </w:rPr>
    </w:lvl>
    <w:lvl w:ilvl="7" w:tplc="04020003">
      <w:start w:val="1"/>
      <w:numFmt w:val="bullet"/>
      <w:lvlText w:val="o"/>
      <w:lvlJc w:val="left"/>
      <w:pPr>
        <w:ind w:left="6195" w:hanging="360"/>
      </w:pPr>
      <w:rPr>
        <w:rFonts w:ascii="Courier New" w:hAnsi="Courier New" w:cs="Courier New" w:hint="default"/>
      </w:rPr>
    </w:lvl>
    <w:lvl w:ilvl="8" w:tplc="04020005">
      <w:start w:val="1"/>
      <w:numFmt w:val="bullet"/>
      <w:lvlText w:val=""/>
      <w:lvlJc w:val="left"/>
      <w:pPr>
        <w:ind w:left="6915" w:hanging="360"/>
      </w:pPr>
      <w:rPr>
        <w:rFonts w:ascii="Wingdings" w:hAnsi="Wingdings" w:hint="default"/>
      </w:rPr>
    </w:lvl>
  </w:abstractNum>
  <w:abstractNum w:abstractNumId="37" w15:restartNumberingAfterBreak="0">
    <w:nsid w:val="363C4CFF"/>
    <w:multiLevelType w:val="hybridMultilevel"/>
    <w:tmpl w:val="8716B62C"/>
    <w:lvl w:ilvl="0" w:tplc="04266EAE">
      <w:start w:val="1"/>
      <w:numFmt w:val="bullet"/>
      <w:lvlText w:val="♦"/>
      <w:lvlJc w:val="left"/>
      <w:pPr>
        <w:tabs>
          <w:tab w:val="num" w:pos="885"/>
        </w:tabs>
        <w:ind w:left="885" w:hanging="459"/>
      </w:pPr>
      <w:rPr>
        <w:rFonts w:ascii="Courier New" w:hAnsi="Courier New" w:hint="default"/>
        <w:color w:val="000000"/>
        <w:sz w:val="28"/>
      </w:rPr>
    </w:lvl>
    <w:lvl w:ilvl="1" w:tplc="04090003">
      <w:start w:val="1"/>
      <w:numFmt w:val="bullet"/>
      <w:lvlText w:val="o"/>
      <w:lvlJc w:val="left"/>
      <w:pPr>
        <w:tabs>
          <w:tab w:val="num" w:pos="1506"/>
        </w:tabs>
        <w:ind w:left="1506" w:hanging="360"/>
      </w:pPr>
      <w:rPr>
        <w:rFonts w:ascii="Courier New" w:hAnsi="Courier New" w:cs="Courier New" w:hint="default"/>
      </w:rPr>
    </w:lvl>
    <w:lvl w:ilvl="2" w:tplc="04090005">
      <w:start w:val="1"/>
      <w:numFmt w:val="bullet"/>
      <w:lvlText w:val=""/>
      <w:lvlJc w:val="left"/>
      <w:pPr>
        <w:tabs>
          <w:tab w:val="num" w:pos="2226"/>
        </w:tabs>
        <w:ind w:left="2226" w:hanging="360"/>
      </w:pPr>
      <w:rPr>
        <w:rFonts w:ascii="Wingdings" w:hAnsi="Wingdings" w:hint="default"/>
      </w:rPr>
    </w:lvl>
    <w:lvl w:ilvl="3" w:tplc="04090001">
      <w:start w:val="1"/>
      <w:numFmt w:val="bullet"/>
      <w:lvlText w:val=""/>
      <w:lvlJc w:val="left"/>
      <w:pPr>
        <w:tabs>
          <w:tab w:val="num" w:pos="2946"/>
        </w:tabs>
        <w:ind w:left="2946" w:hanging="360"/>
      </w:pPr>
      <w:rPr>
        <w:rFonts w:ascii="Symbol" w:hAnsi="Symbol" w:hint="default"/>
      </w:rPr>
    </w:lvl>
    <w:lvl w:ilvl="4" w:tplc="04090003">
      <w:start w:val="1"/>
      <w:numFmt w:val="bullet"/>
      <w:lvlText w:val="o"/>
      <w:lvlJc w:val="left"/>
      <w:pPr>
        <w:tabs>
          <w:tab w:val="num" w:pos="3666"/>
        </w:tabs>
        <w:ind w:left="3666" w:hanging="360"/>
      </w:pPr>
      <w:rPr>
        <w:rFonts w:ascii="Courier New" w:hAnsi="Courier New" w:cs="Courier New" w:hint="default"/>
      </w:rPr>
    </w:lvl>
    <w:lvl w:ilvl="5" w:tplc="04090005">
      <w:start w:val="1"/>
      <w:numFmt w:val="bullet"/>
      <w:lvlText w:val=""/>
      <w:lvlJc w:val="left"/>
      <w:pPr>
        <w:tabs>
          <w:tab w:val="num" w:pos="4386"/>
        </w:tabs>
        <w:ind w:left="4386" w:hanging="360"/>
      </w:pPr>
      <w:rPr>
        <w:rFonts w:ascii="Wingdings" w:hAnsi="Wingdings" w:hint="default"/>
      </w:rPr>
    </w:lvl>
    <w:lvl w:ilvl="6" w:tplc="04090001">
      <w:start w:val="1"/>
      <w:numFmt w:val="bullet"/>
      <w:lvlText w:val=""/>
      <w:lvlJc w:val="left"/>
      <w:pPr>
        <w:tabs>
          <w:tab w:val="num" w:pos="5106"/>
        </w:tabs>
        <w:ind w:left="5106" w:hanging="360"/>
      </w:pPr>
      <w:rPr>
        <w:rFonts w:ascii="Symbol" w:hAnsi="Symbol" w:hint="default"/>
      </w:rPr>
    </w:lvl>
    <w:lvl w:ilvl="7" w:tplc="04090003">
      <w:start w:val="1"/>
      <w:numFmt w:val="bullet"/>
      <w:lvlText w:val="o"/>
      <w:lvlJc w:val="left"/>
      <w:pPr>
        <w:tabs>
          <w:tab w:val="num" w:pos="5826"/>
        </w:tabs>
        <w:ind w:left="5826" w:hanging="360"/>
      </w:pPr>
      <w:rPr>
        <w:rFonts w:ascii="Courier New" w:hAnsi="Courier New" w:cs="Courier New" w:hint="default"/>
      </w:rPr>
    </w:lvl>
    <w:lvl w:ilvl="8" w:tplc="04090005">
      <w:start w:val="1"/>
      <w:numFmt w:val="bullet"/>
      <w:lvlText w:val=""/>
      <w:lvlJc w:val="left"/>
      <w:pPr>
        <w:tabs>
          <w:tab w:val="num" w:pos="6546"/>
        </w:tabs>
        <w:ind w:left="6546" w:hanging="360"/>
      </w:pPr>
      <w:rPr>
        <w:rFonts w:ascii="Wingdings" w:hAnsi="Wingdings" w:hint="default"/>
      </w:rPr>
    </w:lvl>
  </w:abstractNum>
  <w:abstractNum w:abstractNumId="38" w15:restartNumberingAfterBreak="0">
    <w:nsid w:val="3C1364C2"/>
    <w:multiLevelType w:val="hybridMultilevel"/>
    <w:tmpl w:val="A67A2388"/>
    <w:lvl w:ilvl="0" w:tplc="3B28C328">
      <w:start w:val="1"/>
      <w:numFmt w:val="bullet"/>
      <w:lvlText w:val=""/>
      <w:lvlJc w:val="left"/>
      <w:pPr>
        <w:ind w:left="720" w:hanging="360"/>
      </w:pPr>
      <w:rPr>
        <w:rFonts w:ascii="Symbol" w:hAnsi="Symbol" w:hint="default"/>
      </w:rPr>
    </w:lvl>
    <w:lvl w:ilvl="1" w:tplc="04020001">
      <w:start w:val="1"/>
      <w:numFmt w:val="bullet"/>
      <w:lvlText w:val=""/>
      <w:lvlJc w:val="left"/>
      <w:pPr>
        <w:ind w:left="144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9" w15:restartNumberingAfterBreak="0">
    <w:nsid w:val="3C4D11E1"/>
    <w:multiLevelType w:val="hybridMultilevel"/>
    <w:tmpl w:val="65D6544E"/>
    <w:lvl w:ilvl="0" w:tplc="104229B6">
      <w:numFmt w:val="bullet"/>
      <w:lvlText w:val="-"/>
      <w:lvlJc w:val="left"/>
      <w:pPr>
        <w:tabs>
          <w:tab w:val="num" w:pos="1870"/>
        </w:tabs>
        <w:ind w:left="1870" w:hanging="360"/>
      </w:pPr>
      <w:rPr>
        <w:rFonts w:ascii="Times New Roman" w:eastAsia="Times New Roman" w:hAnsi="Times New Roman" w:hint="default"/>
        <w:b w:val="0"/>
      </w:rPr>
    </w:lvl>
    <w:lvl w:ilvl="1" w:tplc="9098928A">
      <w:start w:val="1"/>
      <w:numFmt w:val="decimal"/>
      <w:lvlText w:val="%2."/>
      <w:lvlJc w:val="left"/>
      <w:pPr>
        <w:tabs>
          <w:tab w:val="num" w:pos="1150"/>
        </w:tabs>
        <w:ind w:left="1150" w:hanging="360"/>
      </w:pPr>
      <w:rPr>
        <w:rFonts w:cs="Times New Roman" w:hint="default"/>
        <w:b/>
      </w:rPr>
    </w:lvl>
    <w:lvl w:ilvl="2" w:tplc="04020005" w:tentative="1">
      <w:start w:val="1"/>
      <w:numFmt w:val="lowerRoman"/>
      <w:lvlText w:val="%3."/>
      <w:lvlJc w:val="right"/>
      <w:pPr>
        <w:tabs>
          <w:tab w:val="num" w:pos="1870"/>
        </w:tabs>
        <w:ind w:left="1870" w:hanging="180"/>
      </w:pPr>
      <w:rPr>
        <w:rFonts w:cs="Times New Roman"/>
      </w:rPr>
    </w:lvl>
    <w:lvl w:ilvl="3" w:tplc="04020001" w:tentative="1">
      <w:start w:val="1"/>
      <w:numFmt w:val="decimal"/>
      <w:lvlText w:val="%4."/>
      <w:lvlJc w:val="left"/>
      <w:pPr>
        <w:tabs>
          <w:tab w:val="num" w:pos="2590"/>
        </w:tabs>
        <w:ind w:left="2590" w:hanging="360"/>
      </w:pPr>
      <w:rPr>
        <w:rFonts w:cs="Times New Roman"/>
      </w:rPr>
    </w:lvl>
    <w:lvl w:ilvl="4" w:tplc="04020003" w:tentative="1">
      <w:start w:val="1"/>
      <w:numFmt w:val="lowerLetter"/>
      <w:lvlText w:val="%5."/>
      <w:lvlJc w:val="left"/>
      <w:pPr>
        <w:tabs>
          <w:tab w:val="num" w:pos="3310"/>
        </w:tabs>
        <w:ind w:left="3310" w:hanging="360"/>
      </w:pPr>
      <w:rPr>
        <w:rFonts w:cs="Times New Roman"/>
      </w:rPr>
    </w:lvl>
    <w:lvl w:ilvl="5" w:tplc="04020005" w:tentative="1">
      <w:start w:val="1"/>
      <w:numFmt w:val="lowerRoman"/>
      <w:lvlText w:val="%6."/>
      <w:lvlJc w:val="right"/>
      <w:pPr>
        <w:tabs>
          <w:tab w:val="num" w:pos="4030"/>
        </w:tabs>
        <w:ind w:left="4030" w:hanging="180"/>
      </w:pPr>
      <w:rPr>
        <w:rFonts w:cs="Times New Roman"/>
      </w:rPr>
    </w:lvl>
    <w:lvl w:ilvl="6" w:tplc="04020001" w:tentative="1">
      <w:start w:val="1"/>
      <w:numFmt w:val="decimal"/>
      <w:lvlText w:val="%7."/>
      <w:lvlJc w:val="left"/>
      <w:pPr>
        <w:tabs>
          <w:tab w:val="num" w:pos="4750"/>
        </w:tabs>
        <w:ind w:left="4750" w:hanging="360"/>
      </w:pPr>
      <w:rPr>
        <w:rFonts w:cs="Times New Roman"/>
      </w:rPr>
    </w:lvl>
    <w:lvl w:ilvl="7" w:tplc="04020003" w:tentative="1">
      <w:start w:val="1"/>
      <w:numFmt w:val="lowerLetter"/>
      <w:lvlText w:val="%8."/>
      <w:lvlJc w:val="left"/>
      <w:pPr>
        <w:tabs>
          <w:tab w:val="num" w:pos="5470"/>
        </w:tabs>
        <w:ind w:left="5470" w:hanging="360"/>
      </w:pPr>
      <w:rPr>
        <w:rFonts w:cs="Times New Roman"/>
      </w:rPr>
    </w:lvl>
    <w:lvl w:ilvl="8" w:tplc="04020005" w:tentative="1">
      <w:start w:val="1"/>
      <w:numFmt w:val="lowerRoman"/>
      <w:lvlText w:val="%9."/>
      <w:lvlJc w:val="right"/>
      <w:pPr>
        <w:tabs>
          <w:tab w:val="num" w:pos="6190"/>
        </w:tabs>
        <w:ind w:left="6190" w:hanging="180"/>
      </w:pPr>
      <w:rPr>
        <w:rFonts w:cs="Times New Roman"/>
      </w:rPr>
    </w:lvl>
  </w:abstractNum>
  <w:abstractNum w:abstractNumId="40" w15:restartNumberingAfterBreak="0">
    <w:nsid w:val="3F777EFF"/>
    <w:multiLevelType w:val="hybridMultilevel"/>
    <w:tmpl w:val="BA32C30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1" w15:restartNumberingAfterBreak="0">
    <w:nsid w:val="41E36E40"/>
    <w:multiLevelType w:val="hybridMultilevel"/>
    <w:tmpl w:val="AC7CBDF0"/>
    <w:lvl w:ilvl="0" w:tplc="0402000B">
      <w:start w:val="1"/>
      <w:numFmt w:val="bullet"/>
      <w:lvlText w:val=""/>
      <w:lvlJc w:val="left"/>
      <w:pPr>
        <w:ind w:left="1429" w:hanging="360"/>
      </w:pPr>
      <w:rPr>
        <w:rFonts w:ascii="Wingdings" w:hAnsi="Wingdings"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2" w15:restartNumberingAfterBreak="0">
    <w:nsid w:val="4416401D"/>
    <w:multiLevelType w:val="hybridMultilevel"/>
    <w:tmpl w:val="9DB250B4"/>
    <w:lvl w:ilvl="0" w:tplc="C6F2B98C">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3" w15:restartNumberingAfterBreak="0">
    <w:nsid w:val="46AB40F6"/>
    <w:multiLevelType w:val="hybridMultilevel"/>
    <w:tmpl w:val="8F56685A"/>
    <w:lvl w:ilvl="0" w:tplc="3B28C328">
      <w:start w:val="1"/>
      <w:numFmt w:val="bullet"/>
      <w:lvlText w:val=""/>
      <w:lvlJc w:val="left"/>
      <w:pPr>
        <w:tabs>
          <w:tab w:val="num" w:pos="1635"/>
        </w:tabs>
        <w:ind w:left="1635" w:hanging="360"/>
      </w:pPr>
      <w:rPr>
        <w:rFonts w:ascii="Symbol" w:hAnsi="Symbol" w:hint="default"/>
      </w:rPr>
    </w:lvl>
    <w:lvl w:ilvl="1" w:tplc="04020003">
      <w:start w:val="1"/>
      <w:numFmt w:val="bullet"/>
      <w:lvlText w:val="o"/>
      <w:lvlJc w:val="left"/>
      <w:pPr>
        <w:tabs>
          <w:tab w:val="num" w:pos="2355"/>
        </w:tabs>
        <w:ind w:left="2355" w:hanging="360"/>
      </w:pPr>
      <w:rPr>
        <w:rFonts w:ascii="Courier New" w:hAnsi="Courier New" w:hint="default"/>
      </w:rPr>
    </w:lvl>
    <w:lvl w:ilvl="2" w:tplc="04020005" w:tentative="1">
      <w:start w:val="1"/>
      <w:numFmt w:val="bullet"/>
      <w:lvlText w:val=""/>
      <w:lvlJc w:val="left"/>
      <w:pPr>
        <w:tabs>
          <w:tab w:val="num" w:pos="3075"/>
        </w:tabs>
        <w:ind w:left="3075" w:hanging="360"/>
      </w:pPr>
      <w:rPr>
        <w:rFonts w:ascii="Wingdings" w:hAnsi="Wingdings" w:hint="default"/>
      </w:rPr>
    </w:lvl>
    <w:lvl w:ilvl="3" w:tplc="04020001" w:tentative="1">
      <w:start w:val="1"/>
      <w:numFmt w:val="bullet"/>
      <w:lvlText w:val=""/>
      <w:lvlJc w:val="left"/>
      <w:pPr>
        <w:tabs>
          <w:tab w:val="num" w:pos="3795"/>
        </w:tabs>
        <w:ind w:left="3795" w:hanging="360"/>
      </w:pPr>
      <w:rPr>
        <w:rFonts w:ascii="Symbol" w:hAnsi="Symbol" w:hint="default"/>
      </w:rPr>
    </w:lvl>
    <w:lvl w:ilvl="4" w:tplc="04020003" w:tentative="1">
      <w:start w:val="1"/>
      <w:numFmt w:val="bullet"/>
      <w:lvlText w:val="o"/>
      <w:lvlJc w:val="left"/>
      <w:pPr>
        <w:tabs>
          <w:tab w:val="num" w:pos="4515"/>
        </w:tabs>
        <w:ind w:left="4515" w:hanging="360"/>
      </w:pPr>
      <w:rPr>
        <w:rFonts w:ascii="Courier New" w:hAnsi="Courier New" w:hint="default"/>
      </w:rPr>
    </w:lvl>
    <w:lvl w:ilvl="5" w:tplc="04020005" w:tentative="1">
      <w:start w:val="1"/>
      <w:numFmt w:val="bullet"/>
      <w:lvlText w:val=""/>
      <w:lvlJc w:val="left"/>
      <w:pPr>
        <w:tabs>
          <w:tab w:val="num" w:pos="5235"/>
        </w:tabs>
        <w:ind w:left="5235" w:hanging="360"/>
      </w:pPr>
      <w:rPr>
        <w:rFonts w:ascii="Wingdings" w:hAnsi="Wingdings" w:hint="default"/>
      </w:rPr>
    </w:lvl>
    <w:lvl w:ilvl="6" w:tplc="04020001" w:tentative="1">
      <w:start w:val="1"/>
      <w:numFmt w:val="bullet"/>
      <w:lvlText w:val=""/>
      <w:lvlJc w:val="left"/>
      <w:pPr>
        <w:tabs>
          <w:tab w:val="num" w:pos="5955"/>
        </w:tabs>
        <w:ind w:left="5955" w:hanging="360"/>
      </w:pPr>
      <w:rPr>
        <w:rFonts w:ascii="Symbol" w:hAnsi="Symbol" w:hint="default"/>
      </w:rPr>
    </w:lvl>
    <w:lvl w:ilvl="7" w:tplc="04020003" w:tentative="1">
      <w:start w:val="1"/>
      <w:numFmt w:val="bullet"/>
      <w:lvlText w:val="o"/>
      <w:lvlJc w:val="left"/>
      <w:pPr>
        <w:tabs>
          <w:tab w:val="num" w:pos="6675"/>
        </w:tabs>
        <w:ind w:left="6675" w:hanging="360"/>
      </w:pPr>
      <w:rPr>
        <w:rFonts w:ascii="Courier New" w:hAnsi="Courier New" w:hint="default"/>
      </w:rPr>
    </w:lvl>
    <w:lvl w:ilvl="8" w:tplc="04020005" w:tentative="1">
      <w:start w:val="1"/>
      <w:numFmt w:val="bullet"/>
      <w:lvlText w:val=""/>
      <w:lvlJc w:val="left"/>
      <w:pPr>
        <w:tabs>
          <w:tab w:val="num" w:pos="7395"/>
        </w:tabs>
        <w:ind w:left="7395" w:hanging="360"/>
      </w:pPr>
      <w:rPr>
        <w:rFonts w:ascii="Wingdings" w:hAnsi="Wingdings" w:hint="default"/>
      </w:rPr>
    </w:lvl>
  </w:abstractNum>
  <w:abstractNum w:abstractNumId="44" w15:restartNumberingAfterBreak="0">
    <w:nsid w:val="47507D83"/>
    <w:multiLevelType w:val="hybridMultilevel"/>
    <w:tmpl w:val="D234B868"/>
    <w:lvl w:ilvl="0" w:tplc="F3D82AEC">
      <w:numFmt w:val="bullet"/>
      <w:lvlText w:val="-"/>
      <w:lvlJc w:val="left"/>
      <w:pPr>
        <w:ind w:left="1429" w:hanging="360"/>
      </w:pPr>
      <w:rPr>
        <w:rFonts w:ascii="Calibri" w:eastAsia="Calibri" w:hAnsi="Calibri" w:cs="Times New Roman"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5" w15:restartNumberingAfterBreak="0">
    <w:nsid w:val="48367A3E"/>
    <w:multiLevelType w:val="hybridMultilevel"/>
    <w:tmpl w:val="E662F6EA"/>
    <w:lvl w:ilvl="0" w:tplc="0402000B">
      <w:start w:val="1"/>
      <w:numFmt w:val="bullet"/>
      <w:lvlText w:val=""/>
      <w:lvlJc w:val="left"/>
      <w:pPr>
        <w:ind w:left="360" w:hanging="360"/>
      </w:pPr>
      <w:rPr>
        <w:rFonts w:ascii="Wingdings" w:hAnsi="Wingdings"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46" w15:restartNumberingAfterBreak="0">
    <w:nsid w:val="488B2EBC"/>
    <w:multiLevelType w:val="hybridMultilevel"/>
    <w:tmpl w:val="4766AA5C"/>
    <w:lvl w:ilvl="0" w:tplc="963E3A96">
      <w:start w:val="1"/>
      <w:numFmt w:val="bullet"/>
      <w:lvlText w:val=""/>
      <w:lvlJc w:val="left"/>
      <w:pPr>
        <w:ind w:left="1854" w:hanging="360"/>
      </w:pPr>
      <w:rPr>
        <w:rFonts w:ascii="Wingdings" w:hAnsi="Wingdings" w:hint="default"/>
        <w:color w:val="000000"/>
      </w:rPr>
    </w:lvl>
    <w:lvl w:ilvl="1" w:tplc="04020003">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47" w15:restartNumberingAfterBreak="0">
    <w:nsid w:val="489254F4"/>
    <w:multiLevelType w:val="hybridMultilevel"/>
    <w:tmpl w:val="A78E9870"/>
    <w:lvl w:ilvl="0" w:tplc="0409000B">
      <w:start w:val="1"/>
      <w:numFmt w:val="bullet"/>
      <w:lvlText w:val=""/>
      <w:lvlJc w:val="left"/>
      <w:pPr>
        <w:tabs>
          <w:tab w:val="num" w:pos="360"/>
        </w:tabs>
        <w:ind w:left="360" w:hanging="360"/>
      </w:pPr>
      <w:rPr>
        <w:rFonts w:ascii="Wingdings" w:hAnsi="Wingdings" w:hint="default"/>
      </w:rPr>
    </w:lvl>
    <w:lvl w:ilvl="1" w:tplc="8DDE1D3E">
      <w:start w:val="1"/>
      <w:numFmt w:val="bullet"/>
      <w:lvlText w:val=""/>
      <w:lvlJc w:val="left"/>
      <w:pPr>
        <w:tabs>
          <w:tab w:val="num" w:pos="1383"/>
        </w:tabs>
        <w:ind w:left="683" w:firstLine="340"/>
      </w:pPr>
      <w:rPr>
        <w:rFonts w:ascii="Wingdings" w:hAnsi="Wingdings" w:hint="default"/>
      </w:rPr>
    </w:lvl>
    <w:lvl w:ilvl="2" w:tplc="04090005" w:tentative="1">
      <w:start w:val="1"/>
      <w:numFmt w:val="bullet"/>
      <w:lvlText w:val=""/>
      <w:lvlJc w:val="left"/>
      <w:pPr>
        <w:tabs>
          <w:tab w:val="num" w:pos="2103"/>
        </w:tabs>
        <w:ind w:left="2103" w:hanging="360"/>
      </w:pPr>
      <w:rPr>
        <w:rFonts w:ascii="Wingdings" w:hAnsi="Wingdings" w:hint="default"/>
      </w:rPr>
    </w:lvl>
    <w:lvl w:ilvl="3" w:tplc="04090001" w:tentative="1">
      <w:start w:val="1"/>
      <w:numFmt w:val="bullet"/>
      <w:lvlText w:val=""/>
      <w:lvlJc w:val="left"/>
      <w:pPr>
        <w:tabs>
          <w:tab w:val="num" w:pos="2823"/>
        </w:tabs>
        <w:ind w:left="2823" w:hanging="360"/>
      </w:pPr>
      <w:rPr>
        <w:rFonts w:ascii="Symbol" w:hAnsi="Symbol" w:hint="default"/>
      </w:rPr>
    </w:lvl>
    <w:lvl w:ilvl="4" w:tplc="04090003" w:tentative="1">
      <w:start w:val="1"/>
      <w:numFmt w:val="bullet"/>
      <w:lvlText w:val="o"/>
      <w:lvlJc w:val="left"/>
      <w:pPr>
        <w:tabs>
          <w:tab w:val="num" w:pos="3543"/>
        </w:tabs>
        <w:ind w:left="3543" w:hanging="360"/>
      </w:pPr>
      <w:rPr>
        <w:rFonts w:ascii="Courier New" w:hAnsi="Courier New" w:hint="default"/>
      </w:rPr>
    </w:lvl>
    <w:lvl w:ilvl="5" w:tplc="04090005" w:tentative="1">
      <w:start w:val="1"/>
      <w:numFmt w:val="bullet"/>
      <w:lvlText w:val=""/>
      <w:lvlJc w:val="left"/>
      <w:pPr>
        <w:tabs>
          <w:tab w:val="num" w:pos="4263"/>
        </w:tabs>
        <w:ind w:left="4263" w:hanging="360"/>
      </w:pPr>
      <w:rPr>
        <w:rFonts w:ascii="Wingdings" w:hAnsi="Wingdings" w:hint="default"/>
      </w:rPr>
    </w:lvl>
    <w:lvl w:ilvl="6" w:tplc="04090001" w:tentative="1">
      <w:start w:val="1"/>
      <w:numFmt w:val="bullet"/>
      <w:lvlText w:val=""/>
      <w:lvlJc w:val="left"/>
      <w:pPr>
        <w:tabs>
          <w:tab w:val="num" w:pos="4983"/>
        </w:tabs>
        <w:ind w:left="4983" w:hanging="360"/>
      </w:pPr>
      <w:rPr>
        <w:rFonts w:ascii="Symbol" w:hAnsi="Symbol" w:hint="default"/>
      </w:rPr>
    </w:lvl>
    <w:lvl w:ilvl="7" w:tplc="04090003" w:tentative="1">
      <w:start w:val="1"/>
      <w:numFmt w:val="bullet"/>
      <w:lvlText w:val="o"/>
      <w:lvlJc w:val="left"/>
      <w:pPr>
        <w:tabs>
          <w:tab w:val="num" w:pos="5703"/>
        </w:tabs>
        <w:ind w:left="5703" w:hanging="360"/>
      </w:pPr>
      <w:rPr>
        <w:rFonts w:ascii="Courier New" w:hAnsi="Courier New" w:hint="default"/>
      </w:rPr>
    </w:lvl>
    <w:lvl w:ilvl="8" w:tplc="04090005" w:tentative="1">
      <w:start w:val="1"/>
      <w:numFmt w:val="bullet"/>
      <w:lvlText w:val=""/>
      <w:lvlJc w:val="left"/>
      <w:pPr>
        <w:tabs>
          <w:tab w:val="num" w:pos="6423"/>
        </w:tabs>
        <w:ind w:left="6423" w:hanging="360"/>
      </w:pPr>
      <w:rPr>
        <w:rFonts w:ascii="Wingdings" w:hAnsi="Wingdings" w:hint="default"/>
      </w:rPr>
    </w:lvl>
  </w:abstractNum>
  <w:abstractNum w:abstractNumId="48" w15:restartNumberingAfterBreak="0">
    <w:nsid w:val="490501F8"/>
    <w:multiLevelType w:val="hybridMultilevel"/>
    <w:tmpl w:val="640203B8"/>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49" w15:restartNumberingAfterBreak="0">
    <w:nsid w:val="491C773E"/>
    <w:multiLevelType w:val="hybridMultilevel"/>
    <w:tmpl w:val="95184B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15:restartNumberingAfterBreak="0">
    <w:nsid w:val="497D03F1"/>
    <w:multiLevelType w:val="hybridMultilevel"/>
    <w:tmpl w:val="4866F9F2"/>
    <w:lvl w:ilvl="0" w:tplc="438E1508">
      <w:start w:val="1"/>
      <w:numFmt w:val="bullet"/>
      <w:lvlText w:val=""/>
      <w:lvlJc w:val="left"/>
      <w:pPr>
        <w:ind w:left="720" w:hanging="360"/>
      </w:pPr>
      <w:rPr>
        <w:rFonts w:ascii="Wingdings" w:hAnsi="Wingdings" w:hint="default"/>
        <w:color w:val="auto"/>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49806F06"/>
    <w:multiLevelType w:val="hybridMultilevel"/>
    <w:tmpl w:val="1E7E11B6"/>
    <w:lvl w:ilvl="0" w:tplc="FFFFFFFF">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15:restartNumberingAfterBreak="0">
    <w:nsid w:val="4A5F564A"/>
    <w:multiLevelType w:val="hybridMultilevel"/>
    <w:tmpl w:val="19C03E34"/>
    <w:lvl w:ilvl="0" w:tplc="B8089F6A">
      <w:start w:val="1"/>
      <w:numFmt w:val="bullet"/>
      <w:lvlText w:val=""/>
      <w:lvlJc w:val="left"/>
      <w:pPr>
        <w:tabs>
          <w:tab w:val="num" w:pos="357"/>
        </w:tabs>
        <w:ind w:left="357" w:hanging="357"/>
      </w:pPr>
      <w:rPr>
        <w:rFonts w:ascii="Wingdings" w:hAnsi="Wingdings" w:hint="default"/>
        <w:color w:val="auto"/>
        <w:sz w:val="28"/>
        <w:u w:color="FFFFFF"/>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15:restartNumberingAfterBreak="0">
    <w:nsid w:val="4B1C3D5E"/>
    <w:multiLevelType w:val="hybridMultilevel"/>
    <w:tmpl w:val="05085AC2"/>
    <w:lvl w:ilvl="0" w:tplc="EDA44120">
      <w:start w:val="1"/>
      <w:numFmt w:val="bullet"/>
      <w:lvlText w:val="-"/>
      <w:lvlJc w:val="left"/>
      <w:pPr>
        <w:tabs>
          <w:tab w:val="num" w:pos="700"/>
        </w:tabs>
        <w:ind w:left="700" w:hanging="360"/>
      </w:pPr>
      <w:rPr>
        <w:rFonts w:ascii="Mangal" w:hAnsi="Mangal" w:hint="default"/>
      </w:rPr>
    </w:lvl>
    <w:lvl w:ilvl="1" w:tplc="C7466056">
      <w:start w:val="1"/>
      <w:numFmt w:val="bullet"/>
      <w:lvlText w:val=""/>
      <w:lvlJc w:val="left"/>
      <w:pPr>
        <w:tabs>
          <w:tab w:val="num" w:pos="1440"/>
        </w:tabs>
        <w:ind w:left="740" w:firstLine="34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B89024B"/>
    <w:multiLevelType w:val="multilevel"/>
    <w:tmpl w:val="1E94583E"/>
    <w:lvl w:ilvl="0">
      <w:start w:val="43"/>
      <w:numFmt w:val="bullet"/>
      <w:suff w:val="space"/>
      <w:lvlText w:val="-"/>
      <w:lvlJc w:val="left"/>
      <w:pPr>
        <w:ind w:left="0" w:firstLine="397"/>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CBE5950"/>
    <w:multiLevelType w:val="multilevel"/>
    <w:tmpl w:val="565C6C8A"/>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6" w15:restartNumberingAfterBreak="0">
    <w:nsid w:val="4DF97D0B"/>
    <w:multiLevelType w:val="hybridMultilevel"/>
    <w:tmpl w:val="E480ACA6"/>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7" w15:restartNumberingAfterBreak="0">
    <w:nsid w:val="51DD51F6"/>
    <w:multiLevelType w:val="hybridMultilevel"/>
    <w:tmpl w:val="54BAF8A2"/>
    <w:lvl w:ilvl="0" w:tplc="0402000B">
      <w:start w:val="1"/>
      <w:numFmt w:val="bullet"/>
      <w:lvlText w:val=""/>
      <w:lvlJc w:val="left"/>
      <w:pPr>
        <w:tabs>
          <w:tab w:val="num" w:pos="720"/>
        </w:tabs>
        <w:ind w:left="720" w:hanging="360"/>
      </w:pPr>
      <w:rPr>
        <w:rFonts w:ascii="Wingdings" w:hAnsi="Wingdings" w:hint="default"/>
      </w:rPr>
    </w:lvl>
    <w:lvl w:ilvl="1" w:tplc="0402000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26F222C"/>
    <w:multiLevelType w:val="hybridMultilevel"/>
    <w:tmpl w:val="7ED89598"/>
    <w:lvl w:ilvl="0" w:tplc="8B7CBF46">
      <w:start w:val="1"/>
      <w:numFmt w:val="bullet"/>
      <w:lvlText w:val="-"/>
      <w:lvlJc w:val="left"/>
      <w:pPr>
        <w:ind w:left="1069" w:hanging="360"/>
      </w:pPr>
      <w:rPr>
        <w:rFonts w:ascii="Times New Roman" w:eastAsia="MS Minngs" w:hAnsi="Times New Roman" w:cs="Times New Roman" w:hint="default"/>
      </w:rPr>
    </w:lvl>
    <w:lvl w:ilvl="1" w:tplc="04020003">
      <w:start w:val="1"/>
      <w:numFmt w:val="bullet"/>
      <w:lvlText w:val="o"/>
      <w:lvlJc w:val="left"/>
      <w:pPr>
        <w:ind w:left="1789" w:hanging="360"/>
      </w:pPr>
      <w:rPr>
        <w:rFonts w:ascii="Courier New" w:hAnsi="Courier New" w:cs="Courier New" w:hint="default"/>
      </w:rPr>
    </w:lvl>
    <w:lvl w:ilvl="2" w:tplc="04020005">
      <w:start w:val="1"/>
      <w:numFmt w:val="bullet"/>
      <w:lvlText w:val=""/>
      <w:lvlJc w:val="left"/>
      <w:pPr>
        <w:ind w:left="2509" w:hanging="360"/>
      </w:pPr>
      <w:rPr>
        <w:rFonts w:ascii="Wingdings" w:hAnsi="Wingdings" w:hint="default"/>
      </w:rPr>
    </w:lvl>
    <w:lvl w:ilvl="3" w:tplc="04020001">
      <w:start w:val="1"/>
      <w:numFmt w:val="bullet"/>
      <w:lvlText w:val=""/>
      <w:lvlJc w:val="left"/>
      <w:pPr>
        <w:ind w:left="3229" w:hanging="360"/>
      </w:pPr>
      <w:rPr>
        <w:rFonts w:ascii="Symbol" w:hAnsi="Symbol" w:hint="default"/>
      </w:rPr>
    </w:lvl>
    <w:lvl w:ilvl="4" w:tplc="04020003">
      <w:start w:val="1"/>
      <w:numFmt w:val="bullet"/>
      <w:lvlText w:val="o"/>
      <w:lvlJc w:val="left"/>
      <w:pPr>
        <w:ind w:left="3949" w:hanging="360"/>
      </w:pPr>
      <w:rPr>
        <w:rFonts w:ascii="Courier New" w:hAnsi="Courier New" w:cs="Courier New" w:hint="default"/>
      </w:rPr>
    </w:lvl>
    <w:lvl w:ilvl="5" w:tplc="04020005">
      <w:start w:val="1"/>
      <w:numFmt w:val="bullet"/>
      <w:lvlText w:val=""/>
      <w:lvlJc w:val="left"/>
      <w:pPr>
        <w:ind w:left="4669" w:hanging="360"/>
      </w:pPr>
      <w:rPr>
        <w:rFonts w:ascii="Wingdings" w:hAnsi="Wingdings" w:hint="default"/>
      </w:rPr>
    </w:lvl>
    <w:lvl w:ilvl="6" w:tplc="04020001">
      <w:start w:val="1"/>
      <w:numFmt w:val="bullet"/>
      <w:lvlText w:val=""/>
      <w:lvlJc w:val="left"/>
      <w:pPr>
        <w:ind w:left="5389" w:hanging="360"/>
      </w:pPr>
      <w:rPr>
        <w:rFonts w:ascii="Symbol" w:hAnsi="Symbol" w:hint="default"/>
      </w:rPr>
    </w:lvl>
    <w:lvl w:ilvl="7" w:tplc="04020003">
      <w:start w:val="1"/>
      <w:numFmt w:val="bullet"/>
      <w:lvlText w:val="o"/>
      <w:lvlJc w:val="left"/>
      <w:pPr>
        <w:ind w:left="6109" w:hanging="360"/>
      </w:pPr>
      <w:rPr>
        <w:rFonts w:ascii="Courier New" w:hAnsi="Courier New" w:cs="Courier New" w:hint="default"/>
      </w:rPr>
    </w:lvl>
    <w:lvl w:ilvl="8" w:tplc="04020005">
      <w:start w:val="1"/>
      <w:numFmt w:val="bullet"/>
      <w:lvlText w:val=""/>
      <w:lvlJc w:val="left"/>
      <w:pPr>
        <w:ind w:left="6829" w:hanging="360"/>
      </w:pPr>
      <w:rPr>
        <w:rFonts w:ascii="Wingdings" w:hAnsi="Wingdings" w:hint="default"/>
      </w:rPr>
    </w:lvl>
  </w:abstractNum>
  <w:abstractNum w:abstractNumId="59" w15:restartNumberingAfterBreak="0">
    <w:nsid w:val="540217B9"/>
    <w:multiLevelType w:val="hybridMultilevel"/>
    <w:tmpl w:val="A2D68B9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0" w15:restartNumberingAfterBreak="0">
    <w:nsid w:val="55D92F24"/>
    <w:multiLevelType w:val="hybridMultilevel"/>
    <w:tmpl w:val="2F9A8ECE"/>
    <w:lvl w:ilvl="0" w:tplc="54C466F6">
      <w:numFmt w:val="bullet"/>
      <w:lvlText w:val="-"/>
      <w:lvlJc w:val="left"/>
      <w:pPr>
        <w:ind w:left="1320" w:hanging="360"/>
      </w:pPr>
      <w:rPr>
        <w:rFonts w:ascii="Times New Roman" w:eastAsia="Times New Roman" w:hAnsi="Times New Roman" w:hint="default"/>
        <w:color w:val="auto"/>
      </w:rPr>
    </w:lvl>
    <w:lvl w:ilvl="1" w:tplc="04020003">
      <w:start w:val="1"/>
      <w:numFmt w:val="bullet"/>
      <w:lvlText w:val="o"/>
      <w:lvlJc w:val="left"/>
      <w:pPr>
        <w:ind w:left="2040" w:hanging="360"/>
      </w:pPr>
      <w:rPr>
        <w:rFonts w:ascii="Courier New" w:hAnsi="Courier New" w:cs="Courier New" w:hint="default"/>
      </w:rPr>
    </w:lvl>
    <w:lvl w:ilvl="2" w:tplc="04020005">
      <w:start w:val="1"/>
      <w:numFmt w:val="bullet"/>
      <w:lvlText w:val=""/>
      <w:lvlJc w:val="left"/>
      <w:pPr>
        <w:ind w:left="2760" w:hanging="360"/>
      </w:pPr>
      <w:rPr>
        <w:rFonts w:ascii="Wingdings" w:hAnsi="Wingdings" w:hint="default"/>
      </w:rPr>
    </w:lvl>
    <w:lvl w:ilvl="3" w:tplc="04020001">
      <w:start w:val="1"/>
      <w:numFmt w:val="bullet"/>
      <w:lvlText w:val=""/>
      <w:lvlJc w:val="left"/>
      <w:pPr>
        <w:ind w:left="3480" w:hanging="360"/>
      </w:pPr>
      <w:rPr>
        <w:rFonts w:ascii="Symbol" w:hAnsi="Symbol" w:hint="default"/>
      </w:rPr>
    </w:lvl>
    <w:lvl w:ilvl="4" w:tplc="04020003">
      <w:start w:val="1"/>
      <w:numFmt w:val="bullet"/>
      <w:lvlText w:val="o"/>
      <w:lvlJc w:val="left"/>
      <w:pPr>
        <w:ind w:left="4200" w:hanging="360"/>
      </w:pPr>
      <w:rPr>
        <w:rFonts w:ascii="Courier New" w:hAnsi="Courier New" w:cs="Courier New" w:hint="default"/>
      </w:rPr>
    </w:lvl>
    <w:lvl w:ilvl="5" w:tplc="04020005">
      <w:start w:val="1"/>
      <w:numFmt w:val="bullet"/>
      <w:lvlText w:val=""/>
      <w:lvlJc w:val="left"/>
      <w:pPr>
        <w:ind w:left="4920" w:hanging="360"/>
      </w:pPr>
      <w:rPr>
        <w:rFonts w:ascii="Wingdings" w:hAnsi="Wingdings" w:hint="default"/>
      </w:rPr>
    </w:lvl>
    <w:lvl w:ilvl="6" w:tplc="04020001">
      <w:start w:val="1"/>
      <w:numFmt w:val="bullet"/>
      <w:lvlText w:val=""/>
      <w:lvlJc w:val="left"/>
      <w:pPr>
        <w:ind w:left="5640" w:hanging="360"/>
      </w:pPr>
      <w:rPr>
        <w:rFonts w:ascii="Symbol" w:hAnsi="Symbol" w:hint="default"/>
      </w:rPr>
    </w:lvl>
    <w:lvl w:ilvl="7" w:tplc="04020003">
      <w:start w:val="1"/>
      <w:numFmt w:val="bullet"/>
      <w:lvlText w:val="o"/>
      <w:lvlJc w:val="left"/>
      <w:pPr>
        <w:ind w:left="6360" w:hanging="360"/>
      </w:pPr>
      <w:rPr>
        <w:rFonts w:ascii="Courier New" w:hAnsi="Courier New" w:cs="Courier New" w:hint="default"/>
      </w:rPr>
    </w:lvl>
    <w:lvl w:ilvl="8" w:tplc="04020005">
      <w:start w:val="1"/>
      <w:numFmt w:val="bullet"/>
      <w:lvlText w:val=""/>
      <w:lvlJc w:val="left"/>
      <w:pPr>
        <w:ind w:left="7080" w:hanging="360"/>
      </w:pPr>
      <w:rPr>
        <w:rFonts w:ascii="Wingdings" w:hAnsi="Wingdings" w:hint="default"/>
      </w:rPr>
    </w:lvl>
  </w:abstractNum>
  <w:abstractNum w:abstractNumId="61" w15:restartNumberingAfterBreak="0">
    <w:nsid w:val="57D55C6A"/>
    <w:multiLevelType w:val="hybridMultilevel"/>
    <w:tmpl w:val="4E4074F2"/>
    <w:lvl w:ilvl="0" w:tplc="04020001">
      <w:start w:val="1"/>
      <w:numFmt w:val="bullet"/>
      <w:lvlText w:val=""/>
      <w:lvlJc w:val="left"/>
      <w:pPr>
        <w:ind w:left="1463" w:hanging="360"/>
      </w:pPr>
      <w:rPr>
        <w:rFonts w:ascii="Symbol" w:hAnsi="Symbol" w:hint="default"/>
      </w:rPr>
    </w:lvl>
    <w:lvl w:ilvl="1" w:tplc="04020003">
      <w:start w:val="1"/>
      <w:numFmt w:val="bullet"/>
      <w:lvlText w:val="o"/>
      <w:lvlJc w:val="left"/>
      <w:pPr>
        <w:ind w:left="2183" w:hanging="360"/>
      </w:pPr>
      <w:rPr>
        <w:rFonts w:ascii="Courier New" w:hAnsi="Courier New" w:cs="Courier New" w:hint="default"/>
      </w:rPr>
    </w:lvl>
    <w:lvl w:ilvl="2" w:tplc="04020005">
      <w:start w:val="1"/>
      <w:numFmt w:val="bullet"/>
      <w:lvlText w:val=""/>
      <w:lvlJc w:val="left"/>
      <w:pPr>
        <w:ind w:left="2903" w:hanging="360"/>
      </w:pPr>
      <w:rPr>
        <w:rFonts w:ascii="Wingdings" w:hAnsi="Wingdings" w:hint="default"/>
      </w:rPr>
    </w:lvl>
    <w:lvl w:ilvl="3" w:tplc="04020001">
      <w:start w:val="1"/>
      <w:numFmt w:val="bullet"/>
      <w:lvlText w:val=""/>
      <w:lvlJc w:val="left"/>
      <w:pPr>
        <w:ind w:left="3623" w:hanging="360"/>
      </w:pPr>
      <w:rPr>
        <w:rFonts w:ascii="Symbol" w:hAnsi="Symbol" w:hint="default"/>
      </w:rPr>
    </w:lvl>
    <w:lvl w:ilvl="4" w:tplc="04020003">
      <w:start w:val="1"/>
      <w:numFmt w:val="bullet"/>
      <w:lvlText w:val="o"/>
      <w:lvlJc w:val="left"/>
      <w:pPr>
        <w:ind w:left="4343" w:hanging="360"/>
      </w:pPr>
      <w:rPr>
        <w:rFonts w:ascii="Courier New" w:hAnsi="Courier New" w:cs="Courier New" w:hint="default"/>
      </w:rPr>
    </w:lvl>
    <w:lvl w:ilvl="5" w:tplc="04020005">
      <w:start w:val="1"/>
      <w:numFmt w:val="bullet"/>
      <w:lvlText w:val=""/>
      <w:lvlJc w:val="left"/>
      <w:pPr>
        <w:ind w:left="5063" w:hanging="360"/>
      </w:pPr>
      <w:rPr>
        <w:rFonts w:ascii="Wingdings" w:hAnsi="Wingdings" w:hint="default"/>
      </w:rPr>
    </w:lvl>
    <w:lvl w:ilvl="6" w:tplc="04020001">
      <w:start w:val="1"/>
      <w:numFmt w:val="bullet"/>
      <w:lvlText w:val=""/>
      <w:lvlJc w:val="left"/>
      <w:pPr>
        <w:ind w:left="5783" w:hanging="360"/>
      </w:pPr>
      <w:rPr>
        <w:rFonts w:ascii="Symbol" w:hAnsi="Symbol" w:hint="default"/>
      </w:rPr>
    </w:lvl>
    <w:lvl w:ilvl="7" w:tplc="04020003">
      <w:start w:val="1"/>
      <w:numFmt w:val="bullet"/>
      <w:lvlText w:val="o"/>
      <w:lvlJc w:val="left"/>
      <w:pPr>
        <w:ind w:left="6503" w:hanging="360"/>
      </w:pPr>
      <w:rPr>
        <w:rFonts w:ascii="Courier New" w:hAnsi="Courier New" w:cs="Courier New" w:hint="default"/>
      </w:rPr>
    </w:lvl>
    <w:lvl w:ilvl="8" w:tplc="04020005">
      <w:start w:val="1"/>
      <w:numFmt w:val="bullet"/>
      <w:lvlText w:val=""/>
      <w:lvlJc w:val="left"/>
      <w:pPr>
        <w:ind w:left="7223" w:hanging="360"/>
      </w:pPr>
      <w:rPr>
        <w:rFonts w:ascii="Wingdings" w:hAnsi="Wingdings" w:hint="default"/>
      </w:rPr>
    </w:lvl>
  </w:abstractNum>
  <w:abstractNum w:abstractNumId="62" w15:restartNumberingAfterBreak="0">
    <w:nsid w:val="582E15B7"/>
    <w:multiLevelType w:val="hybridMultilevel"/>
    <w:tmpl w:val="B862F89C"/>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63" w15:restartNumberingAfterBreak="0">
    <w:nsid w:val="5AFD6935"/>
    <w:multiLevelType w:val="hybridMultilevel"/>
    <w:tmpl w:val="CE62FBCE"/>
    <w:lvl w:ilvl="0" w:tplc="04266EAE">
      <w:start w:val="1"/>
      <w:numFmt w:val="bullet"/>
      <w:lvlText w:val="♦"/>
      <w:lvlJc w:val="left"/>
      <w:pPr>
        <w:ind w:left="1260" w:hanging="360"/>
      </w:pPr>
      <w:rPr>
        <w:rFonts w:ascii="Courier New" w:hAnsi="Courier New" w:hint="default"/>
        <w:color w:val="000000"/>
        <w:sz w:val="28"/>
      </w:rPr>
    </w:lvl>
    <w:lvl w:ilvl="1" w:tplc="04020003">
      <w:start w:val="1"/>
      <w:numFmt w:val="bullet"/>
      <w:lvlText w:val="o"/>
      <w:lvlJc w:val="left"/>
      <w:pPr>
        <w:ind w:left="1980" w:hanging="360"/>
      </w:pPr>
      <w:rPr>
        <w:rFonts w:ascii="Courier New" w:hAnsi="Courier New" w:cs="Courier New" w:hint="default"/>
      </w:rPr>
    </w:lvl>
    <w:lvl w:ilvl="2" w:tplc="04020005">
      <w:start w:val="1"/>
      <w:numFmt w:val="bullet"/>
      <w:lvlText w:val=""/>
      <w:lvlJc w:val="left"/>
      <w:pPr>
        <w:ind w:left="2700" w:hanging="360"/>
      </w:pPr>
      <w:rPr>
        <w:rFonts w:ascii="Wingdings" w:hAnsi="Wingdings" w:hint="default"/>
      </w:rPr>
    </w:lvl>
    <w:lvl w:ilvl="3" w:tplc="04020001">
      <w:start w:val="1"/>
      <w:numFmt w:val="bullet"/>
      <w:lvlText w:val=""/>
      <w:lvlJc w:val="left"/>
      <w:pPr>
        <w:ind w:left="3420" w:hanging="360"/>
      </w:pPr>
      <w:rPr>
        <w:rFonts w:ascii="Symbol" w:hAnsi="Symbol" w:hint="default"/>
      </w:rPr>
    </w:lvl>
    <w:lvl w:ilvl="4" w:tplc="04020003">
      <w:start w:val="1"/>
      <w:numFmt w:val="bullet"/>
      <w:lvlText w:val="o"/>
      <w:lvlJc w:val="left"/>
      <w:pPr>
        <w:ind w:left="4140" w:hanging="360"/>
      </w:pPr>
      <w:rPr>
        <w:rFonts w:ascii="Courier New" w:hAnsi="Courier New" w:cs="Courier New" w:hint="default"/>
      </w:rPr>
    </w:lvl>
    <w:lvl w:ilvl="5" w:tplc="04020005">
      <w:start w:val="1"/>
      <w:numFmt w:val="bullet"/>
      <w:lvlText w:val=""/>
      <w:lvlJc w:val="left"/>
      <w:pPr>
        <w:ind w:left="4860" w:hanging="360"/>
      </w:pPr>
      <w:rPr>
        <w:rFonts w:ascii="Wingdings" w:hAnsi="Wingdings" w:hint="default"/>
      </w:rPr>
    </w:lvl>
    <w:lvl w:ilvl="6" w:tplc="04020001">
      <w:start w:val="1"/>
      <w:numFmt w:val="bullet"/>
      <w:lvlText w:val=""/>
      <w:lvlJc w:val="left"/>
      <w:pPr>
        <w:ind w:left="5580" w:hanging="360"/>
      </w:pPr>
      <w:rPr>
        <w:rFonts w:ascii="Symbol" w:hAnsi="Symbol" w:hint="default"/>
      </w:rPr>
    </w:lvl>
    <w:lvl w:ilvl="7" w:tplc="04020003">
      <w:start w:val="1"/>
      <w:numFmt w:val="bullet"/>
      <w:lvlText w:val="o"/>
      <w:lvlJc w:val="left"/>
      <w:pPr>
        <w:ind w:left="6300" w:hanging="360"/>
      </w:pPr>
      <w:rPr>
        <w:rFonts w:ascii="Courier New" w:hAnsi="Courier New" w:cs="Courier New" w:hint="default"/>
      </w:rPr>
    </w:lvl>
    <w:lvl w:ilvl="8" w:tplc="04020005">
      <w:start w:val="1"/>
      <w:numFmt w:val="bullet"/>
      <w:lvlText w:val=""/>
      <w:lvlJc w:val="left"/>
      <w:pPr>
        <w:ind w:left="7020" w:hanging="360"/>
      </w:pPr>
      <w:rPr>
        <w:rFonts w:ascii="Wingdings" w:hAnsi="Wingdings" w:hint="default"/>
      </w:rPr>
    </w:lvl>
  </w:abstractNum>
  <w:abstractNum w:abstractNumId="64" w15:restartNumberingAfterBreak="0">
    <w:nsid w:val="5CDC2F63"/>
    <w:multiLevelType w:val="multilevel"/>
    <w:tmpl w:val="536A6A44"/>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5" w15:restartNumberingAfterBreak="0">
    <w:nsid w:val="60BE278E"/>
    <w:multiLevelType w:val="hybridMultilevel"/>
    <w:tmpl w:val="8392009C"/>
    <w:lvl w:ilvl="0" w:tplc="0F7C68D6">
      <w:start w:val="1"/>
      <w:numFmt w:val="bullet"/>
      <w:lvlText w:val=""/>
      <w:lvlJc w:val="left"/>
      <w:pPr>
        <w:tabs>
          <w:tab w:val="num" w:pos="1080"/>
        </w:tabs>
        <w:ind w:left="1080" w:hanging="360"/>
      </w:pPr>
      <w:rPr>
        <w:rFonts w:ascii="Symbol" w:hAnsi="Symbol" w:hint="default"/>
        <w:color w:val="auto"/>
      </w:rPr>
    </w:lvl>
    <w:lvl w:ilvl="1" w:tplc="04020003" w:tentative="1">
      <w:start w:val="1"/>
      <w:numFmt w:val="bullet"/>
      <w:lvlText w:val="o"/>
      <w:lvlJc w:val="left"/>
      <w:pPr>
        <w:tabs>
          <w:tab w:val="num" w:pos="1620"/>
        </w:tabs>
        <w:ind w:left="1620" w:hanging="360"/>
      </w:pPr>
      <w:rPr>
        <w:rFonts w:ascii="Courier New" w:hAnsi="Courier New" w:hint="default"/>
      </w:rPr>
    </w:lvl>
    <w:lvl w:ilvl="2" w:tplc="04020005" w:tentative="1">
      <w:start w:val="1"/>
      <w:numFmt w:val="bullet"/>
      <w:lvlText w:val=""/>
      <w:lvlJc w:val="left"/>
      <w:pPr>
        <w:tabs>
          <w:tab w:val="num" w:pos="2340"/>
        </w:tabs>
        <w:ind w:left="2340" w:hanging="360"/>
      </w:pPr>
      <w:rPr>
        <w:rFonts w:ascii="Wingdings" w:hAnsi="Wingdings" w:hint="default"/>
      </w:rPr>
    </w:lvl>
    <w:lvl w:ilvl="3" w:tplc="04020001" w:tentative="1">
      <w:start w:val="1"/>
      <w:numFmt w:val="bullet"/>
      <w:lvlText w:val=""/>
      <w:lvlJc w:val="left"/>
      <w:pPr>
        <w:tabs>
          <w:tab w:val="num" w:pos="3060"/>
        </w:tabs>
        <w:ind w:left="3060" w:hanging="360"/>
      </w:pPr>
      <w:rPr>
        <w:rFonts w:ascii="Symbol" w:hAnsi="Symbol" w:hint="default"/>
      </w:rPr>
    </w:lvl>
    <w:lvl w:ilvl="4" w:tplc="04020003" w:tentative="1">
      <w:start w:val="1"/>
      <w:numFmt w:val="bullet"/>
      <w:lvlText w:val="o"/>
      <w:lvlJc w:val="left"/>
      <w:pPr>
        <w:tabs>
          <w:tab w:val="num" w:pos="3780"/>
        </w:tabs>
        <w:ind w:left="3780" w:hanging="360"/>
      </w:pPr>
      <w:rPr>
        <w:rFonts w:ascii="Courier New" w:hAnsi="Courier New" w:hint="default"/>
      </w:rPr>
    </w:lvl>
    <w:lvl w:ilvl="5" w:tplc="04020005" w:tentative="1">
      <w:start w:val="1"/>
      <w:numFmt w:val="bullet"/>
      <w:lvlText w:val=""/>
      <w:lvlJc w:val="left"/>
      <w:pPr>
        <w:tabs>
          <w:tab w:val="num" w:pos="4500"/>
        </w:tabs>
        <w:ind w:left="4500" w:hanging="360"/>
      </w:pPr>
      <w:rPr>
        <w:rFonts w:ascii="Wingdings" w:hAnsi="Wingdings" w:hint="default"/>
      </w:rPr>
    </w:lvl>
    <w:lvl w:ilvl="6" w:tplc="04020001" w:tentative="1">
      <w:start w:val="1"/>
      <w:numFmt w:val="bullet"/>
      <w:lvlText w:val=""/>
      <w:lvlJc w:val="left"/>
      <w:pPr>
        <w:tabs>
          <w:tab w:val="num" w:pos="5220"/>
        </w:tabs>
        <w:ind w:left="5220" w:hanging="360"/>
      </w:pPr>
      <w:rPr>
        <w:rFonts w:ascii="Symbol" w:hAnsi="Symbol" w:hint="default"/>
      </w:rPr>
    </w:lvl>
    <w:lvl w:ilvl="7" w:tplc="04020003" w:tentative="1">
      <w:start w:val="1"/>
      <w:numFmt w:val="bullet"/>
      <w:lvlText w:val="o"/>
      <w:lvlJc w:val="left"/>
      <w:pPr>
        <w:tabs>
          <w:tab w:val="num" w:pos="5940"/>
        </w:tabs>
        <w:ind w:left="5940" w:hanging="360"/>
      </w:pPr>
      <w:rPr>
        <w:rFonts w:ascii="Courier New" w:hAnsi="Courier New" w:hint="default"/>
      </w:rPr>
    </w:lvl>
    <w:lvl w:ilvl="8" w:tplc="04020005" w:tentative="1">
      <w:start w:val="1"/>
      <w:numFmt w:val="bullet"/>
      <w:lvlText w:val=""/>
      <w:lvlJc w:val="left"/>
      <w:pPr>
        <w:tabs>
          <w:tab w:val="num" w:pos="6660"/>
        </w:tabs>
        <w:ind w:left="6660" w:hanging="360"/>
      </w:pPr>
      <w:rPr>
        <w:rFonts w:ascii="Wingdings" w:hAnsi="Wingdings" w:hint="default"/>
      </w:rPr>
    </w:lvl>
  </w:abstractNum>
  <w:abstractNum w:abstractNumId="66" w15:restartNumberingAfterBreak="0">
    <w:nsid w:val="61FE2774"/>
    <w:multiLevelType w:val="hybridMultilevel"/>
    <w:tmpl w:val="A1468F1A"/>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67" w15:restartNumberingAfterBreak="0">
    <w:nsid w:val="643A5E75"/>
    <w:multiLevelType w:val="hybridMultilevel"/>
    <w:tmpl w:val="0680C134"/>
    <w:lvl w:ilvl="0" w:tplc="6DE0C0A8">
      <w:start w:val="1"/>
      <w:numFmt w:val="bullet"/>
      <w:lvlText w:val=""/>
      <w:lvlJc w:val="left"/>
      <w:pPr>
        <w:tabs>
          <w:tab w:val="num" w:pos="702"/>
        </w:tabs>
        <w:ind w:left="702" w:hanging="360"/>
      </w:pPr>
      <w:rPr>
        <w:rFonts w:ascii="Symbol" w:hAnsi="Symbol" w:hint="default"/>
        <w:color w:val="auto"/>
      </w:rPr>
    </w:lvl>
    <w:lvl w:ilvl="1" w:tplc="04020003" w:tentative="1">
      <w:start w:val="1"/>
      <w:numFmt w:val="bullet"/>
      <w:lvlText w:val="o"/>
      <w:lvlJc w:val="left"/>
      <w:pPr>
        <w:tabs>
          <w:tab w:val="num" w:pos="1422"/>
        </w:tabs>
        <w:ind w:left="1422" w:hanging="360"/>
      </w:pPr>
      <w:rPr>
        <w:rFonts w:ascii="Courier New" w:hAnsi="Courier New" w:cs="Courier New" w:hint="default"/>
      </w:rPr>
    </w:lvl>
    <w:lvl w:ilvl="2" w:tplc="04020005" w:tentative="1">
      <w:start w:val="1"/>
      <w:numFmt w:val="bullet"/>
      <w:lvlText w:val=""/>
      <w:lvlJc w:val="left"/>
      <w:pPr>
        <w:tabs>
          <w:tab w:val="num" w:pos="2142"/>
        </w:tabs>
        <w:ind w:left="2142" w:hanging="360"/>
      </w:pPr>
      <w:rPr>
        <w:rFonts w:ascii="Wingdings" w:hAnsi="Wingdings" w:hint="default"/>
      </w:rPr>
    </w:lvl>
    <w:lvl w:ilvl="3" w:tplc="04020001" w:tentative="1">
      <w:start w:val="1"/>
      <w:numFmt w:val="bullet"/>
      <w:lvlText w:val=""/>
      <w:lvlJc w:val="left"/>
      <w:pPr>
        <w:tabs>
          <w:tab w:val="num" w:pos="2862"/>
        </w:tabs>
        <w:ind w:left="2862" w:hanging="360"/>
      </w:pPr>
      <w:rPr>
        <w:rFonts w:ascii="Symbol" w:hAnsi="Symbol" w:hint="default"/>
      </w:rPr>
    </w:lvl>
    <w:lvl w:ilvl="4" w:tplc="04020003" w:tentative="1">
      <w:start w:val="1"/>
      <w:numFmt w:val="bullet"/>
      <w:lvlText w:val="o"/>
      <w:lvlJc w:val="left"/>
      <w:pPr>
        <w:tabs>
          <w:tab w:val="num" w:pos="3582"/>
        </w:tabs>
        <w:ind w:left="3582" w:hanging="360"/>
      </w:pPr>
      <w:rPr>
        <w:rFonts w:ascii="Courier New" w:hAnsi="Courier New" w:cs="Courier New" w:hint="default"/>
      </w:rPr>
    </w:lvl>
    <w:lvl w:ilvl="5" w:tplc="04020005" w:tentative="1">
      <w:start w:val="1"/>
      <w:numFmt w:val="bullet"/>
      <w:lvlText w:val=""/>
      <w:lvlJc w:val="left"/>
      <w:pPr>
        <w:tabs>
          <w:tab w:val="num" w:pos="4302"/>
        </w:tabs>
        <w:ind w:left="4302" w:hanging="360"/>
      </w:pPr>
      <w:rPr>
        <w:rFonts w:ascii="Wingdings" w:hAnsi="Wingdings" w:hint="default"/>
      </w:rPr>
    </w:lvl>
    <w:lvl w:ilvl="6" w:tplc="04020001" w:tentative="1">
      <w:start w:val="1"/>
      <w:numFmt w:val="bullet"/>
      <w:lvlText w:val=""/>
      <w:lvlJc w:val="left"/>
      <w:pPr>
        <w:tabs>
          <w:tab w:val="num" w:pos="5022"/>
        </w:tabs>
        <w:ind w:left="5022" w:hanging="360"/>
      </w:pPr>
      <w:rPr>
        <w:rFonts w:ascii="Symbol" w:hAnsi="Symbol" w:hint="default"/>
      </w:rPr>
    </w:lvl>
    <w:lvl w:ilvl="7" w:tplc="04020003" w:tentative="1">
      <w:start w:val="1"/>
      <w:numFmt w:val="bullet"/>
      <w:lvlText w:val="o"/>
      <w:lvlJc w:val="left"/>
      <w:pPr>
        <w:tabs>
          <w:tab w:val="num" w:pos="5742"/>
        </w:tabs>
        <w:ind w:left="5742" w:hanging="360"/>
      </w:pPr>
      <w:rPr>
        <w:rFonts w:ascii="Courier New" w:hAnsi="Courier New" w:cs="Courier New" w:hint="default"/>
      </w:rPr>
    </w:lvl>
    <w:lvl w:ilvl="8" w:tplc="04020005" w:tentative="1">
      <w:start w:val="1"/>
      <w:numFmt w:val="bullet"/>
      <w:lvlText w:val=""/>
      <w:lvlJc w:val="left"/>
      <w:pPr>
        <w:tabs>
          <w:tab w:val="num" w:pos="6462"/>
        </w:tabs>
        <w:ind w:left="6462" w:hanging="360"/>
      </w:pPr>
      <w:rPr>
        <w:rFonts w:ascii="Wingdings" w:hAnsi="Wingdings" w:hint="default"/>
      </w:rPr>
    </w:lvl>
  </w:abstractNum>
  <w:abstractNum w:abstractNumId="68" w15:restartNumberingAfterBreak="0">
    <w:nsid w:val="643D36D1"/>
    <w:multiLevelType w:val="hybridMultilevel"/>
    <w:tmpl w:val="6BA8678A"/>
    <w:lvl w:ilvl="0" w:tplc="FFFFFFFF">
      <w:start w:val="1"/>
      <w:numFmt w:val="bullet"/>
      <w:lvlText w:val=""/>
      <w:lvlJc w:val="left"/>
      <w:pPr>
        <w:ind w:left="927" w:hanging="360"/>
      </w:pPr>
      <w:rPr>
        <w:rFonts w:ascii="Symbol" w:hAnsi="Symbol" w:hint="default"/>
        <w:color w:val="auto"/>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69" w15:restartNumberingAfterBreak="0">
    <w:nsid w:val="64CF1C24"/>
    <w:multiLevelType w:val="hybridMultilevel"/>
    <w:tmpl w:val="17AED728"/>
    <w:lvl w:ilvl="0" w:tplc="04020001">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70" w15:restartNumberingAfterBreak="0">
    <w:nsid w:val="67061AC1"/>
    <w:multiLevelType w:val="hybridMultilevel"/>
    <w:tmpl w:val="270A2972"/>
    <w:lvl w:ilvl="0" w:tplc="0F7C68D6">
      <w:start w:val="1"/>
      <w:numFmt w:val="bullet"/>
      <w:lvlText w:val=""/>
      <w:lvlJc w:val="left"/>
      <w:pPr>
        <w:tabs>
          <w:tab w:val="num" w:pos="1440"/>
        </w:tabs>
        <w:ind w:left="1440" w:hanging="360"/>
      </w:pPr>
      <w:rPr>
        <w:rFonts w:ascii="Wingdings" w:hAnsi="Wingdings" w:hint="default"/>
        <w:b/>
        <w:i w:val="0"/>
        <w:sz w:val="24"/>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AB73775"/>
    <w:multiLevelType w:val="hybridMultilevel"/>
    <w:tmpl w:val="8B26B032"/>
    <w:lvl w:ilvl="0" w:tplc="FFFFFFFF">
      <w:start w:val="1"/>
      <w:numFmt w:val="bullet"/>
      <w:lvlText w:val=""/>
      <w:lvlJc w:val="left"/>
      <w:pPr>
        <w:ind w:left="1260" w:hanging="360"/>
      </w:pPr>
      <w:rPr>
        <w:rFonts w:ascii="Symbol" w:hAnsi="Symbol" w:hint="default"/>
        <w:color w:val="auto"/>
      </w:rPr>
    </w:lvl>
    <w:lvl w:ilvl="1" w:tplc="04020003" w:tentative="1">
      <w:start w:val="1"/>
      <w:numFmt w:val="bullet"/>
      <w:lvlText w:val="o"/>
      <w:lvlJc w:val="left"/>
      <w:pPr>
        <w:ind w:left="1980" w:hanging="360"/>
      </w:pPr>
      <w:rPr>
        <w:rFonts w:ascii="Courier New" w:hAnsi="Courier New" w:cs="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cs="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cs="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72" w15:restartNumberingAfterBreak="0">
    <w:nsid w:val="6B28307C"/>
    <w:multiLevelType w:val="hybridMultilevel"/>
    <w:tmpl w:val="2A72BA08"/>
    <w:lvl w:ilvl="0" w:tplc="0402000B">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3" w15:restartNumberingAfterBreak="0">
    <w:nsid w:val="6B6F5C38"/>
    <w:multiLevelType w:val="hybridMultilevel"/>
    <w:tmpl w:val="C1F2F8EE"/>
    <w:lvl w:ilvl="0" w:tplc="C58CFDF8">
      <w:numFmt w:val="bullet"/>
      <w:lvlText w:val="-"/>
      <w:lvlJc w:val="left"/>
      <w:pPr>
        <w:ind w:left="1069" w:hanging="360"/>
      </w:pPr>
      <w:rPr>
        <w:rFonts w:ascii="Times New Roman" w:eastAsia="Times New Roman" w:hAnsi="Times New Roman" w:cs="Times New Roman"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74" w15:restartNumberingAfterBreak="0">
    <w:nsid w:val="6E544B1C"/>
    <w:multiLevelType w:val="hybridMultilevel"/>
    <w:tmpl w:val="F19A58DE"/>
    <w:lvl w:ilvl="0" w:tplc="0402000B">
      <w:start w:val="1"/>
      <w:numFmt w:val="bullet"/>
      <w:lvlText w:val=""/>
      <w:lvlJc w:val="left"/>
      <w:pPr>
        <w:ind w:left="928" w:hanging="360"/>
      </w:pPr>
      <w:rPr>
        <w:rFonts w:ascii="Wingdings" w:hAnsi="Wingdings" w:hint="default"/>
      </w:rPr>
    </w:lvl>
    <w:lvl w:ilvl="1" w:tplc="04020003" w:tentative="1">
      <w:start w:val="1"/>
      <w:numFmt w:val="bullet"/>
      <w:lvlText w:val="o"/>
      <w:lvlJc w:val="left"/>
      <w:pPr>
        <w:ind w:left="1500" w:hanging="360"/>
      </w:pPr>
      <w:rPr>
        <w:rFonts w:ascii="Courier New" w:hAnsi="Courier New" w:cs="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cs="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cs="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75" w15:restartNumberingAfterBreak="0">
    <w:nsid w:val="6E6E4F1D"/>
    <w:multiLevelType w:val="hybridMultilevel"/>
    <w:tmpl w:val="BA003AFC"/>
    <w:lvl w:ilvl="0" w:tplc="04266EAE">
      <w:start w:val="1"/>
      <w:numFmt w:val="bullet"/>
      <w:lvlText w:val="♦"/>
      <w:lvlJc w:val="left"/>
      <w:pPr>
        <w:ind w:left="1429" w:hanging="360"/>
      </w:pPr>
      <w:rPr>
        <w:rFonts w:ascii="Courier New" w:hAnsi="Courier New" w:hint="default"/>
        <w:color w:val="000000"/>
        <w:sz w:val="28"/>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76" w15:restartNumberingAfterBreak="0">
    <w:nsid w:val="6F78209C"/>
    <w:multiLevelType w:val="hybridMultilevel"/>
    <w:tmpl w:val="5624217C"/>
    <w:lvl w:ilvl="0" w:tplc="CA968970">
      <w:start w:val="43"/>
      <w:numFmt w:val="bullet"/>
      <w:lvlText w:val="-"/>
      <w:lvlJc w:val="left"/>
      <w:pPr>
        <w:ind w:left="1636" w:hanging="360"/>
      </w:pPr>
      <w:rPr>
        <w:rFonts w:ascii="Times New Roman" w:eastAsia="Times New Roman" w:hAnsi="Times New Roman" w:cs="Times New Roman"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77" w15:restartNumberingAfterBreak="0">
    <w:nsid w:val="709C61E7"/>
    <w:multiLevelType w:val="multilevel"/>
    <w:tmpl w:val="40464C9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8" w15:restartNumberingAfterBreak="0">
    <w:nsid w:val="70E2532C"/>
    <w:multiLevelType w:val="hybridMultilevel"/>
    <w:tmpl w:val="F9C817D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9" w15:restartNumberingAfterBreak="0">
    <w:nsid w:val="75B43BAA"/>
    <w:multiLevelType w:val="hybridMultilevel"/>
    <w:tmpl w:val="F7F06DEA"/>
    <w:lvl w:ilvl="0" w:tplc="0F7C68D6">
      <w:start w:val="1"/>
      <w:numFmt w:val="bullet"/>
      <w:lvlText w:val=""/>
      <w:lvlJc w:val="left"/>
      <w:pPr>
        <w:tabs>
          <w:tab w:val="num" w:pos="1068"/>
        </w:tabs>
        <w:ind w:left="1068" w:hanging="360"/>
      </w:pPr>
      <w:rPr>
        <w:rFonts w:ascii="Wingdings" w:hAnsi="Wingdings" w:hint="default"/>
        <w:color w:val="000000"/>
      </w:rPr>
    </w:lvl>
    <w:lvl w:ilvl="1" w:tplc="04020003">
      <w:start w:val="1"/>
      <w:numFmt w:val="bullet"/>
      <w:lvlText w:val=""/>
      <w:lvlJc w:val="left"/>
      <w:pPr>
        <w:tabs>
          <w:tab w:val="num" w:pos="1788"/>
        </w:tabs>
        <w:ind w:left="1788" w:hanging="360"/>
      </w:pPr>
      <w:rPr>
        <w:rFonts w:ascii="Symbol" w:hAnsi="Symbol" w:hint="default"/>
        <w:color w:val="000000"/>
        <w:sz w:val="18"/>
      </w:rPr>
    </w:lvl>
    <w:lvl w:ilvl="2" w:tplc="04020005">
      <w:start w:val="1"/>
      <w:numFmt w:val="bullet"/>
      <w:lvlText w:val=""/>
      <w:lvlJc w:val="left"/>
      <w:pPr>
        <w:tabs>
          <w:tab w:val="num" w:pos="1980"/>
        </w:tabs>
        <w:ind w:left="1980"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80" w15:restartNumberingAfterBreak="0">
    <w:nsid w:val="76271656"/>
    <w:multiLevelType w:val="hybridMultilevel"/>
    <w:tmpl w:val="C2E43530"/>
    <w:lvl w:ilvl="0" w:tplc="F6000CA6">
      <w:start w:val="1"/>
      <w:numFmt w:val="bullet"/>
      <w:lvlText w:val=""/>
      <w:lvlJc w:val="left"/>
      <w:pPr>
        <w:ind w:left="360" w:hanging="360"/>
      </w:pPr>
      <w:rPr>
        <w:rFonts w:ascii="Symbol" w:hAnsi="Symbol" w:hint="default"/>
        <w:color w:val="auto"/>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81" w15:restartNumberingAfterBreak="0">
    <w:nsid w:val="77AF54B2"/>
    <w:multiLevelType w:val="hybridMultilevel"/>
    <w:tmpl w:val="8EF0F54E"/>
    <w:lvl w:ilvl="0" w:tplc="54C466F6">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
      <w:lvlJc w:val="left"/>
      <w:pPr>
        <w:tabs>
          <w:tab w:val="num" w:pos="1440"/>
        </w:tabs>
        <w:ind w:left="740" w:firstLine="340"/>
      </w:pPr>
      <w:rPr>
        <w:rFonts w:ascii="Wingdings" w:hAnsi="Wingdings" w:hint="default"/>
        <w:color w:val="auto"/>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8135627"/>
    <w:multiLevelType w:val="hybridMultilevel"/>
    <w:tmpl w:val="D1DC8A52"/>
    <w:lvl w:ilvl="0" w:tplc="0C46149C">
      <w:start w:val="1"/>
      <w:numFmt w:val="bullet"/>
      <w:lvlText w:val="-"/>
      <w:lvlJc w:val="left"/>
      <w:pPr>
        <w:ind w:left="1429" w:hanging="360"/>
      </w:pPr>
      <w:rPr>
        <w:rFonts w:ascii="Times New Roman" w:eastAsia="Times New Roman" w:hAnsi="Times New Roman" w:cs="Times New Roman" w:hint="default"/>
        <w:color w:val="auto"/>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start w:val="1"/>
      <w:numFmt w:val="bullet"/>
      <w:lvlText w:val=""/>
      <w:lvlJc w:val="left"/>
      <w:pPr>
        <w:ind w:left="3589" w:hanging="360"/>
      </w:pPr>
      <w:rPr>
        <w:rFonts w:ascii="Symbol" w:hAnsi="Symbol" w:hint="default"/>
      </w:rPr>
    </w:lvl>
    <w:lvl w:ilvl="4" w:tplc="04020003">
      <w:start w:val="1"/>
      <w:numFmt w:val="bullet"/>
      <w:lvlText w:val="o"/>
      <w:lvlJc w:val="left"/>
      <w:pPr>
        <w:ind w:left="4309" w:hanging="360"/>
      </w:pPr>
      <w:rPr>
        <w:rFonts w:ascii="Courier New" w:hAnsi="Courier New" w:cs="Courier New" w:hint="default"/>
      </w:rPr>
    </w:lvl>
    <w:lvl w:ilvl="5" w:tplc="04020005">
      <w:start w:val="1"/>
      <w:numFmt w:val="bullet"/>
      <w:lvlText w:val=""/>
      <w:lvlJc w:val="left"/>
      <w:pPr>
        <w:ind w:left="5029" w:hanging="360"/>
      </w:pPr>
      <w:rPr>
        <w:rFonts w:ascii="Wingdings" w:hAnsi="Wingdings" w:hint="default"/>
      </w:rPr>
    </w:lvl>
    <w:lvl w:ilvl="6" w:tplc="04020001">
      <w:start w:val="1"/>
      <w:numFmt w:val="bullet"/>
      <w:lvlText w:val=""/>
      <w:lvlJc w:val="left"/>
      <w:pPr>
        <w:ind w:left="5749" w:hanging="360"/>
      </w:pPr>
      <w:rPr>
        <w:rFonts w:ascii="Symbol" w:hAnsi="Symbol" w:hint="default"/>
      </w:rPr>
    </w:lvl>
    <w:lvl w:ilvl="7" w:tplc="04020003">
      <w:start w:val="1"/>
      <w:numFmt w:val="bullet"/>
      <w:lvlText w:val="o"/>
      <w:lvlJc w:val="left"/>
      <w:pPr>
        <w:ind w:left="6469" w:hanging="360"/>
      </w:pPr>
      <w:rPr>
        <w:rFonts w:ascii="Courier New" w:hAnsi="Courier New" w:cs="Courier New" w:hint="default"/>
      </w:rPr>
    </w:lvl>
    <w:lvl w:ilvl="8" w:tplc="04020005">
      <w:start w:val="1"/>
      <w:numFmt w:val="bullet"/>
      <w:lvlText w:val=""/>
      <w:lvlJc w:val="left"/>
      <w:pPr>
        <w:ind w:left="7189" w:hanging="360"/>
      </w:pPr>
      <w:rPr>
        <w:rFonts w:ascii="Wingdings" w:hAnsi="Wingdings" w:hint="default"/>
      </w:rPr>
    </w:lvl>
  </w:abstractNum>
  <w:abstractNum w:abstractNumId="83" w15:restartNumberingAfterBreak="0">
    <w:nsid w:val="7B7F19DC"/>
    <w:multiLevelType w:val="hybridMultilevel"/>
    <w:tmpl w:val="6F5226EA"/>
    <w:lvl w:ilvl="0" w:tplc="04020001">
      <w:start w:val="1"/>
      <w:numFmt w:val="bullet"/>
      <w:lvlText w:val=""/>
      <w:lvlJc w:val="left"/>
      <w:pPr>
        <w:ind w:left="1800" w:hanging="360"/>
      </w:pPr>
      <w:rPr>
        <w:rFonts w:ascii="Symbol" w:hAnsi="Symbol" w:hint="default"/>
      </w:rPr>
    </w:lvl>
    <w:lvl w:ilvl="1" w:tplc="04020003" w:tentative="1">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84" w15:restartNumberingAfterBreak="0">
    <w:nsid w:val="7C2162A4"/>
    <w:multiLevelType w:val="hybridMultilevel"/>
    <w:tmpl w:val="7F428708"/>
    <w:lvl w:ilvl="0" w:tplc="0402000D">
      <w:start w:val="1"/>
      <w:numFmt w:val="bullet"/>
      <w:lvlText w:val=""/>
      <w:lvlJc w:val="left"/>
      <w:pPr>
        <w:ind w:left="1211" w:hanging="360"/>
      </w:pPr>
      <w:rPr>
        <w:rFonts w:ascii="Wingdings" w:hAnsi="Wingdings"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85" w15:restartNumberingAfterBreak="0">
    <w:nsid w:val="7DAF6F1E"/>
    <w:multiLevelType w:val="hybridMultilevel"/>
    <w:tmpl w:val="25A0CECA"/>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FAE178A"/>
    <w:multiLevelType w:val="hybridMultilevel"/>
    <w:tmpl w:val="9E68A878"/>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7"/>
  </w:num>
  <w:num w:numId="2">
    <w:abstractNumId w:val="70"/>
  </w:num>
  <w:num w:numId="3">
    <w:abstractNumId w:val="43"/>
  </w:num>
  <w:num w:numId="4">
    <w:abstractNumId w:val="39"/>
  </w:num>
  <w:num w:numId="5">
    <w:abstractNumId w:val="19"/>
  </w:num>
  <w:num w:numId="6">
    <w:abstractNumId w:val="5"/>
  </w:num>
  <w:num w:numId="7">
    <w:abstractNumId w:val="17"/>
  </w:num>
  <w:num w:numId="8">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num>
  <w:num w:numId="10">
    <w:abstractNumId w:val="64"/>
  </w:num>
  <w:num w:numId="11">
    <w:abstractNumId w:val="55"/>
  </w:num>
  <w:num w:numId="12">
    <w:abstractNumId w:val="46"/>
  </w:num>
  <w:num w:numId="13">
    <w:abstractNumId w:val="84"/>
  </w:num>
  <w:num w:numId="14">
    <w:abstractNumId w:val="48"/>
  </w:num>
  <w:num w:numId="15">
    <w:abstractNumId w:val="86"/>
  </w:num>
  <w:num w:numId="16">
    <w:abstractNumId w:val="42"/>
  </w:num>
  <w:num w:numId="17">
    <w:abstractNumId w:val="69"/>
  </w:num>
  <w:num w:numId="18">
    <w:abstractNumId w:val="34"/>
  </w:num>
  <w:num w:numId="19">
    <w:abstractNumId w:val="10"/>
  </w:num>
  <w:num w:numId="20">
    <w:abstractNumId w:val="81"/>
  </w:num>
  <w:num w:numId="21">
    <w:abstractNumId w:val="65"/>
  </w:num>
  <w:num w:numId="2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num>
  <w:num w:numId="24">
    <w:abstractNumId w:val="21"/>
  </w:num>
  <w:num w:numId="25">
    <w:abstractNumId w:val="27"/>
  </w:num>
  <w:num w:numId="26">
    <w:abstractNumId w:val="6"/>
  </w:num>
  <w:num w:numId="27">
    <w:abstractNumId w:val="79"/>
  </w:num>
  <w:num w:numId="28">
    <w:abstractNumId w:val="60"/>
  </w:num>
  <w:num w:numId="29">
    <w:abstractNumId w:val="13"/>
  </w:num>
  <w:num w:numId="30">
    <w:abstractNumId w:val="50"/>
  </w:num>
  <w:num w:numId="31">
    <w:abstractNumId w:val="52"/>
  </w:num>
  <w:num w:numId="32">
    <w:abstractNumId w:val="1"/>
  </w:num>
  <w:num w:numId="33">
    <w:abstractNumId w:val="85"/>
  </w:num>
  <w:num w:numId="34">
    <w:abstractNumId w:val="15"/>
  </w:num>
  <w:num w:numId="35">
    <w:abstractNumId w:val="4"/>
  </w:num>
  <w:num w:numId="36">
    <w:abstractNumId w:val="62"/>
  </w:num>
  <w:num w:numId="37">
    <w:abstractNumId w:val="83"/>
  </w:num>
  <w:num w:numId="38">
    <w:abstractNumId w:val="38"/>
  </w:num>
  <w:num w:numId="39">
    <w:abstractNumId w:val="53"/>
  </w:num>
  <w:num w:numId="40">
    <w:abstractNumId w:val="35"/>
  </w:num>
  <w:num w:numId="41">
    <w:abstractNumId w:val="7"/>
  </w:num>
  <w:num w:numId="42">
    <w:abstractNumId w:val="54"/>
  </w:num>
  <w:num w:numId="43">
    <w:abstractNumId w:val="63"/>
  </w:num>
  <w:num w:numId="44">
    <w:abstractNumId w:val="20"/>
  </w:num>
  <w:num w:numId="45">
    <w:abstractNumId w:val="18"/>
  </w:num>
  <w:num w:numId="46">
    <w:abstractNumId w:val="41"/>
  </w:num>
  <w:num w:numId="47">
    <w:abstractNumId w:val="59"/>
  </w:num>
  <w:num w:numId="48">
    <w:abstractNumId w:val="73"/>
  </w:num>
  <w:num w:numId="49">
    <w:abstractNumId w:val="71"/>
  </w:num>
  <w:num w:numId="50">
    <w:abstractNumId w:val="68"/>
  </w:num>
  <w:num w:numId="51">
    <w:abstractNumId w:val="61"/>
  </w:num>
  <w:num w:numId="52">
    <w:abstractNumId w:val="36"/>
  </w:num>
  <w:num w:numId="53">
    <w:abstractNumId w:val="51"/>
  </w:num>
  <w:num w:numId="54">
    <w:abstractNumId w:val="32"/>
  </w:num>
  <w:num w:numId="55">
    <w:abstractNumId w:val="9"/>
  </w:num>
  <w:num w:numId="56">
    <w:abstractNumId w:val="37"/>
  </w:num>
  <w:num w:numId="57">
    <w:abstractNumId w:val="72"/>
  </w:num>
  <w:num w:numId="58">
    <w:abstractNumId w:val="30"/>
  </w:num>
  <w:num w:numId="59">
    <w:abstractNumId w:val="74"/>
  </w:num>
  <w:num w:numId="60">
    <w:abstractNumId w:val="44"/>
  </w:num>
  <w:num w:numId="61">
    <w:abstractNumId w:val="16"/>
  </w:num>
  <w:num w:numId="62">
    <w:abstractNumId w:val="78"/>
  </w:num>
  <w:num w:numId="63">
    <w:abstractNumId w:val="12"/>
  </w:num>
  <w:num w:numId="64">
    <w:abstractNumId w:val="22"/>
  </w:num>
  <w:num w:numId="65">
    <w:abstractNumId w:val="29"/>
  </w:num>
  <w:num w:numId="66">
    <w:abstractNumId w:val="45"/>
  </w:num>
  <w:num w:numId="67">
    <w:abstractNumId w:val="56"/>
  </w:num>
  <w:num w:numId="68">
    <w:abstractNumId w:val="11"/>
  </w:num>
  <w:num w:numId="69">
    <w:abstractNumId w:val="24"/>
  </w:num>
  <w:num w:numId="70">
    <w:abstractNumId w:val="47"/>
  </w:num>
  <w:num w:numId="71">
    <w:abstractNumId w:val="82"/>
  </w:num>
  <w:num w:numId="72">
    <w:abstractNumId w:val="14"/>
  </w:num>
  <w:num w:numId="73">
    <w:abstractNumId w:val="33"/>
  </w:num>
  <w:num w:numId="74">
    <w:abstractNumId w:val="31"/>
  </w:num>
  <w:num w:numId="75">
    <w:abstractNumId w:val="25"/>
  </w:num>
  <w:num w:numId="76">
    <w:abstractNumId w:val="75"/>
  </w:num>
  <w:num w:numId="77">
    <w:abstractNumId w:val="2"/>
  </w:num>
  <w:num w:numId="78">
    <w:abstractNumId w:val="49"/>
  </w:num>
  <w:num w:numId="79">
    <w:abstractNumId w:val="67"/>
  </w:num>
  <w:num w:numId="80">
    <w:abstractNumId w:val="23"/>
  </w:num>
  <w:num w:numId="81">
    <w:abstractNumId w:val="3"/>
  </w:num>
  <w:num w:numId="82">
    <w:abstractNumId w:val="58"/>
  </w:num>
  <w:num w:numId="83">
    <w:abstractNumId w:val="80"/>
  </w:num>
  <w:num w:numId="84">
    <w:abstractNumId w:val="76"/>
  </w:num>
  <w:num w:numId="85">
    <w:abstractNumId w:val="28"/>
  </w:num>
  <w:num w:numId="86">
    <w:abstractNumId w:val="66"/>
  </w:num>
  <w:num w:numId="87">
    <w:abstractNumId w:val="8"/>
  </w:num>
  <w:num w:numId="88">
    <w:abstractNumId w:val="40"/>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9"/>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2D2"/>
    <w:rsid w:val="00000109"/>
    <w:rsid w:val="0000017B"/>
    <w:rsid w:val="0000024F"/>
    <w:rsid w:val="000002DF"/>
    <w:rsid w:val="000004B0"/>
    <w:rsid w:val="000007D3"/>
    <w:rsid w:val="00000B5A"/>
    <w:rsid w:val="00000B91"/>
    <w:rsid w:val="00000B94"/>
    <w:rsid w:val="00000CD8"/>
    <w:rsid w:val="00000DC7"/>
    <w:rsid w:val="00000EF5"/>
    <w:rsid w:val="00001131"/>
    <w:rsid w:val="0000124A"/>
    <w:rsid w:val="000015B9"/>
    <w:rsid w:val="00001878"/>
    <w:rsid w:val="00001A5D"/>
    <w:rsid w:val="00001B24"/>
    <w:rsid w:val="00001B34"/>
    <w:rsid w:val="00001BE6"/>
    <w:rsid w:val="00001DAA"/>
    <w:rsid w:val="00001E31"/>
    <w:rsid w:val="00001E35"/>
    <w:rsid w:val="0000215E"/>
    <w:rsid w:val="00002363"/>
    <w:rsid w:val="000023D4"/>
    <w:rsid w:val="00002600"/>
    <w:rsid w:val="0000275E"/>
    <w:rsid w:val="000028A0"/>
    <w:rsid w:val="00002A31"/>
    <w:rsid w:val="00002BAF"/>
    <w:rsid w:val="00002F23"/>
    <w:rsid w:val="00003112"/>
    <w:rsid w:val="00003420"/>
    <w:rsid w:val="0000380E"/>
    <w:rsid w:val="00003915"/>
    <w:rsid w:val="0000396A"/>
    <w:rsid w:val="00003986"/>
    <w:rsid w:val="00003A12"/>
    <w:rsid w:val="00003A1A"/>
    <w:rsid w:val="00003AFC"/>
    <w:rsid w:val="00003B2D"/>
    <w:rsid w:val="00003C1F"/>
    <w:rsid w:val="00003C73"/>
    <w:rsid w:val="00003E8F"/>
    <w:rsid w:val="000042D2"/>
    <w:rsid w:val="0000467E"/>
    <w:rsid w:val="00004907"/>
    <w:rsid w:val="00004ACB"/>
    <w:rsid w:val="00004DD8"/>
    <w:rsid w:val="00004EC9"/>
    <w:rsid w:val="00004F98"/>
    <w:rsid w:val="00004FC1"/>
    <w:rsid w:val="00005346"/>
    <w:rsid w:val="000053B4"/>
    <w:rsid w:val="000058D2"/>
    <w:rsid w:val="00005B04"/>
    <w:rsid w:val="00005B7F"/>
    <w:rsid w:val="00005CC9"/>
    <w:rsid w:val="0000679F"/>
    <w:rsid w:val="00006961"/>
    <w:rsid w:val="000069AF"/>
    <w:rsid w:val="000069DF"/>
    <w:rsid w:val="000073B0"/>
    <w:rsid w:val="000075D7"/>
    <w:rsid w:val="00007616"/>
    <w:rsid w:val="00007702"/>
    <w:rsid w:val="00007A24"/>
    <w:rsid w:val="00007B4D"/>
    <w:rsid w:val="00007B88"/>
    <w:rsid w:val="00007BB7"/>
    <w:rsid w:val="00007BF8"/>
    <w:rsid w:val="00007E5D"/>
    <w:rsid w:val="00007EDF"/>
    <w:rsid w:val="00007EEE"/>
    <w:rsid w:val="00007F2E"/>
    <w:rsid w:val="00010493"/>
    <w:rsid w:val="000108A8"/>
    <w:rsid w:val="000108C2"/>
    <w:rsid w:val="00010997"/>
    <w:rsid w:val="000109C0"/>
    <w:rsid w:val="00010A3F"/>
    <w:rsid w:val="00010A49"/>
    <w:rsid w:val="00010CDC"/>
    <w:rsid w:val="000112C7"/>
    <w:rsid w:val="00011504"/>
    <w:rsid w:val="000115BD"/>
    <w:rsid w:val="0001172C"/>
    <w:rsid w:val="00011A95"/>
    <w:rsid w:val="00011B5F"/>
    <w:rsid w:val="00011F28"/>
    <w:rsid w:val="00012117"/>
    <w:rsid w:val="000123A0"/>
    <w:rsid w:val="000123A4"/>
    <w:rsid w:val="0001286F"/>
    <w:rsid w:val="00012B36"/>
    <w:rsid w:val="00012B74"/>
    <w:rsid w:val="00012D27"/>
    <w:rsid w:val="00012DD7"/>
    <w:rsid w:val="00012E16"/>
    <w:rsid w:val="00012E47"/>
    <w:rsid w:val="00012FA9"/>
    <w:rsid w:val="00013314"/>
    <w:rsid w:val="0001353A"/>
    <w:rsid w:val="00013676"/>
    <w:rsid w:val="000136A3"/>
    <w:rsid w:val="00013760"/>
    <w:rsid w:val="00013772"/>
    <w:rsid w:val="00013898"/>
    <w:rsid w:val="00013927"/>
    <w:rsid w:val="0001392F"/>
    <w:rsid w:val="000139E1"/>
    <w:rsid w:val="00013A78"/>
    <w:rsid w:val="00013A79"/>
    <w:rsid w:val="00013AF2"/>
    <w:rsid w:val="00013B97"/>
    <w:rsid w:val="00013BE4"/>
    <w:rsid w:val="00013FB5"/>
    <w:rsid w:val="00013FF1"/>
    <w:rsid w:val="00014084"/>
    <w:rsid w:val="00014495"/>
    <w:rsid w:val="000148A0"/>
    <w:rsid w:val="000149A8"/>
    <w:rsid w:val="00014C9F"/>
    <w:rsid w:val="00014CC7"/>
    <w:rsid w:val="00014EDC"/>
    <w:rsid w:val="0001506C"/>
    <w:rsid w:val="0001541C"/>
    <w:rsid w:val="000154B6"/>
    <w:rsid w:val="000154FF"/>
    <w:rsid w:val="0001587A"/>
    <w:rsid w:val="00015A27"/>
    <w:rsid w:val="00015B08"/>
    <w:rsid w:val="00015C2D"/>
    <w:rsid w:val="00015FEE"/>
    <w:rsid w:val="00016019"/>
    <w:rsid w:val="0001609A"/>
    <w:rsid w:val="0001656E"/>
    <w:rsid w:val="000166E7"/>
    <w:rsid w:val="00016881"/>
    <w:rsid w:val="00016BA6"/>
    <w:rsid w:val="0001732C"/>
    <w:rsid w:val="00017382"/>
    <w:rsid w:val="000173AA"/>
    <w:rsid w:val="00017423"/>
    <w:rsid w:val="00017606"/>
    <w:rsid w:val="00017EA2"/>
    <w:rsid w:val="00017EB1"/>
    <w:rsid w:val="00017F49"/>
    <w:rsid w:val="00020402"/>
    <w:rsid w:val="000204D2"/>
    <w:rsid w:val="0002089A"/>
    <w:rsid w:val="00020A0B"/>
    <w:rsid w:val="00020B3F"/>
    <w:rsid w:val="00020C38"/>
    <w:rsid w:val="00020C49"/>
    <w:rsid w:val="00020C6A"/>
    <w:rsid w:val="00020CFD"/>
    <w:rsid w:val="00020E8E"/>
    <w:rsid w:val="00020F3D"/>
    <w:rsid w:val="000214B4"/>
    <w:rsid w:val="0002173F"/>
    <w:rsid w:val="00021774"/>
    <w:rsid w:val="000218F1"/>
    <w:rsid w:val="00021A84"/>
    <w:rsid w:val="00021BF5"/>
    <w:rsid w:val="00021DAE"/>
    <w:rsid w:val="00021FFB"/>
    <w:rsid w:val="00022126"/>
    <w:rsid w:val="00022148"/>
    <w:rsid w:val="00022158"/>
    <w:rsid w:val="0002279E"/>
    <w:rsid w:val="00023600"/>
    <w:rsid w:val="0002363C"/>
    <w:rsid w:val="00023662"/>
    <w:rsid w:val="0002370C"/>
    <w:rsid w:val="000237A4"/>
    <w:rsid w:val="0002381C"/>
    <w:rsid w:val="000238EB"/>
    <w:rsid w:val="00023B4F"/>
    <w:rsid w:val="00023E3F"/>
    <w:rsid w:val="00023EFD"/>
    <w:rsid w:val="00023F5A"/>
    <w:rsid w:val="00024068"/>
    <w:rsid w:val="000241A6"/>
    <w:rsid w:val="0002420F"/>
    <w:rsid w:val="00024301"/>
    <w:rsid w:val="000249A6"/>
    <w:rsid w:val="00025294"/>
    <w:rsid w:val="0002546E"/>
    <w:rsid w:val="00025808"/>
    <w:rsid w:val="00025844"/>
    <w:rsid w:val="00025874"/>
    <w:rsid w:val="00025BD0"/>
    <w:rsid w:val="00026092"/>
    <w:rsid w:val="00026141"/>
    <w:rsid w:val="000265F1"/>
    <w:rsid w:val="0002665B"/>
    <w:rsid w:val="00026675"/>
    <w:rsid w:val="000267CA"/>
    <w:rsid w:val="00026838"/>
    <w:rsid w:val="00026AE8"/>
    <w:rsid w:val="00026C00"/>
    <w:rsid w:val="00026F98"/>
    <w:rsid w:val="000271CF"/>
    <w:rsid w:val="0002770E"/>
    <w:rsid w:val="0002774B"/>
    <w:rsid w:val="000277BD"/>
    <w:rsid w:val="00027848"/>
    <w:rsid w:val="00027D1C"/>
    <w:rsid w:val="0003015F"/>
    <w:rsid w:val="000302C1"/>
    <w:rsid w:val="000304EB"/>
    <w:rsid w:val="00030AA5"/>
    <w:rsid w:val="00030B1D"/>
    <w:rsid w:val="00030C41"/>
    <w:rsid w:val="00030D83"/>
    <w:rsid w:val="00030E6B"/>
    <w:rsid w:val="00030FA0"/>
    <w:rsid w:val="00031098"/>
    <w:rsid w:val="0003166B"/>
    <w:rsid w:val="00031832"/>
    <w:rsid w:val="0003188B"/>
    <w:rsid w:val="0003191F"/>
    <w:rsid w:val="00031A95"/>
    <w:rsid w:val="00031C04"/>
    <w:rsid w:val="00031E5F"/>
    <w:rsid w:val="00031EDF"/>
    <w:rsid w:val="00032005"/>
    <w:rsid w:val="000322EE"/>
    <w:rsid w:val="00032357"/>
    <w:rsid w:val="000326D2"/>
    <w:rsid w:val="000327A1"/>
    <w:rsid w:val="00032847"/>
    <w:rsid w:val="00032917"/>
    <w:rsid w:val="000329B6"/>
    <w:rsid w:val="00032B0C"/>
    <w:rsid w:val="00032C68"/>
    <w:rsid w:val="00032D29"/>
    <w:rsid w:val="00032D56"/>
    <w:rsid w:val="00032E82"/>
    <w:rsid w:val="00032E88"/>
    <w:rsid w:val="00032EC0"/>
    <w:rsid w:val="0003300A"/>
    <w:rsid w:val="00033397"/>
    <w:rsid w:val="00033E0F"/>
    <w:rsid w:val="00033FB0"/>
    <w:rsid w:val="000341DD"/>
    <w:rsid w:val="0003426A"/>
    <w:rsid w:val="00034306"/>
    <w:rsid w:val="000343E6"/>
    <w:rsid w:val="00034501"/>
    <w:rsid w:val="0003456E"/>
    <w:rsid w:val="000349B4"/>
    <w:rsid w:val="00034AD9"/>
    <w:rsid w:val="00034C3C"/>
    <w:rsid w:val="00034E75"/>
    <w:rsid w:val="00034ED9"/>
    <w:rsid w:val="00034FAC"/>
    <w:rsid w:val="00035006"/>
    <w:rsid w:val="00035031"/>
    <w:rsid w:val="00035337"/>
    <w:rsid w:val="00035581"/>
    <w:rsid w:val="0003560A"/>
    <w:rsid w:val="00035629"/>
    <w:rsid w:val="000359D8"/>
    <w:rsid w:val="00035A42"/>
    <w:rsid w:val="00035BC7"/>
    <w:rsid w:val="00036161"/>
    <w:rsid w:val="00036558"/>
    <w:rsid w:val="000366CE"/>
    <w:rsid w:val="000367A8"/>
    <w:rsid w:val="000369C7"/>
    <w:rsid w:val="00036A22"/>
    <w:rsid w:val="00036B2A"/>
    <w:rsid w:val="00036B52"/>
    <w:rsid w:val="000370EC"/>
    <w:rsid w:val="00037104"/>
    <w:rsid w:val="00037775"/>
    <w:rsid w:val="00037837"/>
    <w:rsid w:val="0003793F"/>
    <w:rsid w:val="000379C7"/>
    <w:rsid w:val="00037A76"/>
    <w:rsid w:val="00037AFC"/>
    <w:rsid w:val="00037C8F"/>
    <w:rsid w:val="00037C97"/>
    <w:rsid w:val="00037F5A"/>
    <w:rsid w:val="0004013A"/>
    <w:rsid w:val="000403A7"/>
    <w:rsid w:val="000405DC"/>
    <w:rsid w:val="00040946"/>
    <w:rsid w:val="00040A46"/>
    <w:rsid w:val="00040B56"/>
    <w:rsid w:val="00040BF3"/>
    <w:rsid w:val="00040FC2"/>
    <w:rsid w:val="00040FE4"/>
    <w:rsid w:val="000410F5"/>
    <w:rsid w:val="00041256"/>
    <w:rsid w:val="0004130C"/>
    <w:rsid w:val="00041363"/>
    <w:rsid w:val="0004144B"/>
    <w:rsid w:val="0004167D"/>
    <w:rsid w:val="0004180A"/>
    <w:rsid w:val="000419F1"/>
    <w:rsid w:val="00041CFE"/>
    <w:rsid w:val="00041D60"/>
    <w:rsid w:val="00041D6F"/>
    <w:rsid w:val="0004228E"/>
    <w:rsid w:val="000422D1"/>
    <w:rsid w:val="0004235E"/>
    <w:rsid w:val="00042495"/>
    <w:rsid w:val="0004270E"/>
    <w:rsid w:val="00042B85"/>
    <w:rsid w:val="00042D0D"/>
    <w:rsid w:val="00042EBB"/>
    <w:rsid w:val="00042F46"/>
    <w:rsid w:val="00042FBE"/>
    <w:rsid w:val="00043004"/>
    <w:rsid w:val="000430FE"/>
    <w:rsid w:val="000431B9"/>
    <w:rsid w:val="0004345E"/>
    <w:rsid w:val="00043478"/>
    <w:rsid w:val="00043934"/>
    <w:rsid w:val="00043953"/>
    <w:rsid w:val="00043A35"/>
    <w:rsid w:val="00043C8A"/>
    <w:rsid w:val="00043EFA"/>
    <w:rsid w:val="00043F5F"/>
    <w:rsid w:val="00043FAF"/>
    <w:rsid w:val="00044069"/>
    <w:rsid w:val="00044126"/>
    <w:rsid w:val="0004415D"/>
    <w:rsid w:val="00044186"/>
    <w:rsid w:val="0004419F"/>
    <w:rsid w:val="000443A1"/>
    <w:rsid w:val="000443FC"/>
    <w:rsid w:val="000448B9"/>
    <w:rsid w:val="000448BF"/>
    <w:rsid w:val="00044BA0"/>
    <w:rsid w:val="00044E35"/>
    <w:rsid w:val="00045208"/>
    <w:rsid w:val="0004521C"/>
    <w:rsid w:val="000452F9"/>
    <w:rsid w:val="00045333"/>
    <w:rsid w:val="00045474"/>
    <w:rsid w:val="0004567B"/>
    <w:rsid w:val="000457B7"/>
    <w:rsid w:val="000458F7"/>
    <w:rsid w:val="00045ACF"/>
    <w:rsid w:val="00045C74"/>
    <w:rsid w:val="00045DFC"/>
    <w:rsid w:val="00045EB1"/>
    <w:rsid w:val="0004603A"/>
    <w:rsid w:val="00046086"/>
    <w:rsid w:val="0004615B"/>
    <w:rsid w:val="000462C3"/>
    <w:rsid w:val="00046532"/>
    <w:rsid w:val="00046704"/>
    <w:rsid w:val="00046A06"/>
    <w:rsid w:val="00046A98"/>
    <w:rsid w:val="00046B50"/>
    <w:rsid w:val="00046B6D"/>
    <w:rsid w:val="00046BC5"/>
    <w:rsid w:val="00046D3D"/>
    <w:rsid w:val="00046E92"/>
    <w:rsid w:val="00047630"/>
    <w:rsid w:val="000477D5"/>
    <w:rsid w:val="000478CA"/>
    <w:rsid w:val="0004794B"/>
    <w:rsid w:val="00047965"/>
    <w:rsid w:val="00047A71"/>
    <w:rsid w:val="00047B77"/>
    <w:rsid w:val="00047F59"/>
    <w:rsid w:val="0005002C"/>
    <w:rsid w:val="0005050F"/>
    <w:rsid w:val="00050521"/>
    <w:rsid w:val="0005057F"/>
    <w:rsid w:val="0005065E"/>
    <w:rsid w:val="000506AF"/>
    <w:rsid w:val="0005074C"/>
    <w:rsid w:val="00050F50"/>
    <w:rsid w:val="000512E0"/>
    <w:rsid w:val="00051321"/>
    <w:rsid w:val="00051A24"/>
    <w:rsid w:val="00051A7F"/>
    <w:rsid w:val="00051E73"/>
    <w:rsid w:val="000529BA"/>
    <w:rsid w:val="00052BF7"/>
    <w:rsid w:val="00052DF2"/>
    <w:rsid w:val="00052FDA"/>
    <w:rsid w:val="00053527"/>
    <w:rsid w:val="00053545"/>
    <w:rsid w:val="00053583"/>
    <w:rsid w:val="00053669"/>
    <w:rsid w:val="00054149"/>
    <w:rsid w:val="000541ED"/>
    <w:rsid w:val="000543A0"/>
    <w:rsid w:val="00054935"/>
    <w:rsid w:val="00054B7A"/>
    <w:rsid w:val="00054C3F"/>
    <w:rsid w:val="00054D8F"/>
    <w:rsid w:val="00054F05"/>
    <w:rsid w:val="0005503D"/>
    <w:rsid w:val="00055382"/>
    <w:rsid w:val="0005548D"/>
    <w:rsid w:val="00055895"/>
    <w:rsid w:val="00055B5A"/>
    <w:rsid w:val="00055B70"/>
    <w:rsid w:val="00055F33"/>
    <w:rsid w:val="0005609C"/>
    <w:rsid w:val="00056448"/>
    <w:rsid w:val="00056712"/>
    <w:rsid w:val="000567E1"/>
    <w:rsid w:val="00056C85"/>
    <w:rsid w:val="00056D26"/>
    <w:rsid w:val="0005710A"/>
    <w:rsid w:val="000571A7"/>
    <w:rsid w:val="00057392"/>
    <w:rsid w:val="00057593"/>
    <w:rsid w:val="00057626"/>
    <w:rsid w:val="000576DE"/>
    <w:rsid w:val="000576F5"/>
    <w:rsid w:val="00057851"/>
    <w:rsid w:val="000579D1"/>
    <w:rsid w:val="00057BCC"/>
    <w:rsid w:val="00057BDE"/>
    <w:rsid w:val="00057CB8"/>
    <w:rsid w:val="00057E13"/>
    <w:rsid w:val="00060407"/>
    <w:rsid w:val="000604FB"/>
    <w:rsid w:val="000607C5"/>
    <w:rsid w:val="000609C4"/>
    <w:rsid w:val="000609C6"/>
    <w:rsid w:val="00060AB6"/>
    <w:rsid w:val="00060C69"/>
    <w:rsid w:val="00060F40"/>
    <w:rsid w:val="00061311"/>
    <w:rsid w:val="00061359"/>
    <w:rsid w:val="0006174D"/>
    <w:rsid w:val="0006186B"/>
    <w:rsid w:val="00061931"/>
    <w:rsid w:val="00061BD2"/>
    <w:rsid w:val="00061DAC"/>
    <w:rsid w:val="00061E18"/>
    <w:rsid w:val="00062135"/>
    <w:rsid w:val="00062227"/>
    <w:rsid w:val="000622C5"/>
    <w:rsid w:val="00062309"/>
    <w:rsid w:val="00062478"/>
    <w:rsid w:val="000624CA"/>
    <w:rsid w:val="000624F0"/>
    <w:rsid w:val="000625CC"/>
    <w:rsid w:val="00062B05"/>
    <w:rsid w:val="00062C9C"/>
    <w:rsid w:val="00062DE0"/>
    <w:rsid w:val="00062E5C"/>
    <w:rsid w:val="000630B6"/>
    <w:rsid w:val="0006326E"/>
    <w:rsid w:val="00063478"/>
    <w:rsid w:val="00063707"/>
    <w:rsid w:val="000639D4"/>
    <w:rsid w:val="00063BCA"/>
    <w:rsid w:val="00063C34"/>
    <w:rsid w:val="00063EBD"/>
    <w:rsid w:val="000640A8"/>
    <w:rsid w:val="00064212"/>
    <w:rsid w:val="00064245"/>
    <w:rsid w:val="0006439C"/>
    <w:rsid w:val="0006461C"/>
    <w:rsid w:val="000647B1"/>
    <w:rsid w:val="000647F5"/>
    <w:rsid w:val="00064BD5"/>
    <w:rsid w:val="00064E0B"/>
    <w:rsid w:val="000656F8"/>
    <w:rsid w:val="00065931"/>
    <w:rsid w:val="00065A79"/>
    <w:rsid w:val="00065C66"/>
    <w:rsid w:val="00065DCF"/>
    <w:rsid w:val="0006602B"/>
    <w:rsid w:val="00066561"/>
    <w:rsid w:val="000665E3"/>
    <w:rsid w:val="000665EF"/>
    <w:rsid w:val="000667F1"/>
    <w:rsid w:val="000668D7"/>
    <w:rsid w:val="00066ADB"/>
    <w:rsid w:val="00066AF5"/>
    <w:rsid w:val="00066B39"/>
    <w:rsid w:val="00066CDB"/>
    <w:rsid w:val="00066D3E"/>
    <w:rsid w:val="00066D92"/>
    <w:rsid w:val="00066E09"/>
    <w:rsid w:val="00066F77"/>
    <w:rsid w:val="00066FF5"/>
    <w:rsid w:val="000671FF"/>
    <w:rsid w:val="0006724B"/>
    <w:rsid w:val="000675BC"/>
    <w:rsid w:val="000675F4"/>
    <w:rsid w:val="000675FB"/>
    <w:rsid w:val="00067610"/>
    <w:rsid w:val="0006763E"/>
    <w:rsid w:val="0006783D"/>
    <w:rsid w:val="00067999"/>
    <w:rsid w:val="00067C1F"/>
    <w:rsid w:val="00067EDF"/>
    <w:rsid w:val="00067FEE"/>
    <w:rsid w:val="0007002B"/>
    <w:rsid w:val="000702D0"/>
    <w:rsid w:val="0007035B"/>
    <w:rsid w:val="00070882"/>
    <w:rsid w:val="00070964"/>
    <w:rsid w:val="00070B67"/>
    <w:rsid w:val="00070BE5"/>
    <w:rsid w:val="00070E86"/>
    <w:rsid w:val="00070F24"/>
    <w:rsid w:val="00070F88"/>
    <w:rsid w:val="00070F8A"/>
    <w:rsid w:val="000710F4"/>
    <w:rsid w:val="000713E4"/>
    <w:rsid w:val="0007144E"/>
    <w:rsid w:val="000714D7"/>
    <w:rsid w:val="000715DD"/>
    <w:rsid w:val="000716A4"/>
    <w:rsid w:val="00071783"/>
    <w:rsid w:val="0007187B"/>
    <w:rsid w:val="00071A3C"/>
    <w:rsid w:val="00071B7E"/>
    <w:rsid w:val="00071B82"/>
    <w:rsid w:val="000720CD"/>
    <w:rsid w:val="00072126"/>
    <w:rsid w:val="0007239E"/>
    <w:rsid w:val="000723E6"/>
    <w:rsid w:val="0007251D"/>
    <w:rsid w:val="0007259A"/>
    <w:rsid w:val="00072601"/>
    <w:rsid w:val="0007260A"/>
    <w:rsid w:val="000726A3"/>
    <w:rsid w:val="0007279C"/>
    <w:rsid w:val="00072833"/>
    <w:rsid w:val="0007295C"/>
    <w:rsid w:val="00072A95"/>
    <w:rsid w:val="00072BC5"/>
    <w:rsid w:val="00072C26"/>
    <w:rsid w:val="00072DB9"/>
    <w:rsid w:val="00073030"/>
    <w:rsid w:val="000730D5"/>
    <w:rsid w:val="0007348B"/>
    <w:rsid w:val="00073574"/>
    <w:rsid w:val="00073760"/>
    <w:rsid w:val="00073801"/>
    <w:rsid w:val="00073806"/>
    <w:rsid w:val="0007394C"/>
    <w:rsid w:val="0007397C"/>
    <w:rsid w:val="00073A3D"/>
    <w:rsid w:val="00073A4D"/>
    <w:rsid w:val="0007401C"/>
    <w:rsid w:val="000740DB"/>
    <w:rsid w:val="000742E5"/>
    <w:rsid w:val="000745A0"/>
    <w:rsid w:val="0007464F"/>
    <w:rsid w:val="000748C3"/>
    <w:rsid w:val="000748DC"/>
    <w:rsid w:val="0007495A"/>
    <w:rsid w:val="000749E9"/>
    <w:rsid w:val="00074BBD"/>
    <w:rsid w:val="00074BD0"/>
    <w:rsid w:val="00074C34"/>
    <w:rsid w:val="0007503D"/>
    <w:rsid w:val="0007510D"/>
    <w:rsid w:val="000751F6"/>
    <w:rsid w:val="0007548C"/>
    <w:rsid w:val="000756DB"/>
    <w:rsid w:val="000757F2"/>
    <w:rsid w:val="00076272"/>
    <w:rsid w:val="0007632B"/>
    <w:rsid w:val="000766A5"/>
    <w:rsid w:val="000766F5"/>
    <w:rsid w:val="00076814"/>
    <w:rsid w:val="0007697E"/>
    <w:rsid w:val="00076AA1"/>
    <w:rsid w:val="00076B6C"/>
    <w:rsid w:val="00076B95"/>
    <w:rsid w:val="00076BD3"/>
    <w:rsid w:val="000772C2"/>
    <w:rsid w:val="000773B5"/>
    <w:rsid w:val="00077492"/>
    <w:rsid w:val="00077548"/>
    <w:rsid w:val="000775BF"/>
    <w:rsid w:val="000779AA"/>
    <w:rsid w:val="00077BE7"/>
    <w:rsid w:val="00077C7D"/>
    <w:rsid w:val="00077CAE"/>
    <w:rsid w:val="00077D31"/>
    <w:rsid w:val="00080007"/>
    <w:rsid w:val="000803EC"/>
    <w:rsid w:val="000804FD"/>
    <w:rsid w:val="00080530"/>
    <w:rsid w:val="000805F4"/>
    <w:rsid w:val="000807AF"/>
    <w:rsid w:val="0008097F"/>
    <w:rsid w:val="00080A5E"/>
    <w:rsid w:val="00080B97"/>
    <w:rsid w:val="00080D3A"/>
    <w:rsid w:val="00081440"/>
    <w:rsid w:val="0008153B"/>
    <w:rsid w:val="000816BC"/>
    <w:rsid w:val="00081870"/>
    <w:rsid w:val="00081CC1"/>
    <w:rsid w:val="00081FC5"/>
    <w:rsid w:val="000822B9"/>
    <w:rsid w:val="00082ADF"/>
    <w:rsid w:val="00082BF0"/>
    <w:rsid w:val="00082D52"/>
    <w:rsid w:val="00082DD3"/>
    <w:rsid w:val="00082E8B"/>
    <w:rsid w:val="00082FDC"/>
    <w:rsid w:val="0008328B"/>
    <w:rsid w:val="000832B1"/>
    <w:rsid w:val="0008346F"/>
    <w:rsid w:val="000836E3"/>
    <w:rsid w:val="000837B7"/>
    <w:rsid w:val="00083970"/>
    <w:rsid w:val="00083D1D"/>
    <w:rsid w:val="00083DA0"/>
    <w:rsid w:val="000840E4"/>
    <w:rsid w:val="00084640"/>
    <w:rsid w:val="0008473F"/>
    <w:rsid w:val="00084863"/>
    <w:rsid w:val="00084ACD"/>
    <w:rsid w:val="00084BDA"/>
    <w:rsid w:val="00084D3E"/>
    <w:rsid w:val="00084D52"/>
    <w:rsid w:val="00084EE3"/>
    <w:rsid w:val="00084F19"/>
    <w:rsid w:val="00085262"/>
    <w:rsid w:val="0008527A"/>
    <w:rsid w:val="000853C5"/>
    <w:rsid w:val="0008544B"/>
    <w:rsid w:val="000857DD"/>
    <w:rsid w:val="00085961"/>
    <w:rsid w:val="00085A06"/>
    <w:rsid w:val="00085B0E"/>
    <w:rsid w:val="00085C51"/>
    <w:rsid w:val="00085CB4"/>
    <w:rsid w:val="00085D81"/>
    <w:rsid w:val="00085E36"/>
    <w:rsid w:val="00085F08"/>
    <w:rsid w:val="00085FD0"/>
    <w:rsid w:val="00086018"/>
    <w:rsid w:val="00086223"/>
    <w:rsid w:val="000862C4"/>
    <w:rsid w:val="0008661F"/>
    <w:rsid w:val="000867D9"/>
    <w:rsid w:val="000868C1"/>
    <w:rsid w:val="000868D5"/>
    <w:rsid w:val="000868F9"/>
    <w:rsid w:val="00086ADD"/>
    <w:rsid w:val="00086D98"/>
    <w:rsid w:val="00086FDE"/>
    <w:rsid w:val="00087094"/>
    <w:rsid w:val="0008714B"/>
    <w:rsid w:val="0008722A"/>
    <w:rsid w:val="000877F3"/>
    <w:rsid w:val="00087A27"/>
    <w:rsid w:val="00087B05"/>
    <w:rsid w:val="00087BB0"/>
    <w:rsid w:val="00087BD7"/>
    <w:rsid w:val="00087CF0"/>
    <w:rsid w:val="00087EB7"/>
    <w:rsid w:val="00087F4B"/>
    <w:rsid w:val="00090156"/>
    <w:rsid w:val="0009023E"/>
    <w:rsid w:val="000904CC"/>
    <w:rsid w:val="000905F4"/>
    <w:rsid w:val="000906DB"/>
    <w:rsid w:val="0009092C"/>
    <w:rsid w:val="00090A22"/>
    <w:rsid w:val="00090BAF"/>
    <w:rsid w:val="00090FFF"/>
    <w:rsid w:val="000912E0"/>
    <w:rsid w:val="000914C0"/>
    <w:rsid w:val="00091698"/>
    <w:rsid w:val="000916FC"/>
    <w:rsid w:val="0009179B"/>
    <w:rsid w:val="0009179E"/>
    <w:rsid w:val="0009181A"/>
    <w:rsid w:val="00091868"/>
    <w:rsid w:val="00091F4B"/>
    <w:rsid w:val="0009202D"/>
    <w:rsid w:val="00092264"/>
    <w:rsid w:val="00092553"/>
    <w:rsid w:val="000925E1"/>
    <w:rsid w:val="00092990"/>
    <w:rsid w:val="00092A2B"/>
    <w:rsid w:val="00092AB5"/>
    <w:rsid w:val="00092C96"/>
    <w:rsid w:val="00092EE6"/>
    <w:rsid w:val="00093030"/>
    <w:rsid w:val="00093057"/>
    <w:rsid w:val="000931A7"/>
    <w:rsid w:val="00093338"/>
    <w:rsid w:val="00093461"/>
    <w:rsid w:val="000935DE"/>
    <w:rsid w:val="000936FF"/>
    <w:rsid w:val="0009376C"/>
    <w:rsid w:val="000937E5"/>
    <w:rsid w:val="00093CAD"/>
    <w:rsid w:val="00093D2F"/>
    <w:rsid w:val="00093DEE"/>
    <w:rsid w:val="00094050"/>
    <w:rsid w:val="00094051"/>
    <w:rsid w:val="0009443B"/>
    <w:rsid w:val="00094631"/>
    <w:rsid w:val="00094880"/>
    <w:rsid w:val="000949B1"/>
    <w:rsid w:val="00094E11"/>
    <w:rsid w:val="00095070"/>
    <w:rsid w:val="000951E8"/>
    <w:rsid w:val="0009520C"/>
    <w:rsid w:val="0009536A"/>
    <w:rsid w:val="0009546F"/>
    <w:rsid w:val="000954F0"/>
    <w:rsid w:val="00095A61"/>
    <w:rsid w:val="0009619B"/>
    <w:rsid w:val="00096203"/>
    <w:rsid w:val="0009623F"/>
    <w:rsid w:val="00096240"/>
    <w:rsid w:val="00096353"/>
    <w:rsid w:val="00096435"/>
    <w:rsid w:val="00096858"/>
    <w:rsid w:val="00096923"/>
    <w:rsid w:val="000969F7"/>
    <w:rsid w:val="00096A80"/>
    <w:rsid w:val="00096E4D"/>
    <w:rsid w:val="00096E5F"/>
    <w:rsid w:val="00096EA8"/>
    <w:rsid w:val="00097013"/>
    <w:rsid w:val="0009702C"/>
    <w:rsid w:val="0009710D"/>
    <w:rsid w:val="00097254"/>
    <w:rsid w:val="0009763C"/>
    <w:rsid w:val="00097A32"/>
    <w:rsid w:val="00097A61"/>
    <w:rsid w:val="00097B96"/>
    <w:rsid w:val="00097CF6"/>
    <w:rsid w:val="00097EBD"/>
    <w:rsid w:val="00097FBE"/>
    <w:rsid w:val="00097FE9"/>
    <w:rsid w:val="000A00D0"/>
    <w:rsid w:val="000A01DA"/>
    <w:rsid w:val="000A022C"/>
    <w:rsid w:val="000A0411"/>
    <w:rsid w:val="000A0429"/>
    <w:rsid w:val="000A06B6"/>
    <w:rsid w:val="000A0731"/>
    <w:rsid w:val="000A0BC4"/>
    <w:rsid w:val="000A0DC4"/>
    <w:rsid w:val="000A0E4E"/>
    <w:rsid w:val="000A0EA6"/>
    <w:rsid w:val="000A119E"/>
    <w:rsid w:val="000A1377"/>
    <w:rsid w:val="000A139D"/>
    <w:rsid w:val="000A141D"/>
    <w:rsid w:val="000A1644"/>
    <w:rsid w:val="000A169F"/>
    <w:rsid w:val="000A1732"/>
    <w:rsid w:val="000A1893"/>
    <w:rsid w:val="000A1A52"/>
    <w:rsid w:val="000A1C46"/>
    <w:rsid w:val="000A1C5F"/>
    <w:rsid w:val="000A2466"/>
    <w:rsid w:val="000A2469"/>
    <w:rsid w:val="000A2632"/>
    <w:rsid w:val="000A26B0"/>
    <w:rsid w:val="000A271B"/>
    <w:rsid w:val="000A32D6"/>
    <w:rsid w:val="000A3308"/>
    <w:rsid w:val="000A33B1"/>
    <w:rsid w:val="000A342A"/>
    <w:rsid w:val="000A3636"/>
    <w:rsid w:val="000A3686"/>
    <w:rsid w:val="000A3896"/>
    <w:rsid w:val="000A3A1B"/>
    <w:rsid w:val="000A3BAB"/>
    <w:rsid w:val="000A3E15"/>
    <w:rsid w:val="000A3EA3"/>
    <w:rsid w:val="000A3EDC"/>
    <w:rsid w:val="000A3FED"/>
    <w:rsid w:val="000A423E"/>
    <w:rsid w:val="000A4286"/>
    <w:rsid w:val="000A4529"/>
    <w:rsid w:val="000A4555"/>
    <w:rsid w:val="000A467D"/>
    <w:rsid w:val="000A48F2"/>
    <w:rsid w:val="000A4C92"/>
    <w:rsid w:val="000A4CAC"/>
    <w:rsid w:val="000A4CDF"/>
    <w:rsid w:val="000A4E73"/>
    <w:rsid w:val="000A4EE7"/>
    <w:rsid w:val="000A50C5"/>
    <w:rsid w:val="000A54CC"/>
    <w:rsid w:val="000A550D"/>
    <w:rsid w:val="000A57E1"/>
    <w:rsid w:val="000A5A1E"/>
    <w:rsid w:val="000A5AC2"/>
    <w:rsid w:val="000A5AD8"/>
    <w:rsid w:val="000A5F6C"/>
    <w:rsid w:val="000A5FCE"/>
    <w:rsid w:val="000A6364"/>
    <w:rsid w:val="000A652B"/>
    <w:rsid w:val="000A660A"/>
    <w:rsid w:val="000A662D"/>
    <w:rsid w:val="000A671E"/>
    <w:rsid w:val="000A67D2"/>
    <w:rsid w:val="000A6843"/>
    <w:rsid w:val="000A6AF1"/>
    <w:rsid w:val="000A6B0A"/>
    <w:rsid w:val="000A6CC5"/>
    <w:rsid w:val="000A6D16"/>
    <w:rsid w:val="000A702F"/>
    <w:rsid w:val="000A71D8"/>
    <w:rsid w:val="000A7249"/>
    <w:rsid w:val="000A72A3"/>
    <w:rsid w:val="000A73A4"/>
    <w:rsid w:val="000A73EB"/>
    <w:rsid w:val="000A74A5"/>
    <w:rsid w:val="000A75C1"/>
    <w:rsid w:val="000A786B"/>
    <w:rsid w:val="000A78C8"/>
    <w:rsid w:val="000A7A96"/>
    <w:rsid w:val="000A7CC3"/>
    <w:rsid w:val="000B01D1"/>
    <w:rsid w:val="000B01E1"/>
    <w:rsid w:val="000B02DD"/>
    <w:rsid w:val="000B02F3"/>
    <w:rsid w:val="000B0400"/>
    <w:rsid w:val="000B04E0"/>
    <w:rsid w:val="000B0635"/>
    <w:rsid w:val="000B06F9"/>
    <w:rsid w:val="000B08FE"/>
    <w:rsid w:val="000B097C"/>
    <w:rsid w:val="000B097D"/>
    <w:rsid w:val="000B0A19"/>
    <w:rsid w:val="000B0CD1"/>
    <w:rsid w:val="000B0DC0"/>
    <w:rsid w:val="000B1001"/>
    <w:rsid w:val="000B100F"/>
    <w:rsid w:val="000B126B"/>
    <w:rsid w:val="000B150E"/>
    <w:rsid w:val="000B18EC"/>
    <w:rsid w:val="000B19DB"/>
    <w:rsid w:val="000B1A67"/>
    <w:rsid w:val="000B1D17"/>
    <w:rsid w:val="000B1EDF"/>
    <w:rsid w:val="000B2083"/>
    <w:rsid w:val="000B2799"/>
    <w:rsid w:val="000B2876"/>
    <w:rsid w:val="000B2941"/>
    <w:rsid w:val="000B2A18"/>
    <w:rsid w:val="000B2C5F"/>
    <w:rsid w:val="000B30B3"/>
    <w:rsid w:val="000B3406"/>
    <w:rsid w:val="000B363C"/>
    <w:rsid w:val="000B364A"/>
    <w:rsid w:val="000B3AD0"/>
    <w:rsid w:val="000B3B3F"/>
    <w:rsid w:val="000B3E07"/>
    <w:rsid w:val="000B3E9C"/>
    <w:rsid w:val="000B3EFB"/>
    <w:rsid w:val="000B4277"/>
    <w:rsid w:val="000B4394"/>
    <w:rsid w:val="000B4435"/>
    <w:rsid w:val="000B4A70"/>
    <w:rsid w:val="000B4BB1"/>
    <w:rsid w:val="000B4CD3"/>
    <w:rsid w:val="000B4F16"/>
    <w:rsid w:val="000B4FB9"/>
    <w:rsid w:val="000B5042"/>
    <w:rsid w:val="000B5176"/>
    <w:rsid w:val="000B538D"/>
    <w:rsid w:val="000B5715"/>
    <w:rsid w:val="000B57D9"/>
    <w:rsid w:val="000B598C"/>
    <w:rsid w:val="000B5E66"/>
    <w:rsid w:val="000B5EBB"/>
    <w:rsid w:val="000B66D8"/>
    <w:rsid w:val="000B69F8"/>
    <w:rsid w:val="000B6A2C"/>
    <w:rsid w:val="000B795E"/>
    <w:rsid w:val="000B7E8E"/>
    <w:rsid w:val="000B7FA3"/>
    <w:rsid w:val="000B7FF1"/>
    <w:rsid w:val="000C004A"/>
    <w:rsid w:val="000C00DD"/>
    <w:rsid w:val="000C03E9"/>
    <w:rsid w:val="000C077C"/>
    <w:rsid w:val="000C0975"/>
    <w:rsid w:val="000C0A14"/>
    <w:rsid w:val="000C0A89"/>
    <w:rsid w:val="000C0C21"/>
    <w:rsid w:val="000C0C7E"/>
    <w:rsid w:val="000C0CC1"/>
    <w:rsid w:val="000C0FAA"/>
    <w:rsid w:val="000C1182"/>
    <w:rsid w:val="000C12B8"/>
    <w:rsid w:val="000C14DF"/>
    <w:rsid w:val="000C1500"/>
    <w:rsid w:val="000C16FD"/>
    <w:rsid w:val="000C17F3"/>
    <w:rsid w:val="000C19E4"/>
    <w:rsid w:val="000C1F2A"/>
    <w:rsid w:val="000C1F31"/>
    <w:rsid w:val="000C1F98"/>
    <w:rsid w:val="000C24F4"/>
    <w:rsid w:val="000C295D"/>
    <w:rsid w:val="000C2AAC"/>
    <w:rsid w:val="000C2D4D"/>
    <w:rsid w:val="000C2DD7"/>
    <w:rsid w:val="000C2E11"/>
    <w:rsid w:val="000C3272"/>
    <w:rsid w:val="000C35D4"/>
    <w:rsid w:val="000C3BD5"/>
    <w:rsid w:val="000C3CFE"/>
    <w:rsid w:val="000C3D5F"/>
    <w:rsid w:val="000C3D6E"/>
    <w:rsid w:val="000C3D70"/>
    <w:rsid w:val="000C3DCC"/>
    <w:rsid w:val="000C3E23"/>
    <w:rsid w:val="000C3F4F"/>
    <w:rsid w:val="000C40D0"/>
    <w:rsid w:val="000C43D4"/>
    <w:rsid w:val="000C449D"/>
    <w:rsid w:val="000C46D0"/>
    <w:rsid w:val="000C4775"/>
    <w:rsid w:val="000C48CF"/>
    <w:rsid w:val="000C4EE2"/>
    <w:rsid w:val="000C51E2"/>
    <w:rsid w:val="000C52A8"/>
    <w:rsid w:val="000C555C"/>
    <w:rsid w:val="000C5E18"/>
    <w:rsid w:val="000C6011"/>
    <w:rsid w:val="000C61E6"/>
    <w:rsid w:val="000C62BA"/>
    <w:rsid w:val="000C67E4"/>
    <w:rsid w:val="000C6856"/>
    <w:rsid w:val="000C68FE"/>
    <w:rsid w:val="000C6C7E"/>
    <w:rsid w:val="000C6F33"/>
    <w:rsid w:val="000C6FBB"/>
    <w:rsid w:val="000C7176"/>
    <w:rsid w:val="000C72DA"/>
    <w:rsid w:val="000C744B"/>
    <w:rsid w:val="000C755D"/>
    <w:rsid w:val="000C75BB"/>
    <w:rsid w:val="000C760A"/>
    <w:rsid w:val="000C762C"/>
    <w:rsid w:val="000C763D"/>
    <w:rsid w:val="000C7825"/>
    <w:rsid w:val="000C7858"/>
    <w:rsid w:val="000C7875"/>
    <w:rsid w:val="000C78E6"/>
    <w:rsid w:val="000C7F2C"/>
    <w:rsid w:val="000D01C7"/>
    <w:rsid w:val="000D01C9"/>
    <w:rsid w:val="000D0284"/>
    <w:rsid w:val="000D0579"/>
    <w:rsid w:val="000D063F"/>
    <w:rsid w:val="000D0675"/>
    <w:rsid w:val="000D09FD"/>
    <w:rsid w:val="000D0B77"/>
    <w:rsid w:val="000D0BAD"/>
    <w:rsid w:val="000D0ED6"/>
    <w:rsid w:val="000D1334"/>
    <w:rsid w:val="000D143B"/>
    <w:rsid w:val="000D165A"/>
    <w:rsid w:val="000D1B91"/>
    <w:rsid w:val="000D1C8A"/>
    <w:rsid w:val="000D1CC0"/>
    <w:rsid w:val="000D1DBC"/>
    <w:rsid w:val="000D1F59"/>
    <w:rsid w:val="000D206E"/>
    <w:rsid w:val="000D2238"/>
    <w:rsid w:val="000D22B7"/>
    <w:rsid w:val="000D255F"/>
    <w:rsid w:val="000D28AF"/>
    <w:rsid w:val="000D2A82"/>
    <w:rsid w:val="000D2B70"/>
    <w:rsid w:val="000D2F5F"/>
    <w:rsid w:val="000D31C4"/>
    <w:rsid w:val="000D32CA"/>
    <w:rsid w:val="000D3446"/>
    <w:rsid w:val="000D34F9"/>
    <w:rsid w:val="000D3640"/>
    <w:rsid w:val="000D38B8"/>
    <w:rsid w:val="000D3985"/>
    <w:rsid w:val="000D3E90"/>
    <w:rsid w:val="000D3EB7"/>
    <w:rsid w:val="000D4014"/>
    <w:rsid w:val="000D408E"/>
    <w:rsid w:val="000D40E6"/>
    <w:rsid w:val="000D418B"/>
    <w:rsid w:val="000D42CC"/>
    <w:rsid w:val="000D438C"/>
    <w:rsid w:val="000D4629"/>
    <w:rsid w:val="000D4807"/>
    <w:rsid w:val="000D4814"/>
    <w:rsid w:val="000D4858"/>
    <w:rsid w:val="000D49E9"/>
    <w:rsid w:val="000D4BC8"/>
    <w:rsid w:val="000D4C6E"/>
    <w:rsid w:val="000D4C9C"/>
    <w:rsid w:val="000D51F3"/>
    <w:rsid w:val="000D5330"/>
    <w:rsid w:val="000D564B"/>
    <w:rsid w:val="000D567C"/>
    <w:rsid w:val="000D57D6"/>
    <w:rsid w:val="000D59F4"/>
    <w:rsid w:val="000D5A99"/>
    <w:rsid w:val="000D5BD4"/>
    <w:rsid w:val="000D5ECF"/>
    <w:rsid w:val="000D6359"/>
    <w:rsid w:val="000D640E"/>
    <w:rsid w:val="000D6466"/>
    <w:rsid w:val="000D6657"/>
    <w:rsid w:val="000D6702"/>
    <w:rsid w:val="000D68A2"/>
    <w:rsid w:val="000D68F4"/>
    <w:rsid w:val="000D6A20"/>
    <w:rsid w:val="000D6B12"/>
    <w:rsid w:val="000D6B9F"/>
    <w:rsid w:val="000D6D91"/>
    <w:rsid w:val="000D76DD"/>
    <w:rsid w:val="000D799D"/>
    <w:rsid w:val="000D7B66"/>
    <w:rsid w:val="000D7FBD"/>
    <w:rsid w:val="000E00F3"/>
    <w:rsid w:val="000E0286"/>
    <w:rsid w:val="000E03A9"/>
    <w:rsid w:val="000E05CE"/>
    <w:rsid w:val="000E07AA"/>
    <w:rsid w:val="000E080E"/>
    <w:rsid w:val="000E0B3D"/>
    <w:rsid w:val="000E0D3C"/>
    <w:rsid w:val="000E0E69"/>
    <w:rsid w:val="000E124C"/>
    <w:rsid w:val="000E147B"/>
    <w:rsid w:val="000E1518"/>
    <w:rsid w:val="000E15F8"/>
    <w:rsid w:val="000E18CA"/>
    <w:rsid w:val="000E1ABC"/>
    <w:rsid w:val="000E1D8A"/>
    <w:rsid w:val="000E1FC6"/>
    <w:rsid w:val="000E217E"/>
    <w:rsid w:val="000E21C7"/>
    <w:rsid w:val="000E21CC"/>
    <w:rsid w:val="000E27A4"/>
    <w:rsid w:val="000E2AFD"/>
    <w:rsid w:val="000E2C3D"/>
    <w:rsid w:val="000E2E4C"/>
    <w:rsid w:val="000E2F00"/>
    <w:rsid w:val="000E312D"/>
    <w:rsid w:val="000E31C6"/>
    <w:rsid w:val="000E3544"/>
    <w:rsid w:val="000E36C4"/>
    <w:rsid w:val="000E3743"/>
    <w:rsid w:val="000E379F"/>
    <w:rsid w:val="000E3C16"/>
    <w:rsid w:val="000E3FF4"/>
    <w:rsid w:val="000E4204"/>
    <w:rsid w:val="000E451F"/>
    <w:rsid w:val="000E478A"/>
    <w:rsid w:val="000E4E00"/>
    <w:rsid w:val="000E4E4F"/>
    <w:rsid w:val="000E4F96"/>
    <w:rsid w:val="000E4FB4"/>
    <w:rsid w:val="000E5041"/>
    <w:rsid w:val="000E5650"/>
    <w:rsid w:val="000E586E"/>
    <w:rsid w:val="000E5A74"/>
    <w:rsid w:val="000E5B53"/>
    <w:rsid w:val="000E5BBC"/>
    <w:rsid w:val="000E5CFD"/>
    <w:rsid w:val="000E5F00"/>
    <w:rsid w:val="000E5F2A"/>
    <w:rsid w:val="000E5FDF"/>
    <w:rsid w:val="000E661B"/>
    <w:rsid w:val="000E6C1E"/>
    <w:rsid w:val="000E6DF5"/>
    <w:rsid w:val="000E7050"/>
    <w:rsid w:val="000E710E"/>
    <w:rsid w:val="000E7155"/>
    <w:rsid w:val="000E73B3"/>
    <w:rsid w:val="000E747F"/>
    <w:rsid w:val="000E7586"/>
    <w:rsid w:val="000E75BE"/>
    <w:rsid w:val="000E7601"/>
    <w:rsid w:val="000E7656"/>
    <w:rsid w:val="000E76FC"/>
    <w:rsid w:val="000E7A8A"/>
    <w:rsid w:val="000E7D14"/>
    <w:rsid w:val="000E7D8C"/>
    <w:rsid w:val="000E7E2A"/>
    <w:rsid w:val="000F008D"/>
    <w:rsid w:val="000F02EE"/>
    <w:rsid w:val="000F058F"/>
    <w:rsid w:val="000F09B1"/>
    <w:rsid w:val="000F0C70"/>
    <w:rsid w:val="000F0CAE"/>
    <w:rsid w:val="000F0D85"/>
    <w:rsid w:val="000F1019"/>
    <w:rsid w:val="000F101B"/>
    <w:rsid w:val="000F103A"/>
    <w:rsid w:val="000F16E4"/>
    <w:rsid w:val="000F1716"/>
    <w:rsid w:val="000F18AD"/>
    <w:rsid w:val="000F19EE"/>
    <w:rsid w:val="000F1B39"/>
    <w:rsid w:val="000F1CD9"/>
    <w:rsid w:val="000F1CED"/>
    <w:rsid w:val="000F234B"/>
    <w:rsid w:val="000F25CF"/>
    <w:rsid w:val="000F26ED"/>
    <w:rsid w:val="000F2705"/>
    <w:rsid w:val="000F2785"/>
    <w:rsid w:val="000F27CB"/>
    <w:rsid w:val="000F2918"/>
    <w:rsid w:val="000F29E4"/>
    <w:rsid w:val="000F2C5F"/>
    <w:rsid w:val="000F2C91"/>
    <w:rsid w:val="000F2DBB"/>
    <w:rsid w:val="000F3023"/>
    <w:rsid w:val="000F3142"/>
    <w:rsid w:val="000F3233"/>
    <w:rsid w:val="000F3253"/>
    <w:rsid w:val="000F34E9"/>
    <w:rsid w:val="000F3645"/>
    <w:rsid w:val="000F395D"/>
    <w:rsid w:val="000F399E"/>
    <w:rsid w:val="000F39AE"/>
    <w:rsid w:val="000F3CAC"/>
    <w:rsid w:val="000F3D20"/>
    <w:rsid w:val="000F3DB1"/>
    <w:rsid w:val="000F3ED0"/>
    <w:rsid w:val="000F43F8"/>
    <w:rsid w:val="000F451F"/>
    <w:rsid w:val="000F46F1"/>
    <w:rsid w:val="000F47B3"/>
    <w:rsid w:val="000F4BB7"/>
    <w:rsid w:val="000F4D64"/>
    <w:rsid w:val="000F50D1"/>
    <w:rsid w:val="000F5102"/>
    <w:rsid w:val="000F512A"/>
    <w:rsid w:val="000F56A5"/>
    <w:rsid w:val="000F56B6"/>
    <w:rsid w:val="000F56F0"/>
    <w:rsid w:val="000F5C21"/>
    <w:rsid w:val="000F5CDD"/>
    <w:rsid w:val="000F5F2F"/>
    <w:rsid w:val="000F5F6F"/>
    <w:rsid w:val="000F6047"/>
    <w:rsid w:val="000F6551"/>
    <w:rsid w:val="000F663A"/>
    <w:rsid w:val="000F666B"/>
    <w:rsid w:val="000F6756"/>
    <w:rsid w:val="000F6913"/>
    <w:rsid w:val="000F6C42"/>
    <w:rsid w:val="000F6CD3"/>
    <w:rsid w:val="000F6CDE"/>
    <w:rsid w:val="000F6F19"/>
    <w:rsid w:val="000F7000"/>
    <w:rsid w:val="000F714E"/>
    <w:rsid w:val="000F76BE"/>
    <w:rsid w:val="000F78C3"/>
    <w:rsid w:val="000F7AB1"/>
    <w:rsid w:val="000F7B3B"/>
    <w:rsid w:val="000F7BBF"/>
    <w:rsid w:val="0010009D"/>
    <w:rsid w:val="0010054A"/>
    <w:rsid w:val="001008BF"/>
    <w:rsid w:val="00100D7A"/>
    <w:rsid w:val="00100EF6"/>
    <w:rsid w:val="00100F52"/>
    <w:rsid w:val="00101054"/>
    <w:rsid w:val="0010110B"/>
    <w:rsid w:val="00101167"/>
    <w:rsid w:val="001012B3"/>
    <w:rsid w:val="00101552"/>
    <w:rsid w:val="001015EC"/>
    <w:rsid w:val="0010160D"/>
    <w:rsid w:val="001018B9"/>
    <w:rsid w:val="00101FF4"/>
    <w:rsid w:val="001020A0"/>
    <w:rsid w:val="001023BE"/>
    <w:rsid w:val="00102422"/>
    <w:rsid w:val="001026B5"/>
    <w:rsid w:val="001027E2"/>
    <w:rsid w:val="0010288C"/>
    <w:rsid w:val="00102B1A"/>
    <w:rsid w:val="00102C3C"/>
    <w:rsid w:val="00102C9A"/>
    <w:rsid w:val="00102D52"/>
    <w:rsid w:val="00102EB4"/>
    <w:rsid w:val="00102F77"/>
    <w:rsid w:val="00102FF7"/>
    <w:rsid w:val="001031FF"/>
    <w:rsid w:val="00103334"/>
    <w:rsid w:val="0010387E"/>
    <w:rsid w:val="00103919"/>
    <w:rsid w:val="0010395D"/>
    <w:rsid w:val="00103D75"/>
    <w:rsid w:val="00104170"/>
    <w:rsid w:val="00104376"/>
    <w:rsid w:val="001045AB"/>
    <w:rsid w:val="00104728"/>
    <w:rsid w:val="00104AB2"/>
    <w:rsid w:val="00104CC3"/>
    <w:rsid w:val="001052A2"/>
    <w:rsid w:val="00105333"/>
    <w:rsid w:val="00105337"/>
    <w:rsid w:val="0010537A"/>
    <w:rsid w:val="00105A8A"/>
    <w:rsid w:val="00105ABD"/>
    <w:rsid w:val="00105B75"/>
    <w:rsid w:val="00105C36"/>
    <w:rsid w:val="00105F3B"/>
    <w:rsid w:val="001063A5"/>
    <w:rsid w:val="001067CE"/>
    <w:rsid w:val="00106A09"/>
    <w:rsid w:val="00106C71"/>
    <w:rsid w:val="00106C87"/>
    <w:rsid w:val="00106D4F"/>
    <w:rsid w:val="00106EBC"/>
    <w:rsid w:val="001070A7"/>
    <w:rsid w:val="00107273"/>
    <w:rsid w:val="001073C7"/>
    <w:rsid w:val="0010768C"/>
    <w:rsid w:val="001077F8"/>
    <w:rsid w:val="00107B28"/>
    <w:rsid w:val="00107CB1"/>
    <w:rsid w:val="00107DD8"/>
    <w:rsid w:val="00107F24"/>
    <w:rsid w:val="00110242"/>
    <w:rsid w:val="0011040D"/>
    <w:rsid w:val="0011057C"/>
    <w:rsid w:val="00110709"/>
    <w:rsid w:val="00110779"/>
    <w:rsid w:val="00110850"/>
    <w:rsid w:val="00110D7E"/>
    <w:rsid w:val="0011109D"/>
    <w:rsid w:val="001110E2"/>
    <w:rsid w:val="00111127"/>
    <w:rsid w:val="0011112C"/>
    <w:rsid w:val="00111235"/>
    <w:rsid w:val="00111384"/>
    <w:rsid w:val="00111531"/>
    <w:rsid w:val="00111642"/>
    <w:rsid w:val="0011185C"/>
    <w:rsid w:val="00111976"/>
    <w:rsid w:val="00111A6E"/>
    <w:rsid w:val="00111A92"/>
    <w:rsid w:val="00111BB7"/>
    <w:rsid w:val="00111C15"/>
    <w:rsid w:val="001122E9"/>
    <w:rsid w:val="0011240E"/>
    <w:rsid w:val="001127A6"/>
    <w:rsid w:val="001128CF"/>
    <w:rsid w:val="0011298E"/>
    <w:rsid w:val="00112ACF"/>
    <w:rsid w:val="001132AE"/>
    <w:rsid w:val="001133CD"/>
    <w:rsid w:val="00113487"/>
    <w:rsid w:val="00113720"/>
    <w:rsid w:val="00113743"/>
    <w:rsid w:val="00113899"/>
    <w:rsid w:val="0011389D"/>
    <w:rsid w:val="001138FB"/>
    <w:rsid w:val="001139D5"/>
    <w:rsid w:val="001139F6"/>
    <w:rsid w:val="00113A24"/>
    <w:rsid w:val="00113B63"/>
    <w:rsid w:val="00114247"/>
    <w:rsid w:val="001144AD"/>
    <w:rsid w:val="001145B1"/>
    <w:rsid w:val="001145B4"/>
    <w:rsid w:val="001146C1"/>
    <w:rsid w:val="001148A2"/>
    <w:rsid w:val="00114929"/>
    <w:rsid w:val="00114C5E"/>
    <w:rsid w:val="00114EC0"/>
    <w:rsid w:val="00114ED9"/>
    <w:rsid w:val="00114FFC"/>
    <w:rsid w:val="001158DB"/>
    <w:rsid w:val="001158E0"/>
    <w:rsid w:val="00115B30"/>
    <w:rsid w:val="00115BDD"/>
    <w:rsid w:val="00115CCD"/>
    <w:rsid w:val="00115D7F"/>
    <w:rsid w:val="00115E2D"/>
    <w:rsid w:val="00115EF4"/>
    <w:rsid w:val="00115F90"/>
    <w:rsid w:val="00115FFD"/>
    <w:rsid w:val="00116196"/>
    <w:rsid w:val="00116385"/>
    <w:rsid w:val="00116590"/>
    <w:rsid w:val="00116894"/>
    <w:rsid w:val="001168D4"/>
    <w:rsid w:val="00116D19"/>
    <w:rsid w:val="00116D7A"/>
    <w:rsid w:val="00116EFF"/>
    <w:rsid w:val="00116F34"/>
    <w:rsid w:val="00117156"/>
    <w:rsid w:val="00117422"/>
    <w:rsid w:val="00117443"/>
    <w:rsid w:val="0011759F"/>
    <w:rsid w:val="001177C1"/>
    <w:rsid w:val="0011791C"/>
    <w:rsid w:val="00117B24"/>
    <w:rsid w:val="00117C97"/>
    <w:rsid w:val="00117CC3"/>
    <w:rsid w:val="001202CA"/>
    <w:rsid w:val="0012042A"/>
    <w:rsid w:val="001204AC"/>
    <w:rsid w:val="00120993"/>
    <w:rsid w:val="00120AEA"/>
    <w:rsid w:val="00120BAF"/>
    <w:rsid w:val="00120CFA"/>
    <w:rsid w:val="00120ECE"/>
    <w:rsid w:val="00120ED9"/>
    <w:rsid w:val="00120F1E"/>
    <w:rsid w:val="00121331"/>
    <w:rsid w:val="00121771"/>
    <w:rsid w:val="00121E2C"/>
    <w:rsid w:val="00121EB2"/>
    <w:rsid w:val="00121EBA"/>
    <w:rsid w:val="00121F13"/>
    <w:rsid w:val="00121F2D"/>
    <w:rsid w:val="0012206E"/>
    <w:rsid w:val="001222B8"/>
    <w:rsid w:val="001222C5"/>
    <w:rsid w:val="001224DD"/>
    <w:rsid w:val="00122566"/>
    <w:rsid w:val="00122567"/>
    <w:rsid w:val="001225D7"/>
    <w:rsid w:val="001227FC"/>
    <w:rsid w:val="00122960"/>
    <w:rsid w:val="00122BA4"/>
    <w:rsid w:val="0012311A"/>
    <w:rsid w:val="001231D7"/>
    <w:rsid w:val="001233A2"/>
    <w:rsid w:val="001233EC"/>
    <w:rsid w:val="00123414"/>
    <w:rsid w:val="001235ED"/>
    <w:rsid w:val="00123739"/>
    <w:rsid w:val="0012374D"/>
    <w:rsid w:val="00123885"/>
    <w:rsid w:val="001238E8"/>
    <w:rsid w:val="00123906"/>
    <w:rsid w:val="00123A6B"/>
    <w:rsid w:val="00123D7F"/>
    <w:rsid w:val="00123DDC"/>
    <w:rsid w:val="00123DEC"/>
    <w:rsid w:val="00124093"/>
    <w:rsid w:val="001240FF"/>
    <w:rsid w:val="00124124"/>
    <w:rsid w:val="001241A3"/>
    <w:rsid w:val="001243D7"/>
    <w:rsid w:val="0012459C"/>
    <w:rsid w:val="00124DC2"/>
    <w:rsid w:val="00125137"/>
    <w:rsid w:val="0012532C"/>
    <w:rsid w:val="00125728"/>
    <w:rsid w:val="00125943"/>
    <w:rsid w:val="00125C23"/>
    <w:rsid w:val="00125C9E"/>
    <w:rsid w:val="0012624B"/>
    <w:rsid w:val="0012671D"/>
    <w:rsid w:val="0012677E"/>
    <w:rsid w:val="001267AA"/>
    <w:rsid w:val="00126B26"/>
    <w:rsid w:val="00126D75"/>
    <w:rsid w:val="00126F1F"/>
    <w:rsid w:val="0012726F"/>
    <w:rsid w:val="00127276"/>
    <w:rsid w:val="001276B1"/>
    <w:rsid w:val="00127AD0"/>
    <w:rsid w:val="00127D05"/>
    <w:rsid w:val="0013012E"/>
    <w:rsid w:val="001302A9"/>
    <w:rsid w:val="001308A8"/>
    <w:rsid w:val="001308C5"/>
    <w:rsid w:val="00130AC5"/>
    <w:rsid w:val="00130BD6"/>
    <w:rsid w:val="00130BF9"/>
    <w:rsid w:val="00130C0F"/>
    <w:rsid w:val="00130C94"/>
    <w:rsid w:val="00130FA9"/>
    <w:rsid w:val="00130FF1"/>
    <w:rsid w:val="00131157"/>
    <w:rsid w:val="0013138E"/>
    <w:rsid w:val="00131424"/>
    <w:rsid w:val="00131553"/>
    <w:rsid w:val="00131741"/>
    <w:rsid w:val="00131995"/>
    <w:rsid w:val="001319E8"/>
    <w:rsid w:val="00131BEF"/>
    <w:rsid w:val="00131D11"/>
    <w:rsid w:val="00131DF0"/>
    <w:rsid w:val="00131DFE"/>
    <w:rsid w:val="00131E90"/>
    <w:rsid w:val="00132013"/>
    <w:rsid w:val="00132155"/>
    <w:rsid w:val="001322C1"/>
    <w:rsid w:val="00132431"/>
    <w:rsid w:val="001324CC"/>
    <w:rsid w:val="00132568"/>
    <w:rsid w:val="0013284D"/>
    <w:rsid w:val="001329CF"/>
    <w:rsid w:val="001329E5"/>
    <w:rsid w:val="00132A16"/>
    <w:rsid w:val="00132B23"/>
    <w:rsid w:val="00132D5B"/>
    <w:rsid w:val="00132E2D"/>
    <w:rsid w:val="00132E92"/>
    <w:rsid w:val="00132EA4"/>
    <w:rsid w:val="0013332A"/>
    <w:rsid w:val="00133615"/>
    <w:rsid w:val="00133F24"/>
    <w:rsid w:val="00133F3E"/>
    <w:rsid w:val="0013401E"/>
    <w:rsid w:val="001341D8"/>
    <w:rsid w:val="00134243"/>
    <w:rsid w:val="0013431B"/>
    <w:rsid w:val="001343E3"/>
    <w:rsid w:val="001344D5"/>
    <w:rsid w:val="00134AC3"/>
    <w:rsid w:val="00134B1A"/>
    <w:rsid w:val="00134B6C"/>
    <w:rsid w:val="00134EC8"/>
    <w:rsid w:val="0013513D"/>
    <w:rsid w:val="001351B1"/>
    <w:rsid w:val="001352A8"/>
    <w:rsid w:val="0013537C"/>
    <w:rsid w:val="0013550C"/>
    <w:rsid w:val="00135855"/>
    <w:rsid w:val="00135884"/>
    <w:rsid w:val="00135892"/>
    <w:rsid w:val="00135ADC"/>
    <w:rsid w:val="00135BDE"/>
    <w:rsid w:val="00135EB9"/>
    <w:rsid w:val="00135FF2"/>
    <w:rsid w:val="0013604C"/>
    <w:rsid w:val="001360C4"/>
    <w:rsid w:val="00136102"/>
    <w:rsid w:val="00136116"/>
    <w:rsid w:val="00136175"/>
    <w:rsid w:val="00136630"/>
    <w:rsid w:val="00136824"/>
    <w:rsid w:val="00136B44"/>
    <w:rsid w:val="00136C5F"/>
    <w:rsid w:val="00136F06"/>
    <w:rsid w:val="00137244"/>
    <w:rsid w:val="00137498"/>
    <w:rsid w:val="001374D9"/>
    <w:rsid w:val="00137596"/>
    <w:rsid w:val="001375B3"/>
    <w:rsid w:val="0013769A"/>
    <w:rsid w:val="001376BD"/>
    <w:rsid w:val="00137830"/>
    <w:rsid w:val="00137AAF"/>
    <w:rsid w:val="00137B5A"/>
    <w:rsid w:val="00137D12"/>
    <w:rsid w:val="00137EEF"/>
    <w:rsid w:val="00137FA5"/>
    <w:rsid w:val="001401F0"/>
    <w:rsid w:val="0014039B"/>
    <w:rsid w:val="001403A8"/>
    <w:rsid w:val="0014049A"/>
    <w:rsid w:val="0014053D"/>
    <w:rsid w:val="0014055C"/>
    <w:rsid w:val="00140695"/>
    <w:rsid w:val="001406D5"/>
    <w:rsid w:val="00140A5B"/>
    <w:rsid w:val="00140C30"/>
    <w:rsid w:val="00141576"/>
    <w:rsid w:val="001415D2"/>
    <w:rsid w:val="0014170D"/>
    <w:rsid w:val="001418A3"/>
    <w:rsid w:val="00141BC0"/>
    <w:rsid w:val="00141CD6"/>
    <w:rsid w:val="00141E94"/>
    <w:rsid w:val="00141FF0"/>
    <w:rsid w:val="00142176"/>
    <w:rsid w:val="00142203"/>
    <w:rsid w:val="00142369"/>
    <w:rsid w:val="0014245C"/>
    <w:rsid w:val="001425A2"/>
    <w:rsid w:val="001427C7"/>
    <w:rsid w:val="001428EE"/>
    <w:rsid w:val="00142B7E"/>
    <w:rsid w:val="00142BAE"/>
    <w:rsid w:val="00142D21"/>
    <w:rsid w:val="00142F6F"/>
    <w:rsid w:val="001430FC"/>
    <w:rsid w:val="001436AE"/>
    <w:rsid w:val="0014371E"/>
    <w:rsid w:val="00143925"/>
    <w:rsid w:val="00143C8F"/>
    <w:rsid w:val="00143F42"/>
    <w:rsid w:val="00144241"/>
    <w:rsid w:val="00144310"/>
    <w:rsid w:val="00144346"/>
    <w:rsid w:val="0014443B"/>
    <w:rsid w:val="001445AB"/>
    <w:rsid w:val="001445FB"/>
    <w:rsid w:val="00145110"/>
    <w:rsid w:val="001451D3"/>
    <w:rsid w:val="001452AF"/>
    <w:rsid w:val="0014534A"/>
    <w:rsid w:val="0014550A"/>
    <w:rsid w:val="001455E4"/>
    <w:rsid w:val="00145727"/>
    <w:rsid w:val="00145754"/>
    <w:rsid w:val="0014583E"/>
    <w:rsid w:val="00145857"/>
    <w:rsid w:val="00145C71"/>
    <w:rsid w:val="00145FE0"/>
    <w:rsid w:val="00146607"/>
    <w:rsid w:val="00146630"/>
    <w:rsid w:val="00146684"/>
    <w:rsid w:val="001467C2"/>
    <w:rsid w:val="00146910"/>
    <w:rsid w:val="001469F8"/>
    <w:rsid w:val="00146B7D"/>
    <w:rsid w:val="00146D8D"/>
    <w:rsid w:val="00147068"/>
    <w:rsid w:val="00147074"/>
    <w:rsid w:val="0014713F"/>
    <w:rsid w:val="0014732B"/>
    <w:rsid w:val="00147358"/>
    <w:rsid w:val="00147367"/>
    <w:rsid w:val="0014737F"/>
    <w:rsid w:val="0014784A"/>
    <w:rsid w:val="00147942"/>
    <w:rsid w:val="00147982"/>
    <w:rsid w:val="00147CB8"/>
    <w:rsid w:val="001503A0"/>
    <w:rsid w:val="00150756"/>
    <w:rsid w:val="001509F1"/>
    <w:rsid w:val="00150BCF"/>
    <w:rsid w:val="00150C33"/>
    <w:rsid w:val="00150ECF"/>
    <w:rsid w:val="00150EDF"/>
    <w:rsid w:val="00150F85"/>
    <w:rsid w:val="00151365"/>
    <w:rsid w:val="00151579"/>
    <w:rsid w:val="00151696"/>
    <w:rsid w:val="00151B76"/>
    <w:rsid w:val="00151EEF"/>
    <w:rsid w:val="00152123"/>
    <w:rsid w:val="001521A5"/>
    <w:rsid w:val="001526AF"/>
    <w:rsid w:val="00152891"/>
    <w:rsid w:val="00152AE1"/>
    <w:rsid w:val="0015305D"/>
    <w:rsid w:val="001531C4"/>
    <w:rsid w:val="00153253"/>
    <w:rsid w:val="001534B7"/>
    <w:rsid w:val="001534C7"/>
    <w:rsid w:val="00153791"/>
    <w:rsid w:val="001537C3"/>
    <w:rsid w:val="001537C4"/>
    <w:rsid w:val="00153942"/>
    <w:rsid w:val="00153BF8"/>
    <w:rsid w:val="00153F4E"/>
    <w:rsid w:val="00153F72"/>
    <w:rsid w:val="00153FC6"/>
    <w:rsid w:val="0015411E"/>
    <w:rsid w:val="00154303"/>
    <w:rsid w:val="001546CC"/>
    <w:rsid w:val="00154816"/>
    <w:rsid w:val="001549A6"/>
    <w:rsid w:val="00154B2B"/>
    <w:rsid w:val="00154B68"/>
    <w:rsid w:val="00154B89"/>
    <w:rsid w:val="00154BA4"/>
    <w:rsid w:val="00154CF8"/>
    <w:rsid w:val="001551DF"/>
    <w:rsid w:val="001551E2"/>
    <w:rsid w:val="001552F6"/>
    <w:rsid w:val="0015530F"/>
    <w:rsid w:val="00155390"/>
    <w:rsid w:val="00155432"/>
    <w:rsid w:val="0015544C"/>
    <w:rsid w:val="0015570A"/>
    <w:rsid w:val="00155957"/>
    <w:rsid w:val="00155A8E"/>
    <w:rsid w:val="00155B1C"/>
    <w:rsid w:val="00155BAB"/>
    <w:rsid w:val="00155FBE"/>
    <w:rsid w:val="0015614D"/>
    <w:rsid w:val="0015615A"/>
    <w:rsid w:val="00156399"/>
    <w:rsid w:val="00156863"/>
    <w:rsid w:val="00156E39"/>
    <w:rsid w:val="00157313"/>
    <w:rsid w:val="001576D9"/>
    <w:rsid w:val="00157744"/>
    <w:rsid w:val="00157930"/>
    <w:rsid w:val="00157AEB"/>
    <w:rsid w:val="00157B7C"/>
    <w:rsid w:val="00157B83"/>
    <w:rsid w:val="00157DCB"/>
    <w:rsid w:val="00157E9B"/>
    <w:rsid w:val="00160034"/>
    <w:rsid w:val="001600E9"/>
    <w:rsid w:val="001606CC"/>
    <w:rsid w:val="0016092E"/>
    <w:rsid w:val="00160A0A"/>
    <w:rsid w:val="00160B38"/>
    <w:rsid w:val="00160CAD"/>
    <w:rsid w:val="00160CAE"/>
    <w:rsid w:val="00160CB5"/>
    <w:rsid w:val="00160CEB"/>
    <w:rsid w:val="00160D1F"/>
    <w:rsid w:val="00160E94"/>
    <w:rsid w:val="001610BF"/>
    <w:rsid w:val="0016149D"/>
    <w:rsid w:val="001614CD"/>
    <w:rsid w:val="0016151C"/>
    <w:rsid w:val="0016160F"/>
    <w:rsid w:val="0016182D"/>
    <w:rsid w:val="00161894"/>
    <w:rsid w:val="001618AB"/>
    <w:rsid w:val="00161A25"/>
    <w:rsid w:val="00161B66"/>
    <w:rsid w:val="00161C11"/>
    <w:rsid w:val="00161DBC"/>
    <w:rsid w:val="00162011"/>
    <w:rsid w:val="00162157"/>
    <w:rsid w:val="00162430"/>
    <w:rsid w:val="00162589"/>
    <w:rsid w:val="0016267E"/>
    <w:rsid w:val="00162893"/>
    <w:rsid w:val="00162AA5"/>
    <w:rsid w:val="00162B41"/>
    <w:rsid w:val="00163229"/>
    <w:rsid w:val="00163554"/>
    <w:rsid w:val="00163782"/>
    <w:rsid w:val="001637DB"/>
    <w:rsid w:val="00163962"/>
    <w:rsid w:val="00163C90"/>
    <w:rsid w:val="00163DB9"/>
    <w:rsid w:val="0016420A"/>
    <w:rsid w:val="00164499"/>
    <w:rsid w:val="00164691"/>
    <w:rsid w:val="0016499D"/>
    <w:rsid w:val="00164BB5"/>
    <w:rsid w:val="00164CFE"/>
    <w:rsid w:val="00165049"/>
    <w:rsid w:val="00165205"/>
    <w:rsid w:val="00165241"/>
    <w:rsid w:val="00165339"/>
    <w:rsid w:val="001653CA"/>
    <w:rsid w:val="00165726"/>
    <w:rsid w:val="00165979"/>
    <w:rsid w:val="00165AC0"/>
    <w:rsid w:val="00165C00"/>
    <w:rsid w:val="00165C02"/>
    <w:rsid w:val="00165C4C"/>
    <w:rsid w:val="00165ED0"/>
    <w:rsid w:val="00165F2D"/>
    <w:rsid w:val="00165FC8"/>
    <w:rsid w:val="00166017"/>
    <w:rsid w:val="00166744"/>
    <w:rsid w:val="0016675B"/>
    <w:rsid w:val="00166D64"/>
    <w:rsid w:val="00167387"/>
    <w:rsid w:val="00167677"/>
    <w:rsid w:val="00167DC2"/>
    <w:rsid w:val="0017026E"/>
    <w:rsid w:val="00170372"/>
    <w:rsid w:val="00170492"/>
    <w:rsid w:val="001704C2"/>
    <w:rsid w:val="00170608"/>
    <w:rsid w:val="0017079F"/>
    <w:rsid w:val="001707AA"/>
    <w:rsid w:val="0017086C"/>
    <w:rsid w:val="00170981"/>
    <w:rsid w:val="00170A2B"/>
    <w:rsid w:val="00170B92"/>
    <w:rsid w:val="00170C59"/>
    <w:rsid w:val="00170DA1"/>
    <w:rsid w:val="00170ECD"/>
    <w:rsid w:val="00171010"/>
    <w:rsid w:val="0017129A"/>
    <w:rsid w:val="001713DD"/>
    <w:rsid w:val="001713EC"/>
    <w:rsid w:val="00171654"/>
    <w:rsid w:val="00171D5D"/>
    <w:rsid w:val="00172054"/>
    <w:rsid w:val="00172059"/>
    <w:rsid w:val="00172130"/>
    <w:rsid w:val="00172271"/>
    <w:rsid w:val="00172473"/>
    <w:rsid w:val="001724A6"/>
    <w:rsid w:val="00172540"/>
    <w:rsid w:val="00172617"/>
    <w:rsid w:val="00172639"/>
    <w:rsid w:val="0017267E"/>
    <w:rsid w:val="00172FA3"/>
    <w:rsid w:val="00173338"/>
    <w:rsid w:val="0017348F"/>
    <w:rsid w:val="0017350C"/>
    <w:rsid w:val="001735B7"/>
    <w:rsid w:val="0017360B"/>
    <w:rsid w:val="001737B8"/>
    <w:rsid w:val="00173A2C"/>
    <w:rsid w:val="001741E9"/>
    <w:rsid w:val="001744C6"/>
    <w:rsid w:val="00174665"/>
    <w:rsid w:val="001746CD"/>
    <w:rsid w:val="0017476C"/>
    <w:rsid w:val="00174EA8"/>
    <w:rsid w:val="00174F52"/>
    <w:rsid w:val="00174FC6"/>
    <w:rsid w:val="00175155"/>
    <w:rsid w:val="0017558E"/>
    <w:rsid w:val="0017559E"/>
    <w:rsid w:val="001756CD"/>
    <w:rsid w:val="00175AAA"/>
    <w:rsid w:val="0017607B"/>
    <w:rsid w:val="001760A6"/>
    <w:rsid w:val="001761BF"/>
    <w:rsid w:val="0017620A"/>
    <w:rsid w:val="00176375"/>
    <w:rsid w:val="001764CC"/>
    <w:rsid w:val="001767AA"/>
    <w:rsid w:val="001769E9"/>
    <w:rsid w:val="00176A50"/>
    <w:rsid w:val="00176CC2"/>
    <w:rsid w:val="00176D43"/>
    <w:rsid w:val="001771DF"/>
    <w:rsid w:val="001771F6"/>
    <w:rsid w:val="0017756D"/>
    <w:rsid w:val="00177A7B"/>
    <w:rsid w:val="00180234"/>
    <w:rsid w:val="001802FD"/>
    <w:rsid w:val="0018065F"/>
    <w:rsid w:val="001806AD"/>
    <w:rsid w:val="0018076D"/>
    <w:rsid w:val="00180BB7"/>
    <w:rsid w:val="00180D18"/>
    <w:rsid w:val="00180FB5"/>
    <w:rsid w:val="00181034"/>
    <w:rsid w:val="001810D8"/>
    <w:rsid w:val="001810F2"/>
    <w:rsid w:val="001811C4"/>
    <w:rsid w:val="00181220"/>
    <w:rsid w:val="001814A2"/>
    <w:rsid w:val="001819C4"/>
    <w:rsid w:val="00181CE3"/>
    <w:rsid w:val="00182055"/>
    <w:rsid w:val="001820C2"/>
    <w:rsid w:val="0018214E"/>
    <w:rsid w:val="00182515"/>
    <w:rsid w:val="001825B0"/>
    <w:rsid w:val="00182734"/>
    <w:rsid w:val="0018290B"/>
    <w:rsid w:val="0018298E"/>
    <w:rsid w:val="00182AD9"/>
    <w:rsid w:val="00182BB1"/>
    <w:rsid w:val="00182C57"/>
    <w:rsid w:val="00182D09"/>
    <w:rsid w:val="00182F53"/>
    <w:rsid w:val="00182F91"/>
    <w:rsid w:val="00183117"/>
    <w:rsid w:val="001832DF"/>
    <w:rsid w:val="00183513"/>
    <w:rsid w:val="00183628"/>
    <w:rsid w:val="00183633"/>
    <w:rsid w:val="0018387C"/>
    <w:rsid w:val="00183B26"/>
    <w:rsid w:val="00183BBD"/>
    <w:rsid w:val="00183D13"/>
    <w:rsid w:val="00183EE3"/>
    <w:rsid w:val="0018406A"/>
    <w:rsid w:val="0018413C"/>
    <w:rsid w:val="00184203"/>
    <w:rsid w:val="0018435E"/>
    <w:rsid w:val="0018471B"/>
    <w:rsid w:val="0018479C"/>
    <w:rsid w:val="001849C4"/>
    <w:rsid w:val="00184D1D"/>
    <w:rsid w:val="00184D39"/>
    <w:rsid w:val="00184E29"/>
    <w:rsid w:val="001851E0"/>
    <w:rsid w:val="0018520B"/>
    <w:rsid w:val="0018558A"/>
    <w:rsid w:val="00185C37"/>
    <w:rsid w:val="00185DEF"/>
    <w:rsid w:val="001862AA"/>
    <w:rsid w:val="00186435"/>
    <w:rsid w:val="00186789"/>
    <w:rsid w:val="001868F3"/>
    <w:rsid w:val="001869D1"/>
    <w:rsid w:val="00186A9F"/>
    <w:rsid w:val="00186AAE"/>
    <w:rsid w:val="00186AEB"/>
    <w:rsid w:val="00186E48"/>
    <w:rsid w:val="00186FB3"/>
    <w:rsid w:val="00187360"/>
    <w:rsid w:val="00187387"/>
    <w:rsid w:val="00187641"/>
    <w:rsid w:val="001876B3"/>
    <w:rsid w:val="00187783"/>
    <w:rsid w:val="001877C9"/>
    <w:rsid w:val="0018792A"/>
    <w:rsid w:val="001879A6"/>
    <w:rsid w:val="00187A4C"/>
    <w:rsid w:val="00187C6C"/>
    <w:rsid w:val="00187D3E"/>
    <w:rsid w:val="001900B7"/>
    <w:rsid w:val="001900F2"/>
    <w:rsid w:val="00190435"/>
    <w:rsid w:val="001906A3"/>
    <w:rsid w:val="001907B9"/>
    <w:rsid w:val="00190BA6"/>
    <w:rsid w:val="00190D8C"/>
    <w:rsid w:val="00190DBE"/>
    <w:rsid w:val="00191063"/>
    <w:rsid w:val="00191154"/>
    <w:rsid w:val="00191324"/>
    <w:rsid w:val="001913AF"/>
    <w:rsid w:val="001915A4"/>
    <w:rsid w:val="001915D2"/>
    <w:rsid w:val="0019186E"/>
    <w:rsid w:val="001918BD"/>
    <w:rsid w:val="0019198F"/>
    <w:rsid w:val="001919F2"/>
    <w:rsid w:val="00191A4B"/>
    <w:rsid w:val="00191C73"/>
    <w:rsid w:val="00192419"/>
    <w:rsid w:val="0019263C"/>
    <w:rsid w:val="0019283A"/>
    <w:rsid w:val="00192911"/>
    <w:rsid w:val="00192A50"/>
    <w:rsid w:val="00192AB1"/>
    <w:rsid w:val="0019306E"/>
    <w:rsid w:val="001930DB"/>
    <w:rsid w:val="001931B8"/>
    <w:rsid w:val="001932BD"/>
    <w:rsid w:val="00193609"/>
    <w:rsid w:val="0019384E"/>
    <w:rsid w:val="001938D4"/>
    <w:rsid w:val="0019399C"/>
    <w:rsid w:val="001939DE"/>
    <w:rsid w:val="00193B11"/>
    <w:rsid w:val="001940F9"/>
    <w:rsid w:val="0019450A"/>
    <w:rsid w:val="001945BE"/>
    <w:rsid w:val="001946F8"/>
    <w:rsid w:val="001947C0"/>
    <w:rsid w:val="00194AE0"/>
    <w:rsid w:val="0019526D"/>
    <w:rsid w:val="0019555D"/>
    <w:rsid w:val="001955BA"/>
    <w:rsid w:val="00195765"/>
    <w:rsid w:val="00195B4E"/>
    <w:rsid w:val="00195B94"/>
    <w:rsid w:val="00195BDF"/>
    <w:rsid w:val="00195C75"/>
    <w:rsid w:val="00195CE2"/>
    <w:rsid w:val="00195E13"/>
    <w:rsid w:val="00196008"/>
    <w:rsid w:val="00196123"/>
    <w:rsid w:val="001961DC"/>
    <w:rsid w:val="0019645C"/>
    <w:rsid w:val="0019648C"/>
    <w:rsid w:val="00196511"/>
    <w:rsid w:val="00196526"/>
    <w:rsid w:val="001965D6"/>
    <w:rsid w:val="001966BD"/>
    <w:rsid w:val="001969B1"/>
    <w:rsid w:val="00196A4A"/>
    <w:rsid w:val="00196C3C"/>
    <w:rsid w:val="00196D6D"/>
    <w:rsid w:val="00196E6D"/>
    <w:rsid w:val="00196F3F"/>
    <w:rsid w:val="00197123"/>
    <w:rsid w:val="00197213"/>
    <w:rsid w:val="001972BF"/>
    <w:rsid w:val="0019783B"/>
    <w:rsid w:val="00197DD9"/>
    <w:rsid w:val="001A004A"/>
    <w:rsid w:val="001A020F"/>
    <w:rsid w:val="001A02E1"/>
    <w:rsid w:val="001A0755"/>
    <w:rsid w:val="001A081B"/>
    <w:rsid w:val="001A0DA3"/>
    <w:rsid w:val="001A10FD"/>
    <w:rsid w:val="001A1165"/>
    <w:rsid w:val="001A14AA"/>
    <w:rsid w:val="001A15CF"/>
    <w:rsid w:val="001A1959"/>
    <w:rsid w:val="001A1AAD"/>
    <w:rsid w:val="001A1D74"/>
    <w:rsid w:val="001A215E"/>
    <w:rsid w:val="001A2255"/>
    <w:rsid w:val="001A254C"/>
    <w:rsid w:val="001A2954"/>
    <w:rsid w:val="001A2B0B"/>
    <w:rsid w:val="001A2B6C"/>
    <w:rsid w:val="001A2D94"/>
    <w:rsid w:val="001A2E45"/>
    <w:rsid w:val="001A2E6B"/>
    <w:rsid w:val="001A2F8F"/>
    <w:rsid w:val="001A3170"/>
    <w:rsid w:val="001A32DF"/>
    <w:rsid w:val="001A33FA"/>
    <w:rsid w:val="001A3ACC"/>
    <w:rsid w:val="001A3C25"/>
    <w:rsid w:val="001A3C32"/>
    <w:rsid w:val="001A3DD1"/>
    <w:rsid w:val="001A3E5E"/>
    <w:rsid w:val="001A3FF8"/>
    <w:rsid w:val="001A4160"/>
    <w:rsid w:val="001A419E"/>
    <w:rsid w:val="001A41F0"/>
    <w:rsid w:val="001A455E"/>
    <w:rsid w:val="001A4610"/>
    <w:rsid w:val="001A48FB"/>
    <w:rsid w:val="001A4A09"/>
    <w:rsid w:val="001A4A1B"/>
    <w:rsid w:val="001A4B9D"/>
    <w:rsid w:val="001A4E0C"/>
    <w:rsid w:val="001A4EF9"/>
    <w:rsid w:val="001A4F7D"/>
    <w:rsid w:val="001A5136"/>
    <w:rsid w:val="001A5409"/>
    <w:rsid w:val="001A544D"/>
    <w:rsid w:val="001A5605"/>
    <w:rsid w:val="001A56D4"/>
    <w:rsid w:val="001A5942"/>
    <w:rsid w:val="001A5AA1"/>
    <w:rsid w:val="001A5AA8"/>
    <w:rsid w:val="001A5B04"/>
    <w:rsid w:val="001A5C0B"/>
    <w:rsid w:val="001A5D6F"/>
    <w:rsid w:val="001A5D83"/>
    <w:rsid w:val="001A607C"/>
    <w:rsid w:val="001A607F"/>
    <w:rsid w:val="001A6816"/>
    <w:rsid w:val="001A696C"/>
    <w:rsid w:val="001A6B67"/>
    <w:rsid w:val="001A6B8D"/>
    <w:rsid w:val="001A6BE5"/>
    <w:rsid w:val="001A6C9D"/>
    <w:rsid w:val="001A6F32"/>
    <w:rsid w:val="001A6F41"/>
    <w:rsid w:val="001A730E"/>
    <w:rsid w:val="001A766D"/>
    <w:rsid w:val="001A7823"/>
    <w:rsid w:val="001A7949"/>
    <w:rsid w:val="001A7DB9"/>
    <w:rsid w:val="001A7E67"/>
    <w:rsid w:val="001B01A5"/>
    <w:rsid w:val="001B03F3"/>
    <w:rsid w:val="001B04C7"/>
    <w:rsid w:val="001B0784"/>
    <w:rsid w:val="001B0A1E"/>
    <w:rsid w:val="001B0C73"/>
    <w:rsid w:val="001B0D8E"/>
    <w:rsid w:val="001B0DC7"/>
    <w:rsid w:val="001B0E92"/>
    <w:rsid w:val="001B0EE4"/>
    <w:rsid w:val="001B0F27"/>
    <w:rsid w:val="001B1151"/>
    <w:rsid w:val="001B126E"/>
    <w:rsid w:val="001B135A"/>
    <w:rsid w:val="001B14E3"/>
    <w:rsid w:val="001B1573"/>
    <w:rsid w:val="001B17E6"/>
    <w:rsid w:val="001B18A5"/>
    <w:rsid w:val="001B1B18"/>
    <w:rsid w:val="001B1DDD"/>
    <w:rsid w:val="001B1F80"/>
    <w:rsid w:val="001B213F"/>
    <w:rsid w:val="001B242F"/>
    <w:rsid w:val="001B2792"/>
    <w:rsid w:val="001B2922"/>
    <w:rsid w:val="001B2D57"/>
    <w:rsid w:val="001B2FD6"/>
    <w:rsid w:val="001B3021"/>
    <w:rsid w:val="001B30DC"/>
    <w:rsid w:val="001B3221"/>
    <w:rsid w:val="001B32FF"/>
    <w:rsid w:val="001B34D8"/>
    <w:rsid w:val="001B3BA5"/>
    <w:rsid w:val="001B3FD5"/>
    <w:rsid w:val="001B411E"/>
    <w:rsid w:val="001B424F"/>
    <w:rsid w:val="001B42AA"/>
    <w:rsid w:val="001B42D8"/>
    <w:rsid w:val="001B4335"/>
    <w:rsid w:val="001B4935"/>
    <w:rsid w:val="001B49EA"/>
    <w:rsid w:val="001B4A46"/>
    <w:rsid w:val="001B4B69"/>
    <w:rsid w:val="001B4C30"/>
    <w:rsid w:val="001B4CA0"/>
    <w:rsid w:val="001B4FCC"/>
    <w:rsid w:val="001B5136"/>
    <w:rsid w:val="001B5199"/>
    <w:rsid w:val="001B5215"/>
    <w:rsid w:val="001B5237"/>
    <w:rsid w:val="001B52F4"/>
    <w:rsid w:val="001B54AA"/>
    <w:rsid w:val="001B55BB"/>
    <w:rsid w:val="001B59FA"/>
    <w:rsid w:val="001B5A74"/>
    <w:rsid w:val="001B5C53"/>
    <w:rsid w:val="001B5D18"/>
    <w:rsid w:val="001B5DFD"/>
    <w:rsid w:val="001B5E4A"/>
    <w:rsid w:val="001B6083"/>
    <w:rsid w:val="001B60D9"/>
    <w:rsid w:val="001B656F"/>
    <w:rsid w:val="001B65B6"/>
    <w:rsid w:val="001B66D9"/>
    <w:rsid w:val="001B673B"/>
    <w:rsid w:val="001B67BD"/>
    <w:rsid w:val="001B687F"/>
    <w:rsid w:val="001B6907"/>
    <w:rsid w:val="001B7152"/>
    <w:rsid w:val="001B7155"/>
    <w:rsid w:val="001B7442"/>
    <w:rsid w:val="001B7913"/>
    <w:rsid w:val="001B7EBE"/>
    <w:rsid w:val="001B7EC5"/>
    <w:rsid w:val="001B7ECF"/>
    <w:rsid w:val="001B7F2F"/>
    <w:rsid w:val="001C05B6"/>
    <w:rsid w:val="001C088C"/>
    <w:rsid w:val="001C0A44"/>
    <w:rsid w:val="001C0B36"/>
    <w:rsid w:val="001C0BD5"/>
    <w:rsid w:val="001C0DB8"/>
    <w:rsid w:val="001C0F55"/>
    <w:rsid w:val="001C1474"/>
    <w:rsid w:val="001C1813"/>
    <w:rsid w:val="001C18EC"/>
    <w:rsid w:val="001C1C46"/>
    <w:rsid w:val="001C1CF5"/>
    <w:rsid w:val="001C1EA3"/>
    <w:rsid w:val="001C1EF6"/>
    <w:rsid w:val="001C2102"/>
    <w:rsid w:val="001C21E6"/>
    <w:rsid w:val="001C2514"/>
    <w:rsid w:val="001C2541"/>
    <w:rsid w:val="001C27DB"/>
    <w:rsid w:val="001C2973"/>
    <w:rsid w:val="001C29DC"/>
    <w:rsid w:val="001C2BDF"/>
    <w:rsid w:val="001C31A9"/>
    <w:rsid w:val="001C3427"/>
    <w:rsid w:val="001C3476"/>
    <w:rsid w:val="001C3500"/>
    <w:rsid w:val="001C38E8"/>
    <w:rsid w:val="001C38FB"/>
    <w:rsid w:val="001C3D58"/>
    <w:rsid w:val="001C3EB5"/>
    <w:rsid w:val="001C3FA5"/>
    <w:rsid w:val="001C4469"/>
    <w:rsid w:val="001C46F1"/>
    <w:rsid w:val="001C4726"/>
    <w:rsid w:val="001C4837"/>
    <w:rsid w:val="001C48F1"/>
    <w:rsid w:val="001C5520"/>
    <w:rsid w:val="001C594C"/>
    <w:rsid w:val="001C5A10"/>
    <w:rsid w:val="001C5CAA"/>
    <w:rsid w:val="001C5D03"/>
    <w:rsid w:val="001C5E1D"/>
    <w:rsid w:val="001C5EF8"/>
    <w:rsid w:val="001C5F35"/>
    <w:rsid w:val="001C6113"/>
    <w:rsid w:val="001C61DE"/>
    <w:rsid w:val="001C61FE"/>
    <w:rsid w:val="001C647B"/>
    <w:rsid w:val="001C6586"/>
    <w:rsid w:val="001C659C"/>
    <w:rsid w:val="001C663C"/>
    <w:rsid w:val="001C6876"/>
    <w:rsid w:val="001C687B"/>
    <w:rsid w:val="001C6CD6"/>
    <w:rsid w:val="001C6D3E"/>
    <w:rsid w:val="001C6EA1"/>
    <w:rsid w:val="001C6F0C"/>
    <w:rsid w:val="001C6F41"/>
    <w:rsid w:val="001C7160"/>
    <w:rsid w:val="001C71B7"/>
    <w:rsid w:val="001C71C5"/>
    <w:rsid w:val="001C7700"/>
    <w:rsid w:val="001C7736"/>
    <w:rsid w:val="001C7752"/>
    <w:rsid w:val="001C77A0"/>
    <w:rsid w:val="001C7839"/>
    <w:rsid w:val="001C78D8"/>
    <w:rsid w:val="001C7E67"/>
    <w:rsid w:val="001C7EEA"/>
    <w:rsid w:val="001D0045"/>
    <w:rsid w:val="001D028C"/>
    <w:rsid w:val="001D0297"/>
    <w:rsid w:val="001D04EF"/>
    <w:rsid w:val="001D071D"/>
    <w:rsid w:val="001D0DDB"/>
    <w:rsid w:val="001D0DFB"/>
    <w:rsid w:val="001D0EE4"/>
    <w:rsid w:val="001D0EF0"/>
    <w:rsid w:val="001D1028"/>
    <w:rsid w:val="001D1205"/>
    <w:rsid w:val="001D154A"/>
    <w:rsid w:val="001D1B55"/>
    <w:rsid w:val="001D1B71"/>
    <w:rsid w:val="001D1BB0"/>
    <w:rsid w:val="001D1E6D"/>
    <w:rsid w:val="001D1E7D"/>
    <w:rsid w:val="001D22C7"/>
    <w:rsid w:val="001D26B5"/>
    <w:rsid w:val="001D2BC2"/>
    <w:rsid w:val="001D2EFB"/>
    <w:rsid w:val="001D307C"/>
    <w:rsid w:val="001D3251"/>
    <w:rsid w:val="001D33AA"/>
    <w:rsid w:val="001D36F8"/>
    <w:rsid w:val="001D3A37"/>
    <w:rsid w:val="001D3B66"/>
    <w:rsid w:val="001D3BF4"/>
    <w:rsid w:val="001D3F91"/>
    <w:rsid w:val="001D40E4"/>
    <w:rsid w:val="001D43B6"/>
    <w:rsid w:val="001D47DA"/>
    <w:rsid w:val="001D4845"/>
    <w:rsid w:val="001D4D46"/>
    <w:rsid w:val="001D5117"/>
    <w:rsid w:val="001D528D"/>
    <w:rsid w:val="001D53C6"/>
    <w:rsid w:val="001D592D"/>
    <w:rsid w:val="001D59B7"/>
    <w:rsid w:val="001D5A36"/>
    <w:rsid w:val="001D5C2E"/>
    <w:rsid w:val="001D608E"/>
    <w:rsid w:val="001D61D1"/>
    <w:rsid w:val="001D6224"/>
    <w:rsid w:val="001D636B"/>
    <w:rsid w:val="001D63F7"/>
    <w:rsid w:val="001D669E"/>
    <w:rsid w:val="001D6809"/>
    <w:rsid w:val="001D686F"/>
    <w:rsid w:val="001D68D3"/>
    <w:rsid w:val="001D6CA0"/>
    <w:rsid w:val="001D6F6B"/>
    <w:rsid w:val="001D755D"/>
    <w:rsid w:val="001D761B"/>
    <w:rsid w:val="001D7927"/>
    <w:rsid w:val="001D7CC7"/>
    <w:rsid w:val="001D7DE4"/>
    <w:rsid w:val="001D7EAA"/>
    <w:rsid w:val="001D7FCE"/>
    <w:rsid w:val="001E02F3"/>
    <w:rsid w:val="001E032A"/>
    <w:rsid w:val="001E0637"/>
    <w:rsid w:val="001E064B"/>
    <w:rsid w:val="001E067E"/>
    <w:rsid w:val="001E07C8"/>
    <w:rsid w:val="001E099C"/>
    <w:rsid w:val="001E0B4E"/>
    <w:rsid w:val="001E12BD"/>
    <w:rsid w:val="001E1799"/>
    <w:rsid w:val="001E1808"/>
    <w:rsid w:val="001E1844"/>
    <w:rsid w:val="001E1B46"/>
    <w:rsid w:val="001E1C50"/>
    <w:rsid w:val="001E1C90"/>
    <w:rsid w:val="001E1CAD"/>
    <w:rsid w:val="001E1CC0"/>
    <w:rsid w:val="001E1DA1"/>
    <w:rsid w:val="001E231D"/>
    <w:rsid w:val="001E2646"/>
    <w:rsid w:val="001E265F"/>
    <w:rsid w:val="001E2B7A"/>
    <w:rsid w:val="001E2D60"/>
    <w:rsid w:val="001E2F43"/>
    <w:rsid w:val="001E30A1"/>
    <w:rsid w:val="001E30F6"/>
    <w:rsid w:val="001E3256"/>
    <w:rsid w:val="001E3265"/>
    <w:rsid w:val="001E376C"/>
    <w:rsid w:val="001E38C0"/>
    <w:rsid w:val="001E3B6F"/>
    <w:rsid w:val="001E3BAF"/>
    <w:rsid w:val="001E3DF9"/>
    <w:rsid w:val="001E3E99"/>
    <w:rsid w:val="001E3F16"/>
    <w:rsid w:val="001E41B7"/>
    <w:rsid w:val="001E4396"/>
    <w:rsid w:val="001E4544"/>
    <w:rsid w:val="001E471C"/>
    <w:rsid w:val="001E478C"/>
    <w:rsid w:val="001E496F"/>
    <w:rsid w:val="001E4AC8"/>
    <w:rsid w:val="001E4EC9"/>
    <w:rsid w:val="001E4FFC"/>
    <w:rsid w:val="001E5173"/>
    <w:rsid w:val="001E52B9"/>
    <w:rsid w:val="001E572E"/>
    <w:rsid w:val="001E57B0"/>
    <w:rsid w:val="001E5972"/>
    <w:rsid w:val="001E59F8"/>
    <w:rsid w:val="001E61CE"/>
    <w:rsid w:val="001E62DF"/>
    <w:rsid w:val="001E64CE"/>
    <w:rsid w:val="001E6861"/>
    <w:rsid w:val="001E6938"/>
    <w:rsid w:val="001E6A7C"/>
    <w:rsid w:val="001E6C7B"/>
    <w:rsid w:val="001E71D1"/>
    <w:rsid w:val="001E7364"/>
    <w:rsid w:val="001E73DF"/>
    <w:rsid w:val="001E7518"/>
    <w:rsid w:val="001E754F"/>
    <w:rsid w:val="001E75A8"/>
    <w:rsid w:val="001E76AA"/>
    <w:rsid w:val="001E7866"/>
    <w:rsid w:val="001E795F"/>
    <w:rsid w:val="001E7EB7"/>
    <w:rsid w:val="001E7FA5"/>
    <w:rsid w:val="001E7FD5"/>
    <w:rsid w:val="001F008A"/>
    <w:rsid w:val="001F01B9"/>
    <w:rsid w:val="001F0386"/>
    <w:rsid w:val="001F03A1"/>
    <w:rsid w:val="001F0426"/>
    <w:rsid w:val="001F0522"/>
    <w:rsid w:val="001F09EC"/>
    <w:rsid w:val="001F1021"/>
    <w:rsid w:val="001F11F9"/>
    <w:rsid w:val="001F1492"/>
    <w:rsid w:val="001F149D"/>
    <w:rsid w:val="001F1969"/>
    <w:rsid w:val="001F1B43"/>
    <w:rsid w:val="001F2024"/>
    <w:rsid w:val="001F2030"/>
    <w:rsid w:val="001F22A2"/>
    <w:rsid w:val="001F230A"/>
    <w:rsid w:val="001F2380"/>
    <w:rsid w:val="001F255E"/>
    <w:rsid w:val="001F2767"/>
    <w:rsid w:val="001F27C6"/>
    <w:rsid w:val="001F298C"/>
    <w:rsid w:val="001F2AB5"/>
    <w:rsid w:val="001F2BF9"/>
    <w:rsid w:val="001F2C88"/>
    <w:rsid w:val="001F2D7E"/>
    <w:rsid w:val="001F2F30"/>
    <w:rsid w:val="001F2F9B"/>
    <w:rsid w:val="001F3000"/>
    <w:rsid w:val="001F32CB"/>
    <w:rsid w:val="001F356C"/>
    <w:rsid w:val="001F36A7"/>
    <w:rsid w:val="001F37EE"/>
    <w:rsid w:val="001F397C"/>
    <w:rsid w:val="001F3B3A"/>
    <w:rsid w:val="001F3B59"/>
    <w:rsid w:val="001F3DC7"/>
    <w:rsid w:val="001F404D"/>
    <w:rsid w:val="001F40D4"/>
    <w:rsid w:val="001F42A6"/>
    <w:rsid w:val="001F4378"/>
    <w:rsid w:val="001F43A2"/>
    <w:rsid w:val="001F44E9"/>
    <w:rsid w:val="001F4D70"/>
    <w:rsid w:val="001F4E36"/>
    <w:rsid w:val="001F50CF"/>
    <w:rsid w:val="001F5531"/>
    <w:rsid w:val="001F5578"/>
    <w:rsid w:val="001F58D0"/>
    <w:rsid w:val="001F5904"/>
    <w:rsid w:val="001F5A43"/>
    <w:rsid w:val="001F5C23"/>
    <w:rsid w:val="001F6195"/>
    <w:rsid w:val="001F62D7"/>
    <w:rsid w:val="001F62D9"/>
    <w:rsid w:val="001F6421"/>
    <w:rsid w:val="001F6532"/>
    <w:rsid w:val="001F66E9"/>
    <w:rsid w:val="001F6A34"/>
    <w:rsid w:val="001F6DB6"/>
    <w:rsid w:val="001F6EFE"/>
    <w:rsid w:val="001F7201"/>
    <w:rsid w:val="001F749F"/>
    <w:rsid w:val="001F77FD"/>
    <w:rsid w:val="001F78E4"/>
    <w:rsid w:val="001F7A87"/>
    <w:rsid w:val="001F7B92"/>
    <w:rsid w:val="001F7D04"/>
    <w:rsid w:val="001F7D81"/>
    <w:rsid w:val="001F7E9C"/>
    <w:rsid w:val="001F7F03"/>
    <w:rsid w:val="002001B3"/>
    <w:rsid w:val="002004C5"/>
    <w:rsid w:val="00200691"/>
    <w:rsid w:val="002007E6"/>
    <w:rsid w:val="00200835"/>
    <w:rsid w:val="00200951"/>
    <w:rsid w:val="00200A87"/>
    <w:rsid w:val="00200CF0"/>
    <w:rsid w:val="00200DB3"/>
    <w:rsid w:val="00200EC1"/>
    <w:rsid w:val="00200F9D"/>
    <w:rsid w:val="00201007"/>
    <w:rsid w:val="00201151"/>
    <w:rsid w:val="002013C4"/>
    <w:rsid w:val="00201AAE"/>
    <w:rsid w:val="00201B1D"/>
    <w:rsid w:val="00201D91"/>
    <w:rsid w:val="00201E69"/>
    <w:rsid w:val="00202027"/>
    <w:rsid w:val="002020B0"/>
    <w:rsid w:val="002021D4"/>
    <w:rsid w:val="00202270"/>
    <w:rsid w:val="002023CE"/>
    <w:rsid w:val="00202432"/>
    <w:rsid w:val="00202468"/>
    <w:rsid w:val="00202755"/>
    <w:rsid w:val="002028A8"/>
    <w:rsid w:val="0020290A"/>
    <w:rsid w:val="00202BBE"/>
    <w:rsid w:val="002031CE"/>
    <w:rsid w:val="002039CB"/>
    <w:rsid w:val="00203A83"/>
    <w:rsid w:val="00203D10"/>
    <w:rsid w:val="00203E25"/>
    <w:rsid w:val="00203E6F"/>
    <w:rsid w:val="00204177"/>
    <w:rsid w:val="0020440E"/>
    <w:rsid w:val="00204572"/>
    <w:rsid w:val="002045E0"/>
    <w:rsid w:val="0020465F"/>
    <w:rsid w:val="002046A4"/>
    <w:rsid w:val="00204896"/>
    <w:rsid w:val="00204D10"/>
    <w:rsid w:val="00204E4A"/>
    <w:rsid w:val="00204F64"/>
    <w:rsid w:val="00205174"/>
    <w:rsid w:val="00205519"/>
    <w:rsid w:val="0020582D"/>
    <w:rsid w:val="0020594A"/>
    <w:rsid w:val="00205B4C"/>
    <w:rsid w:val="00206056"/>
    <w:rsid w:val="00206232"/>
    <w:rsid w:val="0020625A"/>
    <w:rsid w:val="00206535"/>
    <w:rsid w:val="002066DD"/>
    <w:rsid w:val="002066E0"/>
    <w:rsid w:val="00206818"/>
    <w:rsid w:val="0020682D"/>
    <w:rsid w:val="00206865"/>
    <w:rsid w:val="00206A2F"/>
    <w:rsid w:val="00206B00"/>
    <w:rsid w:val="00206B08"/>
    <w:rsid w:val="00206D6A"/>
    <w:rsid w:val="00206DA9"/>
    <w:rsid w:val="002070D9"/>
    <w:rsid w:val="0020771C"/>
    <w:rsid w:val="00207820"/>
    <w:rsid w:val="00207983"/>
    <w:rsid w:val="0020799D"/>
    <w:rsid w:val="00207A05"/>
    <w:rsid w:val="00207AA6"/>
    <w:rsid w:val="00207B5E"/>
    <w:rsid w:val="002104BF"/>
    <w:rsid w:val="00210CC7"/>
    <w:rsid w:val="00211215"/>
    <w:rsid w:val="00211232"/>
    <w:rsid w:val="002112F2"/>
    <w:rsid w:val="002114D1"/>
    <w:rsid w:val="00211623"/>
    <w:rsid w:val="002117F3"/>
    <w:rsid w:val="002118B5"/>
    <w:rsid w:val="00211A6F"/>
    <w:rsid w:val="00211B76"/>
    <w:rsid w:val="00211C5E"/>
    <w:rsid w:val="00211C6E"/>
    <w:rsid w:val="00211F7E"/>
    <w:rsid w:val="002123DC"/>
    <w:rsid w:val="0021257A"/>
    <w:rsid w:val="0021258A"/>
    <w:rsid w:val="002125E2"/>
    <w:rsid w:val="002126F0"/>
    <w:rsid w:val="0021277F"/>
    <w:rsid w:val="0021296E"/>
    <w:rsid w:val="002129CB"/>
    <w:rsid w:val="00212AD9"/>
    <w:rsid w:val="00212E78"/>
    <w:rsid w:val="00212E94"/>
    <w:rsid w:val="00212FFA"/>
    <w:rsid w:val="00213047"/>
    <w:rsid w:val="002130D9"/>
    <w:rsid w:val="00213152"/>
    <w:rsid w:val="0021323F"/>
    <w:rsid w:val="00213520"/>
    <w:rsid w:val="00213565"/>
    <w:rsid w:val="00213D34"/>
    <w:rsid w:val="00213D81"/>
    <w:rsid w:val="00213E9D"/>
    <w:rsid w:val="00213F44"/>
    <w:rsid w:val="0021419F"/>
    <w:rsid w:val="002142D2"/>
    <w:rsid w:val="00214563"/>
    <w:rsid w:val="0021467F"/>
    <w:rsid w:val="00214683"/>
    <w:rsid w:val="00214780"/>
    <w:rsid w:val="0021488F"/>
    <w:rsid w:val="00214A7C"/>
    <w:rsid w:val="00214ABA"/>
    <w:rsid w:val="00214B31"/>
    <w:rsid w:val="00215185"/>
    <w:rsid w:val="0021527D"/>
    <w:rsid w:val="002152D3"/>
    <w:rsid w:val="00215364"/>
    <w:rsid w:val="002154C9"/>
    <w:rsid w:val="00215551"/>
    <w:rsid w:val="0021562F"/>
    <w:rsid w:val="00215734"/>
    <w:rsid w:val="00215CB4"/>
    <w:rsid w:val="00215D6D"/>
    <w:rsid w:val="00216085"/>
    <w:rsid w:val="002162C1"/>
    <w:rsid w:val="00216321"/>
    <w:rsid w:val="002163E3"/>
    <w:rsid w:val="00216563"/>
    <w:rsid w:val="00216670"/>
    <w:rsid w:val="00216A4F"/>
    <w:rsid w:val="00216AEA"/>
    <w:rsid w:val="00216C3F"/>
    <w:rsid w:val="00216CB1"/>
    <w:rsid w:val="00216D0F"/>
    <w:rsid w:val="00216EAB"/>
    <w:rsid w:val="002171A2"/>
    <w:rsid w:val="002172E7"/>
    <w:rsid w:val="002178AC"/>
    <w:rsid w:val="00217960"/>
    <w:rsid w:val="00217C86"/>
    <w:rsid w:val="00217D2F"/>
    <w:rsid w:val="00217F45"/>
    <w:rsid w:val="0022011D"/>
    <w:rsid w:val="0022021F"/>
    <w:rsid w:val="0022027B"/>
    <w:rsid w:val="00220430"/>
    <w:rsid w:val="002204AC"/>
    <w:rsid w:val="002205F2"/>
    <w:rsid w:val="0022076E"/>
    <w:rsid w:val="0022083A"/>
    <w:rsid w:val="00220C07"/>
    <w:rsid w:val="00220CB3"/>
    <w:rsid w:val="00220CDB"/>
    <w:rsid w:val="00220D94"/>
    <w:rsid w:val="00220FC5"/>
    <w:rsid w:val="0022104A"/>
    <w:rsid w:val="0022189A"/>
    <w:rsid w:val="00221921"/>
    <w:rsid w:val="00221AAF"/>
    <w:rsid w:val="00221C61"/>
    <w:rsid w:val="00221FA8"/>
    <w:rsid w:val="002220A9"/>
    <w:rsid w:val="0022217D"/>
    <w:rsid w:val="00222401"/>
    <w:rsid w:val="0022248A"/>
    <w:rsid w:val="002226A6"/>
    <w:rsid w:val="002227D7"/>
    <w:rsid w:val="00222843"/>
    <w:rsid w:val="00222BAF"/>
    <w:rsid w:val="002230A1"/>
    <w:rsid w:val="0022315A"/>
    <w:rsid w:val="0022365E"/>
    <w:rsid w:val="0022369D"/>
    <w:rsid w:val="00223730"/>
    <w:rsid w:val="00223ABE"/>
    <w:rsid w:val="00223C37"/>
    <w:rsid w:val="00223CAB"/>
    <w:rsid w:val="00223D52"/>
    <w:rsid w:val="00223F91"/>
    <w:rsid w:val="00223FF1"/>
    <w:rsid w:val="00224083"/>
    <w:rsid w:val="0022409F"/>
    <w:rsid w:val="0022434E"/>
    <w:rsid w:val="00224364"/>
    <w:rsid w:val="00224375"/>
    <w:rsid w:val="002245B9"/>
    <w:rsid w:val="00224834"/>
    <w:rsid w:val="00224A9B"/>
    <w:rsid w:val="00224B4D"/>
    <w:rsid w:val="00224D42"/>
    <w:rsid w:val="00224DE4"/>
    <w:rsid w:val="00224F51"/>
    <w:rsid w:val="00225306"/>
    <w:rsid w:val="00225400"/>
    <w:rsid w:val="002255D3"/>
    <w:rsid w:val="00225793"/>
    <w:rsid w:val="00225A9C"/>
    <w:rsid w:val="00225DFC"/>
    <w:rsid w:val="002261FE"/>
    <w:rsid w:val="002264A9"/>
    <w:rsid w:val="0022650F"/>
    <w:rsid w:val="00226644"/>
    <w:rsid w:val="002266D9"/>
    <w:rsid w:val="00226804"/>
    <w:rsid w:val="002268F0"/>
    <w:rsid w:val="002269F3"/>
    <w:rsid w:val="00226BA8"/>
    <w:rsid w:val="00226D6B"/>
    <w:rsid w:val="00226E0E"/>
    <w:rsid w:val="00226F1E"/>
    <w:rsid w:val="00226F6E"/>
    <w:rsid w:val="00226FE1"/>
    <w:rsid w:val="00227335"/>
    <w:rsid w:val="00227419"/>
    <w:rsid w:val="0022766D"/>
    <w:rsid w:val="00227725"/>
    <w:rsid w:val="0022774B"/>
    <w:rsid w:val="002278C3"/>
    <w:rsid w:val="00227909"/>
    <w:rsid w:val="002279B6"/>
    <w:rsid w:val="00227BCF"/>
    <w:rsid w:val="00227C87"/>
    <w:rsid w:val="00227CC0"/>
    <w:rsid w:val="00227F4E"/>
    <w:rsid w:val="0023023D"/>
    <w:rsid w:val="0023027A"/>
    <w:rsid w:val="002302F0"/>
    <w:rsid w:val="0023030B"/>
    <w:rsid w:val="002306F9"/>
    <w:rsid w:val="002307A9"/>
    <w:rsid w:val="00230AC2"/>
    <w:rsid w:val="00230AC3"/>
    <w:rsid w:val="00230D2A"/>
    <w:rsid w:val="00230E85"/>
    <w:rsid w:val="0023159C"/>
    <w:rsid w:val="00231687"/>
    <w:rsid w:val="00231AB2"/>
    <w:rsid w:val="00231D86"/>
    <w:rsid w:val="00231E29"/>
    <w:rsid w:val="00231EB1"/>
    <w:rsid w:val="00231FAB"/>
    <w:rsid w:val="002323A2"/>
    <w:rsid w:val="002324BB"/>
    <w:rsid w:val="00232506"/>
    <w:rsid w:val="00232511"/>
    <w:rsid w:val="00232576"/>
    <w:rsid w:val="0023272A"/>
    <w:rsid w:val="002328E8"/>
    <w:rsid w:val="002328EA"/>
    <w:rsid w:val="00232A6C"/>
    <w:rsid w:val="00232BF1"/>
    <w:rsid w:val="00232FDF"/>
    <w:rsid w:val="00233120"/>
    <w:rsid w:val="0023319F"/>
    <w:rsid w:val="00233250"/>
    <w:rsid w:val="00233357"/>
    <w:rsid w:val="002333E4"/>
    <w:rsid w:val="002333E8"/>
    <w:rsid w:val="002333FB"/>
    <w:rsid w:val="00233641"/>
    <w:rsid w:val="002336BE"/>
    <w:rsid w:val="0023385C"/>
    <w:rsid w:val="00233961"/>
    <w:rsid w:val="00233D91"/>
    <w:rsid w:val="0023430C"/>
    <w:rsid w:val="002345A1"/>
    <w:rsid w:val="002345A7"/>
    <w:rsid w:val="00234819"/>
    <w:rsid w:val="0023481B"/>
    <w:rsid w:val="00234A56"/>
    <w:rsid w:val="00234B55"/>
    <w:rsid w:val="00234D3B"/>
    <w:rsid w:val="00234F9D"/>
    <w:rsid w:val="00235087"/>
    <w:rsid w:val="002351B3"/>
    <w:rsid w:val="002352DF"/>
    <w:rsid w:val="00235A39"/>
    <w:rsid w:val="00235A96"/>
    <w:rsid w:val="00235AFA"/>
    <w:rsid w:val="00235BD1"/>
    <w:rsid w:val="00235D4F"/>
    <w:rsid w:val="00235E1B"/>
    <w:rsid w:val="00236107"/>
    <w:rsid w:val="00236117"/>
    <w:rsid w:val="002363FE"/>
    <w:rsid w:val="002368C2"/>
    <w:rsid w:val="00236F6B"/>
    <w:rsid w:val="00236FB0"/>
    <w:rsid w:val="00237300"/>
    <w:rsid w:val="0023743E"/>
    <w:rsid w:val="00237FA8"/>
    <w:rsid w:val="00240047"/>
    <w:rsid w:val="002401F8"/>
    <w:rsid w:val="00240211"/>
    <w:rsid w:val="0024025F"/>
    <w:rsid w:val="0024028B"/>
    <w:rsid w:val="002403CE"/>
    <w:rsid w:val="00240561"/>
    <w:rsid w:val="002405AC"/>
    <w:rsid w:val="00240CC5"/>
    <w:rsid w:val="00240E72"/>
    <w:rsid w:val="00240E98"/>
    <w:rsid w:val="00240EB1"/>
    <w:rsid w:val="00240F50"/>
    <w:rsid w:val="00240FA7"/>
    <w:rsid w:val="002412EF"/>
    <w:rsid w:val="00241311"/>
    <w:rsid w:val="00241312"/>
    <w:rsid w:val="002416BA"/>
    <w:rsid w:val="002418D4"/>
    <w:rsid w:val="0024190D"/>
    <w:rsid w:val="00241D2D"/>
    <w:rsid w:val="00241DDD"/>
    <w:rsid w:val="00241E48"/>
    <w:rsid w:val="0024217A"/>
    <w:rsid w:val="002421D2"/>
    <w:rsid w:val="002421DE"/>
    <w:rsid w:val="00242329"/>
    <w:rsid w:val="002426B1"/>
    <w:rsid w:val="00242A62"/>
    <w:rsid w:val="00242B58"/>
    <w:rsid w:val="00242E07"/>
    <w:rsid w:val="00242E3E"/>
    <w:rsid w:val="002430A9"/>
    <w:rsid w:val="00243145"/>
    <w:rsid w:val="002432E0"/>
    <w:rsid w:val="00243593"/>
    <w:rsid w:val="00243B57"/>
    <w:rsid w:val="00243CA4"/>
    <w:rsid w:val="00243CCE"/>
    <w:rsid w:val="00243DEB"/>
    <w:rsid w:val="00243F5E"/>
    <w:rsid w:val="00243FF4"/>
    <w:rsid w:val="002443A1"/>
    <w:rsid w:val="00244449"/>
    <w:rsid w:val="002445D3"/>
    <w:rsid w:val="002446CF"/>
    <w:rsid w:val="002448B9"/>
    <w:rsid w:val="002448DA"/>
    <w:rsid w:val="00244B71"/>
    <w:rsid w:val="00244D29"/>
    <w:rsid w:val="00244F1D"/>
    <w:rsid w:val="00244FA1"/>
    <w:rsid w:val="00245301"/>
    <w:rsid w:val="002454C1"/>
    <w:rsid w:val="00245871"/>
    <w:rsid w:val="0024593C"/>
    <w:rsid w:val="00245A43"/>
    <w:rsid w:val="00245C86"/>
    <w:rsid w:val="00245CEE"/>
    <w:rsid w:val="00245D84"/>
    <w:rsid w:val="00245E27"/>
    <w:rsid w:val="002460E0"/>
    <w:rsid w:val="002465BF"/>
    <w:rsid w:val="002465C4"/>
    <w:rsid w:val="00246730"/>
    <w:rsid w:val="00246959"/>
    <w:rsid w:val="002469F7"/>
    <w:rsid w:val="00246A3A"/>
    <w:rsid w:val="00246A50"/>
    <w:rsid w:val="00246C5E"/>
    <w:rsid w:val="00246D97"/>
    <w:rsid w:val="00246F44"/>
    <w:rsid w:val="00246FC0"/>
    <w:rsid w:val="00247048"/>
    <w:rsid w:val="0024716F"/>
    <w:rsid w:val="00247200"/>
    <w:rsid w:val="002472E9"/>
    <w:rsid w:val="002472F6"/>
    <w:rsid w:val="00247320"/>
    <w:rsid w:val="00247330"/>
    <w:rsid w:val="002474C8"/>
    <w:rsid w:val="002478B9"/>
    <w:rsid w:val="00247A7A"/>
    <w:rsid w:val="00247B8B"/>
    <w:rsid w:val="00247BE2"/>
    <w:rsid w:val="00247F78"/>
    <w:rsid w:val="002500BD"/>
    <w:rsid w:val="002504DA"/>
    <w:rsid w:val="002508BF"/>
    <w:rsid w:val="00250C81"/>
    <w:rsid w:val="002511A3"/>
    <w:rsid w:val="002512EB"/>
    <w:rsid w:val="002513DC"/>
    <w:rsid w:val="002514DD"/>
    <w:rsid w:val="002516A1"/>
    <w:rsid w:val="002516EA"/>
    <w:rsid w:val="002519EA"/>
    <w:rsid w:val="00251ABA"/>
    <w:rsid w:val="00251B5F"/>
    <w:rsid w:val="00251D61"/>
    <w:rsid w:val="00251E51"/>
    <w:rsid w:val="00251FB4"/>
    <w:rsid w:val="00251FB5"/>
    <w:rsid w:val="002520EE"/>
    <w:rsid w:val="002521FD"/>
    <w:rsid w:val="00252835"/>
    <w:rsid w:val="00252AF1"/>
    <w:rsid w:val="00252FC4"/>
    <w:rsid w:val="002532BF"/>
    <w:rsid w:val="002532D8"/>
    <w:rsid w:val="002532FA"/>
    <w:rsid w:val="0025334E"/>
    <w:rsid w:val="002535A9"/>
    <w:rsid w:val="002536E7"/>
    <w:rsid w:val="00253859"/>
    <w:rsid w:val="002538ED"/>
    <w:rsid w:val="002538FB"/>
    <w:rsid w:val="002541AC"/>
    <w:rsid w:val="0025471F"/>
    <w:rsid w:val="00254899"/>
    <w:rsid w:val="00254D10"/>
    <w:rsid w:val="0025504D"/>
    <w:rsid w:val="0025514A"/>
    <w:rsid w:val="002552A1"/>
    <w:rsid w:val="00255617"/>
    <w:rsid w:val="002556F4"/>
    <w:rsid w:val="00255F53"/>
    <w:rsid w:val="002561E8"/>
    <w:rsid w:val="0025628B"/>
    <w:rsid w:val="002563AB"/>
    <w:rsid w:val="002568D3"/>
    <w:rsid w:val="00256D54"/>
    <w:rsid w:val="00256F2B"/>
    <w:rsid w:val="00256FBD"/>
    <w:rsid w:val="0025709E"/>
    <w:rsid w:val="0025784C"/>
    <w:rsid w:val="00257A96"/>
    <w:rsid w:val="00257C30"/>
    <w:rsid w:val="00257C44"/>
    <w:rsid w:val="00260283"/>
    <w:rsid w:val="00260339"/>
    <w:rsid w:val="00260633"/>
    <w:rsid w:val="00260635"/>
    <w:rsid w:val="002606B4"/>
    <w:rsid w:val="00260A75"/>
    <w:rsid w:val="00260B08"/>
    <w:rsid w:val="00260CB7"/>
    <w:rsid w:val="00260FBA"/>
    <w:rsid w:val="002612E4"/>
    <w:rsid w:val="002613A9"/>
    <w:rsid w:val="0026152D"/>
    <w:rsid w:val="00261588"/>
    <w:rsid w:val="00261C6F"/>
    <w:rsid w:val="00261DE9"/>
    <w:rsid w:val="002625DE"/>
    <w:rsid w:val="002629EA"/>
    <w:rsid w:val="00262D47"/>
    <w:rsid w:val="00262DF0"/>
    <w:rsid w:val="0026307B"/>
    <w:rsid w:val="002636F1"/>
    <w:rsid w:val="00263964"/>
    <w:rsid w:val="00263A76"/>
    <w:rsid w:val="00263AB6"/>
    <w:rsid w:val="00263D65"/>
    <w:rsid w:val="00263EE5"/>
    <w:rsid w:val="00263FFE"/>
    <w:rsid w:val="002640FE"/>
    <w:rsid w:val="00264DB4"/>
    <w:rsid w:val="002650EE"/>
    <w:rsid w:val="00265617"/>
    <w:rsid w:val="002659A4"/>
    <w:rsid w:val="00265B72"/>
    <w:rsid w:val="00265D0A"/>
    <w:rsid w:val="002660EE"/>
    <w:rsid w:val="0026619B"/>
    <w:rsid w:val="00266331"/>
    <w:rsid w:val="00266353"/>
    <w:rsid w:val="00266AAB"/>
    <w:rsid w:val="00266CD3"/>
    <w:rsid w:val="00266E14"/>
    <w:rsid w:val="00266E84"/>
    <w:rsid w:val="00266FB7"/>
    <w:rsid w:val="002677D7"/>
    <w:rsid w:val="002678A4"/>
    <w:rsid w:val="00267C3C"/>
    <w:rsid w:val="00267FAE"/>
    <w:rsid w:val="00270104"/>
    <w:rsid w:val="00270161"/>
    <w:rsid w:val="002705EC"/>
    <w:rsid w:val="00270617"/>
    <w:rsid w:val="00270A32"/>
    <w:rsid w:val="00270EFC"/>
    <w:rsid w:val="00271180"/>
    <w:rsid w:val="00271348"/>
    <w:rsid w:val="002713D7"/>
    <w:rsid w:val="00271621"/>
    <w:rsid w:val="00271630"/>
    <w:rsid w:val="0027167C"/>
    <w:rsid w:val="002716A6"/>
    <w:rsid w:val="00271965"/>
    <w:rsid w:val="00271B7A"/>
    <w:rsid w:val="00271C6A"/>
    <w:rsid w:val="00271CEA"/>
    <w:rsid w:val="00271F1C"/>
    <w:rsid w:val="00272400"/>
    <w:rsid w:val="002725DF"/>
    <w:rsid w:val="00272641"/>
    <w:rsid w:val="00272671"/>
    <w:rsid w:val="00272C6C"/>
    <w:rsid w:val="00272F7B"/>
    <w:rsid w:val="00273041"/>
    <w:rsid w:val="00273128"/>
    <w:rsid w:val="00273245"/>
    <w:rsid w:val="00273287"/>
    <w:rsid w:val="002732DE"/>
    <w:rsid w:val="002732E3"/>
    <w:rsid w:val="0027350B"/>
    <w:rsid w:val="00273582"/>
    <w:rsid w:val="00273A24"/>
    <w:rsid w:val="00273A76"/>
    <w:rsid w:val="00273C4D"/>
    <w:rsid w:val="00273FBE"/>
    <w:rsid w:val="0027416E"/>
    <w:rsid w:val="00274335"/>
    <w:rsid w:val="002743D0"/>
    <w:rsid w:val="002745FF"/>
    <w:rsid w:val="002748DC"/>
    <w:rsid w:val="00274F74"/>
    <w:rsid w:val="002750AD"/>
    <w:rsid w:val="00275329"/>
    <w:rsid w:val="00275342"/>
    <w:rsid w:val="00275414"/>
    <w:rsid w:val="0027581B"/>
    <w:rsid w:val="00275B8A"/>
    <w:rsid w:val="00275DF7"/>
    <w:rsid w:val="00275E01"/>
    <w:rsid w:val="002761EE"/>
    <w:rsid w:val="002762E3"/>
    <w:rsid w:val="0027644C"/>
    <w:rsid w:val="002765D2"/>
    <w:rsid w:val="002766D9"/>
    <w:rsid w:val="0027682F"/>
    <w:rsid w:val="002768D0"/>
    <w:rsid w:val="00276B52"/>
    <w:rsid w:val="00276D4A"/>
    <w:rsid w:val="00276DD0"/>
    <w:rsid w:val="0027728A"/>
    <w:rsid w:val="00277771"/>
    <w:rsid w:val="00277AF8"/>
    <w:rsid w:val="00277BD7"/>
    <w:rsid w:val="00277C84"/>
    <w:rsid w:val="00277D41"/>
    <w:rsid w:val="00277D6E"/>
    <w:rsid w:val="00277D7D"/>
    <w:rsid w:val="00277D97"/>
    <w:rsid w:val="00277F29"/>
    <w:rsid w:val="00280008"/>
    <w:rsid w:val="00280074"/>
    <w:rsid w:val="002804AA"/>
    <w:rsid w:val="002805C9"/>
    <w:rsid w:val="0028105C"/>
    <w:rsid w:val="0028107A"/>
    <w:rsid w:val="002811ED"/>
    <w:rsid w:val="00281564"/>
    <w:rsid w:val="002816E3"/>
    <w:rsid w:val="0028183F"/>
    <w:rsid w:val="00281B2C"/>
    <w:rsid w:val="00281F82"/>
    <w:rsid w:val="002824C3"/>
    <w:rsid w:val="00282614"/>
    <w:rsid w:val="0028268A"/>
    <w:rsid w:val="002826A7"/>
    <w:rsid w:val="002826A9"/>
    <w:rsid w:val="00282960"/>
    <w:rsid w:val="00282D3E"/>
    <w:rsid w:val="00282DED"/>
    <w:rsid w:val="00283045"/>
    <w:rsid w:val="002830EF"/>
    <w:rsid w:val="002831C5"/>
    <w:rsid w:val="002831D4"/>
    <w:rsid w:val="00283285"/>
    <w:rsid w:val="00283352"/>
    <w:rsid w:val="00283369"/>
    <w:rsid w:val="00283424"/>
    <w:rsid w:val="00283AB8"/>
    <w:rsid w:val="00283D0A"/>
    <w:rsid w:val="00283DD1"/>
    <w:rsid w:val="00283EC8"/>
    <w:rsid w:val="002840B8"/>
    <w:rsid w:val="002840D9"/>
    <w:rsid w:val="002843A3"/>
    <w:rsid w:val="002843B1"/>
    <w:rsid w:val="0028441E"/>
    <w:rsid w:val="002844DA"/>
    <w:rsid w:val="002845CA"/>
    <w:rsid w:val="00284D3A"/>
    <w:rsid w:val="00284FD6"/>
    <w:rsid w:val="002850F0"/>
    <w:rsid w:val="0028563B"/>
    <w:rsid w:val="0028564E"/>
    <w:rsid w:val="00285714"/>
    <w:rsid w:val="00285858"/>
    <w:rsid w:val="002858EA"/>
    <w:rsid w:val="00285A01"/>
    <w:rsid w:val="00285A84"/>
    <w:rsid w:val="00285B0D"/>
    <w:rsid w:val="00285BE6"/>
    <w:rsid w:val="00285CB9"/>
    <w:rsid w:val="00285CD2"/>
    <w:rsid w:val="00285DE8"/>
    <w:rsid w:val="0028604E"/>
    <w:rsid w:val="002861A1"/>
    <w:rsid w:val="0028621A"/>
    <w:rsid w:val="0028632E"/>
    <w:rsid w:val="00286849"/>
    <w:rsid w:val="00286853"/>
    <w:rsid w:val="002869AC"/>
    <w:rsid w:val="00286B43"/>
    <w:rsid w:val="00286CC4"/>
    <w:rsid w:val="00286E16"/>
    <w:rsid w:val="00287093"/>
    <w:rsid w:val="002871AF"/>
    <w:rsid w:val="00287638"/>
    <w:rsid w:val="00287792"/>
    <w:rsid w:val="00287811"/>
    <w:rsid w:val="002878BA"/>
    <w:rsid w:val="00287943"/>
    <w:rsid w:val="0029016D"/>
    <w:rsid w:val="0029022A"/>
    <w:rsid w:val="002908CC"/>
    <w:rsid w:val="002909E4"/>
    <w:rsid w:val="00290D2C"/>
    <w:rsid w:val="00290DA1"/>
    <w:rsid w:val="00290DD6"/>
    <w:rsid w:val="002910B8"/>
    <w:rsid w:val="002912B4"/>
    <w:rsid w:val="002913F2"/>
    <w:rsid w:val="00291539"/>
    <w:rsid w:val="00291762"/>
    <w:rsid w:val="00291836"/>
    <w:rsid w:val="002918DD"/>
    <w:rsid w:val="002918FB"/>
    <w:rsid w:val="00291BD5"/>
    <w:rsid w:val="00291D09"/>
    <w:rsid w:val="00291D83"/>
    <w:rsid w:val="00291EF5"/>
    <w:rsid w:val="00292088"/>
    <w:rsid w:val="00292096"/>
    <w:rsid w:val="0029229B"/>
    <w:rsid w:val="002922A9"/>
    <w:rsid w:val="00292355"/>
    <w:rsid w:val="0029264D"/>
    <w:rsid w:val="00292949"/>
    <w:rsid w:val="00292984"/>
    <w:rsid w:val="00292A07"/>
    <w:rsid w:val="00292A4B"/>
    <w:rsid w:val="00292B10"/>
    <w:rsid w:val="00292B2C"/>
    <w:rsid w:val="00292C55"/>
    <w:rsid w:val="00292DF7"/>
    <w:rsid w:val="00292E18"/>
    <w:rsid w:val="002930F2"/>
    <w:rsid w:val="002932EE"/>
    <w:rsid w:val="00293842"/>
    <w:rsid w:val="0029389D"/>
    <w:rsid w:val="00293C3D"/>
    <w:rsid w:val="00293CB9"/>
    <w:rsid w:val="00293E79"/>
    <w:rsid w:val="00293EC0"/>
    <w:rsid w:val="0029412B"/>
    <w:rsid w:val="0029423F"/>
    <w:rsid w:val="00294244"/>
    <w:rsid w:val="00294283"/>
    <w:rsid w:val="00294499"/>
    <w:rsid w:val="00294519"/>
    <w:rsid w:val="00294563"/>
    <w:rsid w:val="00294BEF"/>
    <w:rsid w:val="0029530C"/>
    <w:rsid w:val="00295363"/>
    <w:rsid w:val="0029543D"/>
    <w:rsid w:val="00295445"/>
    <w:rsid w:val="00295580"/>
    <w:rsid w:val="002957E5"/>
    <w:rsid w:val="00295AA7"/>
    <w:rsid w:val="00295B94"/>
    <w:rsid w:val="00295D71"/>
    <w:rsid w:val="00295E48"/>
    <w:rsid w:val="00295E5F"/>
    <w:rsid w:val="00295FA1"/>
    <w:rsid w:val="0029625E"/>
    <w:rsid w:val="00296281"/>
    <w:rsid w:val="00296455"/>
    <w:rsid w:val="00296751"/>
    <w:rsid w:val="002968DE"/>
    <w:rsid w:val="00296A14"/>
    <w:rsid w:val="00296A51"/>
    <w:rsid w:val="00296BB4"/>
    <w:rsid w:val="00296CDD"/>
    <w:rsid w:val="00296FDA"/>
    <w:rsid w:val="00297035"/>
    <w:rsid w:val="00297070"/>
    <w:rsid w:val="00297089"/>
    <w:rsid w:val="002970FC"/>
    <w:rsid w:val="00297143"/>
    <w:rsid w:val="002975BF"/>
    <w:rsid w:val="0029769D"/>
    <w:rsid w:val="002978FA"/>
    <w:rsid w:val="002979A4"/>
    <w:rsid w:val="00297A72"/>
    <w:rsid w:val="00297C65"/>
    <w:rsid w:val="00297D90"/>
    <w:rsid w:val="002A0275"/>
    <w:rsid w:val="002A0426"/>
    <w:rsid w:val="002A0779"/>
    <w:rsid w:val="002A0821"/>
    <w:rsid w:val="002A085B"/>
    <w:rsid w:val="002A0BDB"/>
    <w:rsid w:val="002A0C4F"/>
    <w:rsid w:val="002A0C68"/>
    <w:rsid w:val="002A0D14"/>
    <w:rsid w:val="002A159E"/>
    <w:rsid w:val="002A1651"/>
    <w:rsid w:val="002A1692"/>
    <w:rsid w:val="002A16D1"/>
    <w:rsid w:val="002A1932"/>
    <w:rsid w:val="002A1B18"/>
    <w:rsid w:val="002A1B76"/>
    <w:rsid w:val="002A1D8A"/>
    <w:rsid w:val="002A1FDF"/>
    <w:rsid w:val="002A21FA"/>
    <w:rsid w:val="002A2358"/>
    <w:rsid w:val="002A2652"/>
    <w:rsid w:val="002A292C"/>
    <w:rsid w:val="002A2A85"/>
    <w:rsid w:val="002A2AF6"/>
    <w:rsid w:val="002A2B3C"/>
    <w:rsid w:val="002A2C2F"/>
    <w:rsid w:val="002A2FB2"/>
    <w:rsid w:val="002A3200"/>
    <w:rsid w:val="002A3637"/>
    <w:rsid w:val="002A3639"/>
    <w:rsid w:val="002A3643"/>
    <w:rsid w:val="002A3831"/>
    <w:rsid w:val="002A3A58"/>
    <w:rsid w:val="002A3E27"/>
    <w:rsid w:val="002A3F2F"/>
    <w:rsid w:val="002A3F80"/>
    <w:rsid w:val="002A40AE"/>
    <w:rsid w:val="002A40F4"/>
    <w:rsid w:val="002A4204"/>
    <w:rsid w:val="002A4243"/>
    <w:rsid w:val="002A44BA"/>
    <w:rsid w:val="002A485B"/>
    <w:rsid w:val="002A49C9"/>
    <w:rsid w:val="002A49E1"/>
    <w:rsid w:val="002A4BE9"/>
    <w:rsid w:val="002A4C57"/>
    <w:rsid w:val="002A4D72"/>
    <w:rsid w:val="002A53E5"/>
    <w:rsid w:val="002A5429"/>
    <w:rsid w:val="002A54DD"/>
    <w:rsid w:val="002A5521"/>
    <w:rsid w:val="002A554A"/>
    <w:rsid w:val="002A567D"/>
    <w:rsid w:val="002A5700"/>
    <w:rsid w:val="002A5B15"/>
    <w:rsid w:val="002A5FC8"/>
    <w:rsid w:val="002A6127"/>
    <w:rsid w:val="002A6317"/>
    <w:rsid w:val="002A66DB"/>
    <w:rsid w:val="002A6712"/>
    <w:rsid w:val="002A6770"/>
    <w:rsid w:val="002A67BD"/>
    <w:rsid w:val="002A688E"/>
    <w:rsid w:val="002A6989"/>
    <w:rsid w:val="002A6A6E"/>
    <w:rsid w:val="002A6B57"/>
    <w:rsid w:val="002A6C17"/>
    <w:rsid w:val="002A6F74"/>
    <w:rsid w:val="002A6F9F"/>
    <w:rsid w:val="002A6FB8"/>
    <w:rsid w:val="002A704C"/>
    <w:rsid w:val="002A739C"/>
    <w:rsid w:val="002A7670"/>
    <w:rsid w:val="002A7887"/>
    <w:rsid w:val="002A790F"/>
    <w:rsid w:val="002A7AB2"/>
    <w:rsid w:val="002A7C53"/>
    <w:rsid w:val="002A7DC4"/>
    <w:rsid w:val="002A7F7E"/>
    <w:rsid w:val="002A7FD3"/>
    <w:rsid w:val="002B00C4"/>
    <w:rsid w:val="002B0689"/>
    <w:rsid w:val="002B0765"/>
    <w:rsid w:val="002B081B"/>
    <w:rsid w:val="002B085A"/>
    <w:rsid w:val="002B0B21"/>
    <w:rsid w:val="002B0BA7"/>
    <w:rsid w:val="002B0F88"/>
    <w:rsid w:val="002B0F96"/>
    <w:rsid w:val="002B0FD3"/>
    <w:rsid w:val="002B126E"/>
    <w:rsid w:val="002B12B9"/>
    <w:rsid w:val="002B14DF"/>
    <w:rsid w:val="002B1566"/>
    <w:rsid w:val="002B18CD"/>
    <w:rsid w:val="002B1A62"/>
    <w:rsid w:val="002B1AC4"/>
    <w:rsid w:val="002B1B12"/>
    <w:rsid w:val="002B1CA0"/>
    <w:rsid w:val="002B1E28"/>
    <w:rsid w:val="002B2551"/>
    <w:rsid w:val="002B2574"/>
    <w:rsid w:val="002B2827"/>
    <w:rsid w:val="002B291A"/>
    <w:rsid w:val="002B2AA6"/>
    <w:rsid w:val="002B2E29"/>
    <w:rsid w:val="002B2E74"/>
    <w:rsid w:val="002B2F57"/>
    <w:rsid w:val="002B2FCC"/>
    <w:rsid w:val="002B2FEC"/>
    <w:rsid w:val="002B319D"/>
    <w:rsid w:val="002B31B1"/>
    <w:rsid w:val="002B36F4"/>
    <w:rsid w:val="002B3725"/>
    <w:rsid w:val="002B37DD"/>
    <w:rsid w:val="002B3ADA"/>
    <w:rsid w:val="002B3FCB"/>
    <w:rsid w:val="002B406D"/>
    <w:rsid w:val="002B4095"/>
    <w:rsid w:val="002B40B9"/>
    <w:rsid w:val="002B43B1"/>
    <w:rsid w:val="002B456F"/>
    <w:rsid w:val="002B460A"/>
    <w:rsid w:val="002B4630"/>
    <w:rsid w:val="002B466F"/>
    <w:rsid w:val="002B46AA"/>
    <w:rsid w:val="002B4721"/>
    <w:rsid w:val="002B4817"/>
    <w:rsid w:val="002B48D1"/>
    <w:rsid w:val="002B4A3E"/>
    <w:rsid w:val="002B4B57"/>
    <w:rsid w:val="002B4B7A"/>
    <w:rsid w:val="002B4C3F"/>
    <w:rsid w:val="002B4D16"/>
    <w:rsid w:val="002B4D1E"/>
    <w:rsid w:val="002B4DBC"/>
    <w:rsid w:val="002B4F15"/>
    <w:rsid w:val="002B4FEF"/>
    <w:rsid w:val="002B55DB"/>
    <w:rsid w:val="002B5779"/>
    <w:rsid w:val="002B5BE3"/>
    <w:rsid w:val="002B5D7B"/>
    <w:rsid w:val="002B5F71"/>
    <w:rsid w:val="002B628C"/>
    <w:rsid w:val="002B64B4"/>
    <w:rsid w:val="002B6543"/>
    <w:rsid w:val="002B6724"/>
    <w:rsid w:val="002B69B6"/>
    <w:rsid w:val="002B69F8"/>
    <w:rsid w:val="002B6A88"/>
    <w:rsid w:val="002B6B0B"/>
    <w:rsid w:val="002B6FBF"/>
    <w:rsid w:val="002B6FFC"/>
    <w:rsid w:val="002B7198"/>
    <w:rsid w:val="002B727E"/>
    <w:rsid w:val="002B73EE"/>
    <w:rsid w:val="002B75A8"/>
    <w:rsid w:val="002B771C"/>
    <w:rsid w:val="002B7941"/>
    <w:rsid w:val="002B7BD7"/>
    <w:rsid w:val="002B7D10"/>
    <w:rsid w:val="002B7E4F"/>
    <w:rsid w:val="002C0043"/>
    <w:rsid w:val="002C00C3"/>
    <w:rsid w:val="002C00CA"/>
    <w:rsid w:val="002C013D"/>
    <w:rsid w:val="002C0212"/>
    <w:rsid w:val="002C0399"/>
    <w:rsid w:val="002C041D"/>
    <w:rsid w:val="002C05A1"/>
    <w:rsid w:val="002C05CD"/>
    <w:rsid w:val="002C0B5D"/>
    <w:rsid w:val="002C0B9D"/>
    <w:rsid w:val="002C1281"/>
    <w:rsid w:val="002C12D9"/>
    <w:rsid w:val="002C1329"/>
    <w:rsid w:val="002C14B7"/>
    <w:rsid w:val="002C188F"/>
    <w:rsid w:val="002C1924"/>
    <w:rsid w:val="002C1988"/>
    <w:rsid w:val="002C1B3F"/>
    <w:rsid w:val="002C1C66"/>
    <w:rsid w:val="002C2089"/>
    <w:rsid w:val="002C2294"/>
    <w:rsid w:val="002C241A"/>
    <w:rsid w:val="002C26DE"/>
    <w:rsid w:val="002C26ED"/>
    <w:rsid w:val="002C2B1B"/>
    <w:rsid w:val="002C2BBB"/>
    <w:rsid w:val="002C2C9E"/>
    <w:rsid w:val="002C2FCF"/>
    <w:rsid w:val="002C300D"/>
    <w:rsid w:val="002C3209"/>
    <w:rsid w:val="002C36B9"/>
    <w:rsid w:val="002C3782"/>
    <w:rsid w:val="002C37F2"/>
    <w:rsid w:val="002C3807"/>
    <w:rsid w:val="002C387C"/>
    <w:rsid w:val="002C3C68"/>
    <w:rsid w:val="002C3ECB"/>
    <w:rsid w:val="002C403D"/>
    <w:rsid w:val="002C425D"/>
    <w:rsid w:val="002C47A7"/>
    <w:rsid w:val="002C47E2"/>
    <w:rsid w:val="002C494F"/>
    <w:rsid w:val="002C4BAC"/>
    <w:rsid w:val="002C4BF2"/>
    <w:rsid w:val="002C4E82"/>
    <w:rsid w:val="002C4F9D"/>
    <w:rsid w:val="002C517E"/>
    <w:rsid w:val="002C51E6"/>
    <w:rsid w:val="002C52ED"/>
    <w:rsid w:val="002C52F1"/>
    <w:rsid w:val="002C5681"/>
    <w:rsid w:val="002C58B2"/>
    <w:rsid w:val="002C58BC"/>
    <w:rsid w:val="002C5934"/>
    <w:rsid w:val="002C5C32"/>
    <w:rsid w:val="002C5FF4"/>
    <w:rsid w:val="002C6213"/>
    <w:rsid w:val="002C6245"/>
    <w:rsid w:val="002C654E"/>
    <w:rsid w:val="002C6597"/>
    <w:rsid w:val="002C65B4"/>
    <w:rsid w:val="002C66FF"/>
    <w:rsid w:val="002C675D"/>
    <w:rsid w:val="002C6788"/>
    <w:rsid w:val="002C681E"/>
    <w:rsid w:val="002C691C"/>
    <w:rsid w:val="002C6B14"/>
    <w:rsid w:val="002C6B40"/>
    <w:rsid w:val="002C6BDA"/>
    <w:rsid w:val="002C6BF0"/>
    <w:rsid w:val="002C6DE5"/>
    <w:rsid w:val="002C6FC2"/>
    <w:rsid w:val="002C703B"/>
    <w:rsid w:val="002C711D"/>
    <w:rsid w:val="002C7177"/>
    <w:rsid w:val="002C7205"/>
    <w:rsid w:val="002C72CB"/>
    <w:rsid w:val="002C74E0"/>
    <w:rsid w:val="002C76D1"/>
    <w:rsid w:val="002C7831"/>
    <w:rsid w:val="002C7947"/>
    <w:rsid w:val="002C7BA5"/>
    <w:rsid w:val="002C7CE5"/>
    <w:rsid w:val="002C7D41"/>
    <w:rsid w:val="002C7F50"/>
    <w:rsid w:val="002C7FB3"/>
    <w:rsid w:val="002D021C"/>
    <w:rsid w:val="002D054A"/>
    <w:rsid w:val="002D07DD"/>
    <w:rsid w:val="002D0D19"/>
    <w:rsid w:val="002D0E03"/>
    <w:rsid w:val="002D0F3E"/>
    <w:rsid w:val="002D0F76"/>
    <w:rsid w:val="002D109B"/>
    <w:rsid w:val="002D13E2"/>
    <w:rsid w:val="002D14EC"/>
    <w:rsid w:val="002D16B4"/>
    <w:rsid w:val="002D1746"/>
    <w:rsid w:val="002D17B7"/>
    <w:rsid w:val="002D1A63"/>
    <w:rsid w:val="002D1B78"/>
    <w:rsid w:val="002D1C52"/>
    <w:rsid w:val="002D1CA7"/>
    <w:rsid w:val="002D1D31"/>
    <w:rsid w:val="002D1FAD"/>
    <w:rsid w:val="002D22AF"/>
    <w:rsid w:val="002D2369"/>
    <w:rsid w:val="002D2693"/>
    <w:rsid w:val="002D26A8"/>
    <w:rsid w:val="002D2847"/>
    <w:rsid w:val="002D290B"/>
    <w:rsid w:val="002D295E"/>
    <w:rsid w:val="002D2B3D"/>
    <w:rsid w:val="002D2C03"/>
    <w:rsid w:val="002D2C7E"/>
    <w:rsid w:val="002D2E20"/>
    <w:rsid w:val="002D2E76"/>
    <w:rsid w:val="002D2EEE"/>
    <w:rsid w:val="002D301F"/>
    <w:rsid w:val="002D3193"/>
    <w:rsid w:val="002D3306"/>
    <w:rsid w:val="002D3307"/>
    <w:rsid w:val="002D3332"/>
    <w:rsid w:val="002D355A"/>
    <w:rsid w:val="002D36FA"/>
    <w:rsid w:val="002D3970"/>
    <w:rsid w:val="002D3A4E"/>
    <w:rsid w:val="002D3B7C"/>
    <w:rsid w:val="002D4033"/>
    <w:rsid w:val="002D4059"/>
    <w:rsid w:val="002D425E"/>
    <w:rsid w:val="002D4317"/>
    <w:rsid w:val="002D43C6"/>
    <w:rsid w:val="002D4775"/>
    <w:rsid w:val="002D4A62"/>
    <w:rsid w:val="002D4D65"/>
    <w:rsid w:val="002D4ED2"/>
    <w:rsid w:val="002D5051"/>
    <w:rsid w:val="002D5167"/>
    <w:rsid w:val="002D5337"/>
    <w:rsid w:val="002D5538"/>
    <w:rsid w:val="002D5A62"/>
    <w:rsid w:val="002D5AF8"/>
    <w:rsid w:val="002D5C86"/>
    <w:rsid w:val="002D5D0A"/>
    <w:rsid w:val="002D5E20"/>
    <w:rsid w:val="002D5EB1"/>
    <w:rsid w:val="002D5F1F"/>
    <w:rsid w:val="002D5F2F"/>
    <w:rsid w:val="002D5F44"/>
    <w:rsid w:val="002D6358"/>
    <w:rsid w:val="002D65B9"/>
    <w:rsid w:val="002D671C"/>
    <w:rsid w:val="002D67CF"/>
    <w:rsid w:val="002D69E3"/>
    <w:rsid w:val="002D6F44"/>
    <w:rsid w:val="002D752B"/>
    <w:rsid w:val="002D76B0"/>
    <w:rsid w:val="002D777F"/>
    <w:rsid w:val="002D7859"/>
    <w:rsid w:val="002D78E1"/>
    <w:rsid w:val="002D7CF8"/>
    <w:rsid w:val="002D7D21"/>
    <w:rsid w:val="002D7F88"/>
    <w:rsid w:val="002D7FE6"/>
    <w:rsid w:val="002E026F"/>
    <w:rsid w:val="002E0280"/>
    <w:rsid w:val="002E078F"/>
    <w:rsid w:val="002E0D51"/>
    <w:rsid w:val="002E0F62"/>
    <w:rsid w:val="002E118D"/>
    <w:rsid w:val="002E13BF"/>
    <w:rsid w:val="002E165D"/>
    <w:rsid w:val="002E171E"/>
    <w:rsid w:val="002E17E1"/>
    <w:rsid w:val="002E1B84"/>
    <w:rsid w:val="002E1D04"/>
    <w:rsid w:val="002E1DDC"/>
    <w:rsid w:val="002E1E99"/>
    <w:rsid w:val="002E1EF8"/>
    <w:rsid w:val="002E1FDB"/>
    <w:rsid w:val="002E2393"/>
    <w:rsid w:val="002E24E8"/>
    <w:rsid w:val="002E2576"/>
    <w:rsid w:val="002E2996"/>
    <w:rsid w:val="002E2BD4"/>
    <w:rsid w:val="002E2E69"/>
    <w:rsid w:val="002E2E6E"/>
    <w:rsid w:val="002E2F93"/>
    <w:rsid w:val="002E3256"/>
    <w:rsid w:val="002E3360"/>
    <w:rsid w:val="002E36DB"/>
    <w:rsid w:val="002E3B1C"/>
    <w:rsid w:val="002E3E3D"/>
    <w:rsid w:val="002E3F3B"/>
    <w:rsid w:val="002E3F57"/>
    <w:rsid w:val="002E4267"/>
    <w:rsid w:val="002E42D4"/>
    <w:rsid w:val="002E431C"/>
    <w:rsid w:val="002E43A8"/>
    <w:rsid w:val="002E4484"/>
    <w:rsid w:val="002E4774"/>
    <w:rsid w:val="002E4C21"/>
    <w:rsid w:val="002E52FE"/>
    <w:rsid w:val="002E5496"/>
    <w:rsid w:val="002E5677"/>
    <w:rsid w:val="002E56C6"/>
    <w:rsid w:val="002E5B43"/>
    <w:rsid w:val="002E633D"/>
    <w:rsid w:val="002E6659"/>
    <w:rsid w:val="002E6779"/>
    <w:rsid w:val="002E6991"/>
    <w:rsid w:val="002E69AA"/>
    <w:rsid w:val="002E69EB"/>
    <w:rsid w:val="002E6ADE"/>
    <w:rsid w:val="002E6D69"/>
    <w:rsid w:val="002E6EE8"/>
    <w:rsid w:val="002E71D2"/>
    <w:rsid w:val="002E7251"/>
    <w:rsid w:val="002E79B9"/>
    <w:rsid w:val="002E79BD"/>
    <w:rsid w:val="002E7C51"/>
    <w:rsid w:val="002E7E58"/>
    <w:rsid w:val="002E7EC2"/>
    <w:rsid w:val="002F01A5"/>
    <w:rsid w:val="002F0232"/>
    <w:rsid w:val="002F05C5"/>
    <w:rsid w:val="002F061D"/>
    <w:rsid w:val="002F0632"/>
    <w:rsid w:val="002F0816"/>
    <w:rsid w:val="002F0EA8"/>
    <w:rsid w:val="002F0F04"/>
    <w:rsid w:val="002F1263"/>
    <w:rsid w:val="002F130B"/>
    <w:rsid w:val="002F137C"/>
    <w:rsid w:val="002F1646"/>
    <w:rsid w:val="002F16A3"/>
    <w:rsid w:val="002F177B"/>
    <w:rsid w:val="002F1929"/>
    <w:rsid w:val="002F1A2C"/>
    <w:rsid w:val="002F1B2B"/>
    <w:rsid w:val="002F1ED4"/>
    <w:rsid w:val="002F2022"/>
    <w:rsid w:val="002F2028"/>
    <w:rsid w:val="002F221E"/>
    <w:rsid w:val="002F229F"/>
    <w:rsid w:val="002F22AD"/>
    <w:rsid w:val="002F232E"/>
    <w:rsid w:val="002F238F"/>
    <w:rsid w:val="002F244B"/>
    <w:rsid w:val="002F2577"/>
    <w:rsid w:val="002F26EA"/>
    <w:rsid w:val="002F29A3"/>
    <w:rsid w:val="002F2C8D"/>
    <w:rsid w:val="002F2E5F"/>
    <w:rsid w:val="002F2EA5"/>
    <w:rsid w:val="002F302D"/>
    <w:rsid w:val="002F323C"/>
    <w:rsid w:val="002F343F"/>
    <w:rsid w:val="002F3479"/>
    <w:rsid w:val="002F35AF"/>
    <w:rsid w:val="002F36AD"/>
    <w:rsid w:val="002F378D"/>
    <w:rsid w:val="002F387F"/>
    <w:rsid w:val="002F3B62"/>
    <w:rsid w:val="002F3C0A"/>
    <w:rsid w:val="002F3CF6"/>
    <w:rsid w:val="002F3D22"/>
    <w:rsid w:val="002F3EBF"/>
    <w:rsid w:val="002F4214"/>
    <w:rsid w:val="002F42FD"/>
    <w:rsid w:val="002F4346"/>
    <w:rsid w:val="002F43EF"/>
    <w:rsid w:val="002F44C4"/>
    <w:rsid w:val="002F4C73"/>
    <w:rsid w:val="002F4DF2"/>
    <w:rsid w:val="002F4E0E"/>
    <w:rsid w:val="002F5121"/>
    <w:rsid w:val="002F526A"/>
    <w:rsid w:val="002F5348"/>
    <w:rsid w:val="002F54D9"/>
    <w:rsid w:val="002F5622"/>
    <w:rsid w:val="002F5689"/>
    <w:rsid w:val="002F5706"/>
    <w:rsid w:val="002F5770"/>
    <w:rsid w:val="002F57B9"/>
    <w:rsid w:val="002F5876"/>
    <w:rsid w:val="002F5996"/>
    <w:rsid w:val="002F5A85"/>
    <w:rsid w:val="002F5BBB"/>
    <w:rsid w:val="002F5D4C"/>
    <w:rsid w:val="002F5E3B"/>
    <w:rsid w:val="002F5F4F"/>
    <w:rsid w:val="002F60BF"/>
    <w:rsid w:val="002F6116"/>
    <w:rsid w:val="002F6265"/>
    <w:rsid w:val="002F62A7"/>
    <w:rsid w:val="002F62BB"/>
    <w:rsid w:val="002F6315"/>
    <w:rsid w:val="002F66AA"/>
    <w:rsid w:val="002F66D8"/>
    <w:rsid w:val="002F6A28"/>
    <w:rsid w:val="002F6B8B"/>
    <w:rsid w:val="002F6B9D"/>
    <w:rsid w:val="002F6DC5"/>
    <w:rsid w:val="002F6E0F"/>
    <w:rsid w:val="002F714E"/>
    <w:rsid w:val="002F716C"/>
    <w:rsid w:val="002F71AE"/>
    <w:rsid w:val="002F7471"/>
    <w:rsid w:val="002F7844"/>
    <w:rsid w:val="002F7BB1"/>
    <w:rsid w:val="002F7CD8"/>
    <w:rsid w:val="0030019B"/>
    <w:rsid w:val="003002BB"/>
    <w:rsid w:val="0030043D"/>
    <w:rsid w:val="0030070C"/>
    <w:rsid w:val="003007C2"/>
    <w:rsid w:val="003008B0"/>
    <w:rsid w:val="00300C4A"/>
    <w:rsid w:val="00300F98"/>
    <w:rsid w:val="00301200"/>
    <w:rsid w:val="00301214"/>
    <w:rsid w:val="00301309"/>
    <w:rsid w:val="00301324"/>
    <w:rsid w:val="003014A2"/>
    <w:rsid w:val="00301517"/>
    <w:rsid w:val="00301825"/>
    <w:rsid w:val="003018B7"/>
    <w:rsid w:val="00301C92"/>
    <w:rsid w:val="00301DB6"/>
    <w:rsid w:val="00301DD9"/>
    <w:rsid w:val="00301E25"/>
    <w:rsid w:val="00301EA5"/>
    <w:rsid w:val="003021BF"/>
    <w:rsid w:val="003022DA"/>
    <w:rsid w:val="00302452"/>
    <w:rsid w:val="00302615"/>
    <w:rsid w:val="0030277D"/>
    <w:rsid w:val="003028E3"/>
    <w:rsid w:val="00302C72"/>
    <w:rsid w:val="00302E94"/>
    <w:rsid w:val="00302EF3"/>
    <w:rsid w:val="003030F6"/>
    <w:rsid w:val="003030FF"/>
    <w:rsid w:val="0030340C"/>
    <w:rsid w:val="00303660"/>
    <w:rsid w:val="0030395A"/>
    <w:rsid w:val="00303B5B"/>
    <w:rsid w:val="00303DA3"/>
    <w:rsid w:val="00303F9A"/>
    <w:rsid w:val="0030404E"/>
    <w:rsid w:val="003041E0"/>
    <w:rsid w:val="003041EC"/>
    <w:rsid w:val="00304221"/>
    <w:rsid w:val="00304459"/>
    <w:rsid w:val="0030479F"/>
    <w:rsid w:val="003047CA"/>
    <w:rsid w:val="0030482D"/>
    <w:rsid w:val="00304877"/>
    <w:rsid w:val="003049F2"/>
    <w:rsid w:val="00304D20"/>
    <w:rsid w:val="00304D86"/>
    <w:rsid w:val="00304EA4"/>
    <w:rsid w:val="00304FE1"/>
    <w:rsid w:val="0030509A"/>
    <w:rsid w:val="0030511F"/>
    <w:rsid w:val="0030530B"/>
    <w:rsid w:val="00305424"/>
    <w:rsid w:val="0030551B"/>
    <w:rsid w:val="00305636"/>
    <w:rsid w:val="00305693"/>
    <w:rsid w:val="003056EE"/>
    <w:rsid w:val="00305783"/>
    <w:rsid w:val="0030579A"/>
    <w:rsid w:val="00305984"/>
    <w:rsid w:val="00305A2D"/>
    <w:rsid w:val="00305A74"/>
    <w:rsid w:val="00305B2B"/>
    <w:rsid w:val="00305E89"/>
    <w:rsid w:val="00306095"/>
    <w:rsid w:val="0030611E"/>
    <w:rsid w:val="003062CD"/>
    <w:rsid w:val="00306347"/>
    <w:rsid w:val="003064DD"/>
    <w:rsid w:val="00306510"/>
    <w:rsid w:val="003065EC"/>
    <w:rsid w:val="00306C0A"/>
    <w:rsid w:val="00306FDB"/>
    <w:rsid w:val="0030724D"/>
    <w:rsid w:val="00307375"/>
    <w:rsid w:val="003073AA"/>
    <w:rsid w:val="00307507"/>
    <w:rsid w:val="00307594"/>
    <w:rsid w:val="00307621"/>
    <w:rsid w:val="00307B90"/>
    <w:rsid w:val="00307C15"/>
    <w:rsid w:val="00307CE7"/>
    <w:rsid w:val="00307E17"/>
    <w:rsid w:val="00307F74"/>
    <w:rsid w:val="0031017E"/>
    <w:rsid w:val="003101CA"/>
    <w:rsid w:val="003103D0"/>
    <w:rsid w:val="0031044A"/>
    <w:rsid w:val="003104E2"/>
    <w:rsid w:val="003108D0"/>
    <w:rsid w:val="00310A90"/>
    <w:rsid w:val="00310BE3"/>
    <w:rsid w:val="00310C9B"/>
    <w:rsid w:val="00310CCC"/>
    <w:rsid w:val="003110B7"/>
    <w:rsid w:val="00311298"/>
    <w:rsid w:val="00311321"/>
    <w:rsid w:val="0031138E"/>
    <w:rsid w:val="0031150F"/>
    <w:rsid w:val="00311704"/>
    <w:rsid w:val="0031170D"/>
    <w:rsid w:val="0031172F"/>
    <w:rsid w:val="0031185D"/>
    <w:rsid w:val="00311D50"/>
    <w:rsid w:val="00311DA0"/>
    <w:rsid w:val="00311FB9"/>
    <w:rsid w:val="0031245F"/>
    <w:rsid w:val="003126A7"/>
    <w:rsid w:val="003127D1"/>
    <w:rsid w:val="00312A5C"/>
    <w:rsid w:val="00312AEB"/>
    <w:rsid w:val="00312BC9"/>
    <w:rsid w:val="00312EB2"/>
    <w:rsid w:val="0031322E"/>
    <w:rsid w:val="003133AB"/>
    <w:rsid w:val="00313432"/>
    <w:rsid w:val="00313A94"/>
    <w:rsid w:val="00313C4D"/>
    <w:rsid w:val="00313E9A"/>
    <w:rsid w:val="00313F64"/>
    <w:rsid w:val="00313F79"/>
    <w:rsid w:val="003140AD"/>
    <w:rsid w:val="003142E7"/>
    <w:rsid w:val="003147C3"/>
    <w:rsid w:val="003148E5"/>
    <w:rsid w:val="0031498D"/>
    <w:rsid w:val="00314BCC"/>
    <w:rsid w:val="003151EB"/>
    <w:rsid w:val="00315228"/>
    <w:rsid w:val="003152E6"/>
    <w:rsid w:val="00315571"/>
    <w:rsid w:val="00315608"/>
    <w:rsid w:val="003156EE"/>
    <w:rsid w:val="00315916"/>
    <w:rsid w:val="00315A8A"/>
    <w:rsid w:val="00315BBB"/>
    <w:rsid w:val="00315CB4"/>
    <w:rsid w:val="0031615B"/>
    <w:rsid w:val="003162CF"/>
    <w:rsid w:val="003164D2"/>
    <w:rsid w:val="00316684"/>
    <w:rsid w:val="003168CF"/>
    <w:rsid w:val="003168D2"/>
    <w:rsid w:val="0031691A"/>
    <w:rsid w:val="00316959"/>
    <w:rsid w:val="00316DD5"/>
    <w:rsid w:val="00316F2D"/>
    <w:rsid w:val="0031729E"/>
    <w:rsid w:val="003172C5"/>
    <w:rsid w:val="003173CC"/>
    <w:rsid w:val="0031761E"/>
    <w:rsid w:val="003201AD"/>
    <w:rsid w:val="003201DA"/>
    <w:rsid w:val="003201ED"/>
    <w:rsid w:val="0032038D"/>
    <w:rsid w:val="003204FD"/>
    <w:rsid w:val="00320564"/>
    <w:rsid w:val="00320664"/>
    <w:rsid w:val="00320793"/>
    <w:rsid w:val="00320841"/>
    <w:rsid w:val="00320977"/>
    <w:rsid w:val="00320982"/>
    <w:rsid w:val="00320DA8"/>
    <w:rsid w:val="00320EC8"/>
    <w:rsid w:val="00321007"/>
    <w:rsid w:val="00321315"/>
    <w:rsid w:val="0032132E"/>
    <w:rsid w:val="00321377"/>
    <w:rsid w:val="0032147A"/>
    <w:rsid w:val="003214E4"/>
    <w:rsid w:val="00321622"/>
    <w:rsid w:val="00321738"/>
    <w:rsid w:val="003217D0"/>
    <w:rsid w:val="003217F9"/>
    <w:rsid w:val="00321A2F"/>
    <w:rsid w:val="00321A85"/>
    <w:rsid w:val="00321AB6"/>
    <w:rsid w:val="00321AE2"/>
    <w:rsid w:val="00321AEC"/>
    <w:rsid w:val="00321BA8"/>
    <w:rsid w:val="00321C1D"/>
    <w:rsid w:val="00321C67"/>
    <w:rsid w:val="0032227D"/>
    <w:rsid w:val="0032230C"/>
    <w:rsid w:val="00322320"/>
    <w:rsid w:val="00322446"/>
    <w:rsid w:val="00322553"/>
    <w:rsid w:val="0032264C"/>
    <w:rsid w:val="00322A08"/>
    <w:rsid w:val="00322BB3"/>
    <w:rsid w:val="00322CB1"/>
    <w:rsid w:val="00322CCE"/>
    <w:rsid w:val="00322F45"/>
    <w:rsid w:val="003230CE"/>
    <w:rsid w:val="0032379E"/>
    <w:rsid w:val="00323964"/>
    <w:rsid w:val="00323D19"/>
    <w:rsid w:val="00323DA1"/>
    <w:rsid w:val="00323EC8"/>
    <w:rsid w:val="003241D6"/>
    <w:rsid w:val="003244FB"/>
    <w:rsid w:val="00324544"/>
    <w:rsid w:val="003246BE"/>
    <w:rsid w:val="00324A8A"/>
    <w:rsid w:val="00324C99"/>
    <w:rsid w:val="00325002"/>
    <w:rsid w:val="00325314"/>
    <w:rsid w:val="003254CE"/>
    <w:rsid w:val="003255C6"/>
    <w:rsid w:val="0032581B"/>
    <w:rsid w:val="003258BA"/>
    <w:rsid w:val="00325A78"/>
    <w:rsid w:val="00325B7D"/>
    <w:rsid w:val="00325BCE"/>
    <w:rsid w:val="00325FCE"/>
    <w:rsid w:val="0032617E"/>
    <w:rsid w:val="003261F3"/>
    <w:rsid w:val="00326779"/>
    <w:rsid w:val="00326912"/>
    <w:rsid w:val="00326A7E"/>
    <w:rsid w:val="00326DB7"/>
    <w:rsid w:val="00326E99"/>
    <w:rsid w:val="0032718D"/>
    <w:rsid w:val="003272A1"/>
    <w:rsid w:val="0032747D"/>
    <w:rsid w:val="00327658"/>
    <w:rsid w:val="0032778D"/>
    <w:rsid w:val="00327946"/>
    <w:rsid w:val="00327A10"/>
    <w:rsid w:val="00327B6C"/>
    <w:rsid w:val="00327EA9"/>
    <w:rsid w:val="00330236"/>
    <w:rsid w:val="00330586"/>
    <w:rsid w:val="00330BAA"/>
    <w:rsid w:val="00330E08"/>
    <w:rsid w:val="00330E69"/>
    <w:rsid w:val="003310D5"/>
    <w:rsid w:val="003310DC"/>
    <w:rsid w:val="00331656"/>
    <w:rsid w:val="003316FC"/>
    <w:rsid w:val="003317E2"/>
    <w:rsid w:val="003319C9"/>
    <w:rsid w:val="00331A62"/>
    <w:rsid w:val="00331C67"/>
    <w:rsid w:val="00331CCE"/>
    <w:rsid w:val="00331CF3"/>
    <w:rsid w:val="00331D28"/>
    <w:rsid w:val="00331D31"/>
    <w:rsid w:val="00331E30"/>
    <w:rsid w:val="00332165"/>
    <w:rsid w:val="003321A7"/>
    <w:rsid w:val="003322DE"/>
    <w:rsid w:val="00332508"/>
    <w:rsid w:val="003325BB"/>
    <w:rsid w:val="0033294D"/>
    <w:rsid w:val="0033294F"/>
    <w:rsid w:val="00332B57"/>
    <w:rsid w:val="00332C09"/>
    <w:rsid w:val="0033329D"/>
    <w:rsid w:val="00333599"/>
    <w:rsid w:val="00333719"/>
    <w:rsid w:val="0033398F"/>
    <w:rsid w:val="00333B2D"/>
    <w:rsid w:val="00333B92"/>
    <w:rsid w:val="00333DF9"/>
    <w:rsid w:val="00334161"/>
    <w:rsid w:val="00334168"/>
    <w:rsid w:val="003341C0"/>
    <w:rsid w:val="003341D0"/>
    <w:rsid w:val="0033458D"/>
    <w:rsid w:val="00334B2D"/>
    <w:rsid w:val="00334D54"/>
    <w:rsid w:val="00334FA3"/>
    <w:rsid w:val="003350EE"/>
    <w:rsid w:val="00335192"/>
    <w:rsid w:val="003357C1"/>
    <w:rsid w:val="003358A5"/>
    <w:rsid w:val="003358D8"/>
    <w:rsid w:val="00335961"/>
    <w:rsid w:val="003359A9"/>
    <w:rsid w:val="003359CB"/>
    <w:rsid w:val="00335F5F"/>
    <w:rsid w:val="00336426"/>
    <w:rsid w:val="0033661F"/>
    <w:rsid w:val="00336A64"/>
    <w:rsid w:val="00336B10"/>
    <w:rsid w:val="00336BC5"/>
    <w:rsid w:val="0033763D"/>
    <w:rsid w:val="00340046"/>
    <w:rsid w:val="00340154"/>
    <w:rsid w:val="003404C9"/>
    <w:rsid w:val="003407FA"/>
    <w:rsid w:val="00340851"/>
    <w:rsid w:val="00340967"/>
    <w:rsid w:val="00340B4D"/>
    <w:rsid w:val="00340DF0"/>
    <w:rsid w:val="0034120D"/>
    <w:rsid w:val="00341284"/>
    <w:rsid w:val="00341447"/>
    <w:rsid w:val="0034149B"/>
    <w:rsid w:val="00341B56"/>
    <w:rsid w:val="00341BC4"/>
    <w:rsid w:val="00341E3C"/>
    <w:rsid w:val="00341E81"/>
    <w:rsid w:val="003420A8"/>
    <w:rsid w:val="0034230E"/>
    <w:rsid w:val="0034252D"/>
    <w:rsid w:val="00342586"/>
    <w:rsid w:val="003425B3"/>
    <w:rsid w:val="003428BB"/>
    <w:rsid w:val="00342DF1"/>
    <w:rsid w:val="00342FBA"/>
    <w:rsid w:val="00342FE1"/>
    <w:rsid w:val="0034345C"/>
    <w:rsid w:val="0034349D"/>
    <w:rsid w:val="003435C2"/>
    <w:rsid w:val="003435CF"/>
    <w:rsid w:val="0034370C"/>
    <w:rsid w:val="00343759"/>
    <w:rsid w:val="00343794"/>
    <w:rsid w:val="00343B0F"/>
    <w:rsid w:val="00343BAD"/>
    <w:rsid w:val="00343CEF"/>
    <w:rsid w:val="00343E8E"/>
    <w:rsid w:val="00343FE4"/>
    <w:rsid w:val="003442F1"/>
    <w:rsid w:val="0034431A"/>
    <w:rsid w:val="00344421"/>
    <w:rsid w:val="003444E4"/>
    <w:rsid w:val="0034453D"/>
    <w:rsid w:val="00344777"/>
    <w:rsid w:val="00344813"/>
    <w:rsid w:val="003448E6"/>
    <w:rsid w:val="00344A6F"/>
    <w:rsid w:val="00344D01"/>
    <w:rsid w:val="003452CA"/>
    <w:rsid w:val="003455C6"/>
    <w:rsid w:val="003455CD"/>
    <w:rsid w:val="0034574A"/>
    <w:rsid w:val="00345957"/>
    <w:rsid w:val="003459FC"/>
    <w:rsid w:val="00345AE7"/>
    <w:rsid w:val="00345CEA"/>
    <w:rsid w:val="00345E22"/>
    <w:rsid w:val="00346013"/>
    <w:rsid w:val="0034601E"/>
    <w:rsid w:val="0034603E"/>
    <w:rsid w:val="0034610D"/>
    <w:rsid w:val="00346EF4"/>
    <w:rsid w:val="00346FD8"/>
    <w:rsid w:val="0034704B"/>
    <w:rsid w:val="003470C8"/>
    <w:rsid w:val="003470CC"/>
    <w:rsid w:val="00347225"/>
    <w:rsid w:val="00347677"/>
    <w:rsid w:val="00347699"/>
    <w:rsid w:val="003477CB"/>
    <w:rsid w:val="00347C83"/>
    <w:rsid w:val="00347D6D"/>
    <w:rsid w:val="00347E98"/>
    <w:rsid w:val="00347EB8"/>
    <w:rsid w:val="00347F29"/>
    <w:rsid w:val="00347FBF"/>
    <w:rsid w:val="00350375"/>
    <w:rsid w:val="003503D5"/>
    <w:rsid w:val="00350434"/>
    <w:rsid w:val="0035056C"/>
    <w:rsid w:val="0035076A"/>
    <w:rsid w:val="00350A7C"/>
    <w:rsid w:val="00350AB2"/>
    <w:rsid w:val="00350E36"/>
    <w:rsid w:val="00350EC8"/>
    <w:rsid w:val="00350ECC"/>
    <w:rsid w:val="00350EDE"/>
    <w:rsid w:val="00350FB6"/>
    <w:rsid w:val="00350FC1"/>
    <w:rsid w:val="0035106D"/>
    <w:rsid w:val="0035112E"/>
    <w:rsid w:val="003511EA"/>
    <w:rsid w:val="00351282"/>
    <w:rsid w:val="00351318"/>
    <w:rsid w:val="0035142C"/>
    <w:rsid w:val="00351508"/>
    <w:rsid w:val="0035159E"/>
    <w:rsid w:val="00351618"/>
    <w:rsid w:val="0035187B"/>
    <w:rsid w:val="003518D2"/>
    <w:rsid w:val="00351C2F"/>
    <w:rsid w:val="00351F4F"/>
    <w:rsid w:val="0035202D"/>
    <w:rsid w:val="003525C5"/>
    <w:rsid w:val="0035270F"/>
    <w:rsid w:val="003527FE"/>
    <w:rsid w:val="00352BDE"/>
    <w:rsid w:val="00352F00"/>
    <w:rsid w:val="00352FC7"/>
    <w:rsid w:val="003533AA"/>
    <w:rsid w:val="00353647"/>
    <w:rsid w:val="0035373B"/>
    <w:rsid w:val="003537EF"/>
    <w:rsid w:val="00353822"/>
    <w:rsid w:val="00353905"/>
    <w:rsid w:val="0035390B"/>
    <w:rsid w:val="00353BA7"/>
    <w:rsid w:val="00353D95"/>
    <w:rsid w:val="00353EA7"/>
    <w:rsid w:val="0035419A"/>
    <w:rsid w:val="003542D2"/>
    <w:rsid w:val="00354360"/>
    <w:rsid w:val="003543C0"/>
    <w:rsid w:val="00354949"/>
    <w:rsid w:val="0035499C"/>
    <w:rsid w:val="00354A17"/>
    <w:rsid w:val="00354CFD"/>
    <w:rsid w:val="00354DF3"/>
    <w:rsid w:val="00355195"/>
    <w:rsid w:val="0035527B"/>
    <w:rsid w:val="003552CA"/>
    <w:rsid w:val="003552DE"/>
    <w:rsid w:val="003552F6"/>
    <w:rsid w:val="0035567E"/>
    <w:rsid w:val="003556D1"/>
    <w:rsid w:val="00355AEB"/>
    <w:rsid w:val="00355EDF"/>
    <w:rsid w:val="00355EE2"/>
    <w:rsid w:val="00355EEC"/>
    <w:rsid w:val="00355F5F"/>
    <w:rsid w:val="00356172"/>
    <w:rsid w:val="0035639B"/>
    <w:rsid w:val="003567AD"/>
    <w:rsid w:val="003569C6"/>
    <w:rsid w:val="00357204"/>
    <w:rsid w:val="0035758C"/>
    <w:rsid w:val="00357838"/>
    <w:rsid w:val="00357911"/>
    <w:rsid w:val="0035799E"/>
    <w:rsid w:val="00357BB3"/>
    <w:rsid w:val="00357BD8"/>
    <w:rsid w:val="00357E6B"/>
    <w:rsid w:val="00357E6E"/>
    <w:rsid w:val="00357FBA"/>
    <w:rsid w:val="00360034"/>
    <w:rsid w:val="003600F4"/>
    <w:rsid w:val="00360409"/>
    <w:rsid w:val="00361105"/>
    <w:rsid w:val="0036119E"/>
    <w:rsid w:val="0036130F"/>
    <w:rsid w:val="003613AD"/>
    <w:rsid w:val="003613DB"/>
    <w:rsid w:val="00361690"/>
    <w:rsid w:val="00361798"/>
    <w:rsid w:val="00361922"/>
    <w:rsid w:val="0036193A"/>
    <w:rsid w:val="003619AD"/>
    <w:rsid w:val="003620C7"/>
    <w:rsid w:val="00362312"/>
    <w:rsid w:val="003627C4"/>
    <w:rsid w:val="00362A6B"/>
    <w:rsid w:val="00362D0E"/>
    <w:rsid w:val="00362D2D"/>
    <w:rsid w:val="00362FC9"/>
    <w:rsid w:val="00363050"/>
    <w:rsid w:val="003633E2"/>
    <w:rsid w:val="00363505"/>
    <w:rsid w:val="003636FB"/>
    <w:rsid w:val="00363902"/>
    <w:rsid w:val="00363AF5"/>
    <w:rsid w:val="00363BBD"/>
    <w:rsid w:val="00363BE1"/>
    <w:rsid w:val="00364226"/>
    <w:rsid w:val="0036426B"/>
    <w:rsid w:val="003642CB"/>
    <w:rsid w:val="003644D8"/>
    <w:rsid w:val="00364584"/>
    <w:rsid w:val="0036476C"/>
    <w:rsid w:val="00364876"/>
    <w:rsid w:val="003649D1"/>
    <w:rsid w:val="00364B17"/>
    <w:rsid w:val="00364FBD"/>
    <w:rsid w:val="0036505D"/>
    <w:rsid w:val="003651EE"/>
    <w:rsid w:val="0036529E"/>
    <w:rsid w:val="00365689"/>
    <w:rsid w:val="0036581C"/>
    <w:rsid w:val="00365833"/>
    <w:rsid w:val="003658A6"/>
    <w:rsid w:val="00365C40"/>
    <w:rsid w:val="00365D7C"/>
    <w:rsid w:val="00365D89"/>
    <w:rsid w:val="00365D8E"/>
    <w:rsid w:val="00365E7A"/>
    <w:rsid w:val="00365ED2"/>
    <w:rsid w:val="00366011"/>
    <w:rsid w:val="003662B7"/>
    <w:rsid w:val="0036636C"/>
    <w:rsid w:val="00366385"/>
    <w:rsid w:val="00366653"/>
    <w:rsid w:val="00366688"/>
    <w:rsid w:val="0036671A"/>
    <w:rsid w:val="00366817"/>
    <w:rsid w:val="0036681C"/>
    <w:rsid w:val="00366F23"/>
    <w:rsid w:val="00366F5A"/>
    <w:rsid w:val="0036702B"/>
    <w:rsid w:val="003671BE"/>
    <w:rsid w:val="0036720E"/>
    <w:rsid w:val="00367335"/>
    <w:rsid w:val="003673A6"/>
    <w:rsid w:val="0036777C"/>
    <w:rsid w:val="00367A6E"/>
    <w:rsid w:val="00367A7E"/>
    <w:rsid w:val="00367DBD"/>
    <w:rsid w:val="00370056"/>
    <w:rsid w:val="0037080C"/>
    <w:rsid w:val="00370B03"/>
    <w:rsid w:val="00370FA0"/>
    <w:rsid w:val="00370FA5"/>
    <w:rsid w:val="0037106E"/>
    <w:rsid w:val="00371099"/>
    <w:rsid w:val="003710D4"/>
    <w:rsid w:val="003711B8"/>
    <w:rsid w:val="003712F2"/>
    <w:rsid w:val="00371452"/>
    <w:rsid w:val="0037164A"/>
    <w:rsid w:val="003716B6"/>
    <w:rsid w:val="00371918"/>
    <w:rsid w:val="00371A1F"/>
    <w:rsid w:val="00371B2A"/>
    <w:rsid w:val="00371B7B"/>
    <w:rsid w:val="00371D32"/>
    <w:rsid w:val="00371F16"/>
    <w:rsid w:val="00372158"/>
    <w:rsid w:val="00372398"/>
    <w:rsid w:val="0037277A"/>
    <w:rsid w:val="00372B4C"/>
    <w:rsid w:val="00372C32"/>
    <w:rsid w:val="00372CA6"/>
    <w:rsid w:val="00372E42"/>
    <w:rsid w:val="00372F82"/>
    <w:rsid w:val="0037331A"/>
    <w:rsid w:val="003733DF"/>
    <w:rsid w:val="00373413"/>
    <w:rsid w:val="003734C7"/>
    <w:rsid w:val="003734EE"/>
    <w:rsid w:val="00373556"/>
    <w:rsid w:val="0037356A"/>
    <w:rsid w:val="003737E7"/>
    <w:rsid w:val="003738AC"/>
    <w:rsid w:val="003738FD"/>
    <w:rsid w:val="003739B3"/>
    <w:rsid w:val="00373AA8"/>
    <w:rsid w:val="00373AAA"/>
    <w:rsid w:val="00373B0D"/>
    <w:rsid w:val="00373C09"/>
    <w:rsid w:val="00373FE6"/>
    <w:rsid w:val="00374272"/>
    <w:rsid w:val="0037442C"/>
    <w:rsid w:val="00374639"/>
    <w:rsid w:val="00374948"/>
    <w:rsid w:val="00374998"/>
    <w:rsid w:val="003749B8"/>
    <w:rsid w:val="00374DCF"/>
    <w:rsid w:val="00374F64"/>
    <w:rsid w:val="00375097"/>
    <w:rsid w:val="00375206"/>
    <w:rsid w:val="0037524E"/>
    <w:rsid w:val="0037527D"/>
    <w:rsid w:val="003752CA"/>
    <w:rsid w:val="00375403"/>
    <w:rsid w:val="0037581E"/>
    <w:rsid w:val="00375897"/>
    <w:rsid w:val="00375C0A"/>
    <w:rsid w:val="00375F02"/>
    <w:rsid w:val="003760B8"/>
    <w:rsid w:val="00376218"/>
    <w:rsid w:val="00376487"/>
    <w:rsid w:val="00376645"/>
    <w:rsid w:val="0037696F"/>
    <w:rsid w:val="00376C19"/>
    <w:rsid w:val="00376D1F"/>
    <w:rsid w:val="00376DEF"/>
    <w:rsid w:val="00376F3C"/>
    <w:rsid w:val="00377072"/>
    <w:rsid w:val="00377131"/>
    <w:rsid w:val="0037735B"/>
    <w:rsid w:val="003773AB"/>
    <w:rsid w:val="0037745E"/>
    <w:rsid w:val="0037746A"/>
    <w:rsid w:val="003775D1"/>
    <w:rsid w:val="003776B0"/>
    <w:rsid w:val="003776BF"/>
    <w:rsid w:val="0037773F"/>
    <w:rsid w:val="0037784A"/>
    <w:rsid w:val="003778D8"/>
    <w:rsid w:val="003779A4"/>
    <w:rsid w:val="003779D1"/>
    <w:rsid w:val="00377B79"/>
    <w:rsid w:val="003800BF"/>
    <w:rsid w:val="003801C6"/>
    <w:rsid w:val="0038022E"/>
    <w:rsid w:val="003808E8"/>
    <w:rsid w:val="003809D6"/>
    <w:rsid w:val="00380B79"/>
    <w:rsid w:val="00380B8C"/>
    <w:rsid w:val="00380BB9"/>
    <w:rsid w:val="00380D66"/>
    <w:rsid w:val="00381125"/>
    <w:rsid w:val="003811B6"/>
    <w:rsid w:val="0038122B"/>
    <w:rsid w:val="00381310"/>
    <w:rsid w:val="0038148C"/>
    <w:rsid w:val="00381637"/>
    <w:rsid w:val="003817F6"/>
    <w:rsid w:val="00381A90"/>
    <w:rsid w:val="00381CFD"/>
    <w:rsid w:val="00381E7F"/>
    <w:rsid w:val="00381FFC"/>
    <w:rsid w:val="00382064"/>
    <w:rsid w:val="00382274"/>
    <w:rsid w:val="00382321"/>
    <w:rsid w:val="003824CD"/>
    <w:rsid w:val="00382534"/>
    <w:rsid w:val="003827F4"/>
    <w:rsid w:val="00382FB2"/>
    <w:rsid w:val="003838AC"/>
    <w:rsid w:val="0038396E"/>
    <w:rsid w:val="00383A53"/>
    <w:rsid w:val="00383C3B"/>
    <w:rsid w:val="00383E73"/>
    <w:rsid w:val="003844A7"/>
    <w:rsid w:val="00384662"/>
    <w:rsid w:val="0038472D"/>
    <w:rsid w:val="00384774"/>
    <w:rsid w:val="00384BC3"/>
    <w:rsid w:val="00384C4C"/>
    <w:rsid w:val="00384FE7"/>
    <w:rsid w:val="003852B5"/>
    <w:rsid w:val="00385503"/>
    <w:rsid w:val="0038558F"/>
    <w:rsid w:val="0038568D"/>
    <w:rsid w:val="003857C3"/>
    <w:rsid w:val="00385ABA"/>
    <w:rsid w:val="00385CFD"/>
    <w:rsid w:val="00385E48"/>
    <w:rsid w:val="00386075"/>
    <w:rsid w:val="003861A5"/>
    <w:rsid w:val="00386272"/>
    <w:rsid w:val="003862A3"/>
    <w:rsid w:val="003862D4"/>
    <w:rsid w:val="00386629"/>
    <w:rsid w:val="003866A9"/>
    <w:rsid w:val="00386831"/>
    <w:rsid w:val="00386E8F"/>
    <w:rsid w:val="00386F7E"/>
    <w:rsid w:val="003870A3"/>
    <w:rsid w:val="003871D9"/>
    <w:rsid w:val="00387402"/>
    <w:rsid w:val="0038750A"/>
    <w:rsid w:val="003875D2"/>
    <w:rsid w:val="003876A7"/>
    <w:rsid w:val="003877F9"/>
    <w:rsid w:val="00387DC3"/>
    <w:rsid w:val="00387F39"/>
    <w:rsid w:val="00390152"/>
    <w:rsid w:val="00390599"/>
    <w:rsid w:val="0039061E"/>
    <w:rsid w:val="00390634"/>
    <w:rsid w:val="003909CA"/>
    <w:rsid w:val="00390A57"/>
    <w:rsid w:val="00390AB6"/>
    <w:rsid w:val="00390B41"/>
    <w:rsid w:val="00390BB2"/>
    <w:rsid w:val="00390E9A"/>
    <w:rsid w:val="00390F7A"/>
    <w:rsid w:val="00390FBE"/>
    <w:rsid w:val="0039110C"/>
    <w:rsid w:val="003912DC"/>
    <w:rsid w:val="003916DE"/>
    <w:rsid w:val="0039175A"/>
    <w:rsid w:val="003918D1"/>
    <w:rsid w:val="00391A08"/>
    <w:rsid w:val="00391B4D"/>
    <w:rsid w:val="00391BEB"/>
    <w:rsid w:val="00391BF2"/>
    <w:rsid w:val="00391E97"/>
    <w:rsid w:val="00392248"/>
    <w:rsid w:val="003922E3"/>
    <w:rsid w:val="00392334"/>
    <w:rsid w:val="0039245E"/>
    <w:rsid w:val="003924D0"/>
    <w:rsid w:val="003925E2"/>
    <w:rsid w:val="00392639"/>
    <w:rsid w:val="00392677"/>
    <w:rsid w:val="0039280E"/>
    <w:rsid w:val="0039282A"/>
    <w:rsid w:val="00392B81"/>
    <w:rsid w:val="00392D2D"/>
    <w:rsid w:val="00392DE8"/>
    <w:rsid w:val="00392F9D"/>
    <w:rsid w:val="00392FAF"/>
    <w:rsid w:val="00392FF5"/>
    <w:rsid w:val="00393070"/>
    <w:rsid w:val="00393201"/>
    <w:rsid w:val="003933CD"/>
    <w:rsid w:val="00393609"/>
    <w:rsid w:val="00393A3D"/>
    <w:rsid w:val="00393B55"/>
    <w:rsid w:val="00393BCC"/>
    <w:rsid w:val="00393BFF"/>
    <w:rsid w:val="00393C77"/>
    <w:rsid w:val="00393CB8"/>
    <w:rsid w:val="003940E4"/>
    <w:rsid w:val="00394462"/>
    <w:rsid w:val="0039466E"/>
    <w:rsid w:val="003946C6"/>
    <w:rsid w:val="003947BB"/>
    <w:rsid w:val="00394849"/>
    <w:rsid w:val="0039487F"/>
    <w:rsid w:val="00394A37"/>
    <w:rsid w:val="00394BE6"/>
    <w:rsid w:val="00394CDE"/>
    <w:rsid w:val="0039505F"/>
    <w:rsid w:val="003953F2"/>
    <w:rsid w:val="0039555A"/>
    <w:rsid w:val="00395736"/>
    <w:rsid w:val="00395CDE"/>
    <w:rsid w:val="00395CE8"/>
    <w:rsid w:val="00395D2C"/>
    <w:rsid w:val="00395F52"/>
    <w:rsid w:val="003960F2"/>
    <w:rsid w:val="00396140"/>
    <w:rsid w:val="00396386"/>
    <w:rsid w:val="003964C8"/>
    <w:rsid w:val="003964D0"/>
    <w:rsid w:val="003965D4"/>
    <w:rsid w:val="0039664D"/>
    <w:rsid w:val="00396BB5"/>
    <w:rsid w:val="00396D9C"/>
    <w:rsid w:val="00396EB3"/>
    <w:rsid w:val="00396FC7"/>
    <w:rsid w:val="003971B2"/>
    <w:rsid w:val="0039733F"/>
    <w:rsid w:val="0039781F"/>
    <w:rsid w:val="003979C2"/>
    <w:rsid w:val="00397BB0"/>
    <w:rsid w:val="00397D3F"/>
    <w:rsid w:val="003A0297"/>
    <w:rsid w:val="003A044A"/>
    <w:rsid w:val="003A06E5"/>
    <w:rsid w:val="003A0AF3"/>
    <w:rsid w:val="003A0CE5"/>
    <w:rsid w:val="003A181E"/>
    <w:rsid w:val="003A1A6E"/>
    <w:rsid w:val="003A1FCF"/>
    <w:rsid w:val="003A203A"/>
    <w:rsid w:val="003A2414"/>
    <w:rsid w:val="003A2423"/>
    <w:rsid w:val="003A24A0"/>
    <w:rsid w:val="003A24F2"/>
    <w:rsid w:val="003A24F8"/>
    <w:rsid w:val="003A253B"/>
    <w:rsid w:val="003A27FC"/>
    <w:rsid w:val="003A29E4"/>
    <w:rsid w:val="003A2C92"/>
    <w:rsid w:val="003A30C8"/>
    <w:rsid w:val="003A3150"/>
    <w:rsid w:val="003A319F"/>
    <w:rsid w:val="003A3294"/>
    <w:rsid w:val="003A33FB"/>
    <w:rsid w:val="003A3747"/>
    <w:rsid w:val="003A39E2"/>
    <w:rsid w:val="003A3D45"/>
    <w:rsid w:val="003A4197"/>
    <w:rsid w:val="003A41FD"/>
    <w:rsid w:val="003A42D1"/>
    <w:rsid w:val="003A43F7"/>
    <w:rsid w:val="003A455B"/>
    <w:rsid w:val="003A4CB3"/>
    <w:rsid w:val="003A4DBE"/>
    <w:rsid w:val="003A5506"/>
    <w:rsid w:val="003A57FD"/>
    <w:rsid w:val="003A5989"/>
    <w:rsid w:val="003A5EE3"/>
    <w:rsid w:val="003A6234"/>
    <w:rsid w:val="003A6473"/>
    <w:rsid w:val="003A66F5"/>
    <w:rsid w:val="003A67BE"/>
    <w:rsid w:val="003A688A"/>
    <w:rsid w:val="003A6A1C"/>
    <w:rsid w:val="003A6C71"/>
    <w:rsid w:val="003A6CD8"/>
    <w:rsid w:val="003A6DF8"/>
    <w:rsid w:val="003A6FC3"/>
    <w:rsid w:val="003A7181"/>
    <w:rsid w:val="003A7277"/>
    <w:rsid w:val="003A74E7"/>
    <w:rsid w:val="003A75E7"/>
    <w:rsid w:val="003A762D"/>
    <w:rsid w:val="003A79F7"/>
    <w:rsid w:val="003A7FD5"/>
    <w:rsid w:val="003B02B4"/>
    <w:rsid w:val="003B0358"/>
    <w:rsid w:val="003B03F2"/>
    <w:rsid w:val="003B060C"/>
    <w:rsid w:val="003B085A"/>
    <w:rsid w:val="003B08BB"/>
    <w:rsid w:val="003B093A"/>
    <w:rsid w:val="003B0946"/>
    <w:rsid w:val="003B0A99"/>
    <w:rsid w:val="003B0C8C"/>
    <w:rsid w:val="003B0CB6"/>
    <w:rsid w:val="003B1381"/>
    <w:rsid w:val="003B1509"/>
    <w:rsid w:val="003B192E"/>
    <w:rsid w:val="003B19BC"/>
    <w:rsid w:val="003B1D57"/>
    <w:rsid w:val="003B1E2E"/>
    <w:rsid w:val="003B2169"/>
    <w:rsid w:val="003B21CE"/>
    <w:rsid w:val="003B22A4"/>
    <w:rsid w:val="003B2313"/>
    <w:rsid w:val="003B2380"/>
    <w:rsid w:val="003B244D"/>
    <w:rsid w:val="003B2744"/>
    <w:rsid w:val="003B28B6"/>
    <w:rsid w:val="003B2A2E"/>
    <w:rsid w:val="003B2F63"/>
    <w:rsid w:val="003B3068"/>
    <w:rsid w:val="003B3287"/>
    <w:rsid w:val="003B33DE"/>
    <w:rsid w:val="003B3772"/>
    <w:rsid w:val="003B3D4F"/>
    <w:rsid w:val="003B3DB0"/>
    <w:rsid w:val="003B3DC2"/>
    <w:rsid w:val="003B3DD7"/>
    <w:rsid w:val="003B3F3D"/>
    <w:rsid w:val="003B3F83"/>
    <w:rsid w:val="003B413F"/>
    <w:rsid w:val="003B4220"/>
    <w:rsid w:val="003B42AB"/>
    <w:rsid w:val="003B43DB"/>
    <w:rsid w:val="003B48DD"/>
    <w:rsid w:val="003B4A79"/>
    <w:rsid w:val="003B4CE2"/>
    <w:rsid w:val="003B59CF"/>
    <w:rsid w:val="003B5CF3"/>
    <w:rsid w:val="003B5E40"/>
    <w:rsid w:val="003B5F7D"/>
    <w:rsid w:val="003B61F2"/>
    <w:rsid w:val="003B62B0"/>
    <w:rsid w:val="003B651F"/>
    <w:rsid w:val="003B68B2"/>
    <w:rsid w:val="003B6CA1"/>
    <w:rsid w:val="003B6D7B"/>
    <w:rsid w:val="003B6D8C"/>
    <w:rsid w:val="003B6FE6"/>
    <w:rsid w:val="003B7067"/>
    <w:rsid w:val="003B71A2"/>
    <w:rsid w:val="003B727D"/>
    <w:rsid w:val="003B76C2"/>
    <w:rsid w:val="003B7B4F"/>
    <w:rsid w:val="003B7EB4"/>
    <w:rsid w:val="003C0127"/>
    <w:rsid w:val="003C0231"/>
    <w:rsid w:val="003C0355"/>
    <w:rsid w:val="003C04A1"/>
    <w:rsid w:val="003C04F4"/>
    <w:rsid w:val="003C058F"/>
    <w:rsid w:val="003C10BA"/>
    <w:rsid w:val="003C12DA"/>
    <w:rsid w:val="003C1371"/>
    <w:rsid w:val="003C13DD"/>
    <w:rsid w:val="003C1461"/>
    <w:rsid w:val="003C163B"/>
    <w:rsid w:val="003C179C"/>
    <w:rsid w:val="003C1C29"/>
    <w:rsid w:val="003C1E64"/>
    <w:rsid w:val="003C1EF2"/>
    <w:rsid w:val="003C2106"/>
    <w:rsid w:val="003C2267"/>
    <w:rsid w:val="003C25FC"/>
    <w:rsid w:val="003C2742"/>
    <w:rsid w:val="003C2A0F"/>
    <w:rsid w:val="003C301F"/>
    <w:rsid w:val="003C305D"/>
    <w:rsid w:val="003C31B8"/>
    <w:rsid w:val="003C33C7"/>
    <w:rsid w:val="003C363C"/>
    <w:rsid w:val="003C3666"/>
    <w:rsid w:val="003C3708"/>
    <w:rsid w:val="003C3784"/>
    <w:rsid w:val="003C3800"/>
    <w:rsid w:val="003C3AB3"/>
    <w:rsid w:val="003C3AB5"/>
    <w:rsid w:val="003C3FEB"/>
    <w:rsid w:val="003C41D0"/>
    <w:rsid w:val="003C42C3"/>
    <w:rsid w:val="003C47A3"/>
    <w:rsid w:val="003C4859"/>
    <w:rsid w:val="003C4AEB"/>
    <w:rsid w:val="003C4B5A"/>
    <w:rsid w:val="003C4C34"/>
    <w:rsid w:val="003C4C58"/>
    <w:rsid w:val="003C505E"/>
    <w:rsid w:val="003C50CA"/>
    <w:rsid w:val="003C50FE"/>
    <w:rsid w:val="003C5107"/>
    <w:rsid w:val="003C51D0"/>
    <w:rsid w:val="003C536F"/>
    <w:rsid w:val="003C54C6"/>
    <w:rsid w:val="003C5C03"/>
    <w:rsid w:val="003C5CB7"/>
    <w:rsid w:val="003C5D56"/>
    <w:rsid w:val="003C6008"/>
    <w:rsid w:val="003C6502"/>
    <w:rsid w:val="003C653F"/>
    <w:rsid w:val="003C6788"/>
    <w:rsid w:val="003C68EA"/>
    <w:rsid w:val="003C6997"/>
    <w:rsid w:val="003C6DB3"/>
    <w:rsid w:val="003C7045"/>
    <w:rsid w:val="003C7240"/>
    <w:rsid w:val="003C7681"/>
    <w:rsid w:val="003C76AE"/>
    <w:rsid w:val="003C76BF"/>
    <w:rsid w:val="003C7710"/>
    <w:rsid w:val="003C786E"/>
    <w:rsid w:val="003C7A0D"/>
    <w:rsid w:val="003C7A37"/>
    <w:rsid w:val="003C7A61"/>
    <w:rsid w:val="003C7AA1"/>
    <w:rsid w:val="003C7B3A"/>
    <w:rsid w:val="003C7B6D"/>
    <w:rsid w:val="003C7C65"/>
    <w:rsid w:val="003C7F08"/>
    <w:rsid w:val="003C7F48"/>
    <w:rsid w:val="003C7F70"/>
    <w:rsid w:val="003C7F8D"/>
    <w:rsid w:val="003D0001"/>
    <w:rsid w:val="003D006F"/>
    <w:rsid w:val="003D017C"/>
    <w:rsid w:val="003D0496"/>
    <w:rsid w:val="003D0553"/>
    <w:rsid w:val="003D0696"/>
    <w:rsid w:val="003D0926"/>
    <w:rsid w:val="003D0C15"/>
    <w:rsid w:val="003D0DA2"/>
    <w:rsid w:val="003D0E80"/>
    <w:rsid w:val="003D0EF9"/>
    <w:rsid w:val="003D0F7A"/>
    <w:rsid w:val="003D1056"/>
    <w:rsid w:val="003D12C1"/>
    <w:rsid w:val="003D1470"/>
    <w:rsid w:val="003D1549"/>
    <w:rsid w:val="003D1593"/>
    <w:rsid w:val="003D16EB"/>
    <w:rsid w:val="003D1731"/>
    <w:rsid w:val="003D1810"/>
    <w:rsid w:val="003D1C0C"/>
    <w:rsid w:val="003D1D9B"/>
    <w:rsid w:val="003D21D8"/>
    <w:rsid w:val="003D22D6"/>
    <w:rsid w:val="003D25CC"/>
    <w:rsid w:val="003D2663"/>
    <w:rsid w:val="003D26CC"/>
    <w:rsid w:val="003D2CD7"/>
    <w:rsid w:val="003D2D7B"/>
    <w:rsid w:val="003D2E16"/>
    <w:rsid w:val="003D325D"/>
    <w:rsid w:val="003D33A5"/>
    <w:rsid w:val="003D37F0"/>
    <w:rsid w:val="003D3909"/>
    <w:rsid w:val="003D3A5B"/>
    <w:rsid w:val="003D3B07"/>
    <w:rsid w:val="003D3F28"/>
    <w:rsid w:val="003D420B"/>
    <w:rsid w:val="003D426E"/>
    <w:rsid w:val="003D42B8"/>
    <w:rsid w:val="003D4424"/>
    <w:rsid w:val="003D4775"/>
    <w:rsid w:val="003D4C03"/>
    <w:rsid w:val="003D4C2D"/>
    <w:rsid w:val="003D4E9B"/>
    <w:rsid w:val="003D4EBA"/>
    <w:rsid w:val="003D5022"/>
    <w:rsid w:val="003D5052"/>
    <w:rsid w:val="003D52BF"/>
    <w:rsid w:val="003D55A4"/>
    <w:rsid w:val="003D5682"/>
    <w:rsid w:val="003D5A65"/>
    <w:rsid w:val="003D5AB9"/>
    <w:rsid w:val="003D5ADA"/>
    <w:rsid w:val="003D5CEC"/>
    <w:rsid w:val="003D5DFD"/>
    <w:rsid w:val="003D60D3"/>
    <w:rsid w:val="003D63C9"/>
    <w:rsid w:val="003D6433"/>
    <w:rsid w:val="003D6646"/>
    <w:rsid w:val="003D6932"/>
    <w:rsid w:val="003D6997"/>
    <w:rsid w:val="003D6A5A"/>
    <w:rsid w:val="003D6CEE"/>
    <w:rsid w:val="003D6E4E"/>
    <w:rsid w:val="003D6E62"/>
    <w:rsid w:val="003D6EAD"/>
    <w:rsid w:val="003D6FA2"/>
    <w:rsid w:val="003D7133"/>
    <w:rsid w:val="003D718A"/>
    <w:rsid w:val="003D724E"/>
    <w:rsid w:val="003D74DE"/>
    <w:rsid w:val="003D7500"/>
    <w:rsid w:val="003D75B8"/>
    <w:rsid w:val="003D77CA"/>
    <w:rsid w:val="003D77F5"/>
    <w:rsid w:val="003D7868"/>
    <w:rsid w:val="003D7B2D"/>
    <w:rsid w:val="003D7BA3"/>
    <w:rsid w:val="003D7D3E"/>
    <w:rsid w:val="003E00E2"/>
    <w:rsid w:val="003E0135"/>
    <w:rsid w:val="003E01C1"/>
    <w:rsid w:val="003E03C0"/>
    <w:rsid w:val="003E05F6"/>
    <w:rsid w:val="003E06BE"/>
    <w:rsid w:val="003E0977"/>
    <w:rsid w:val="003E0AAE"/>
    <w:rsid w:val="003E0CA8"/>
    <w:rsid w:val="003E0FFB"/>
    <w:rsid w:val="003E120B"/>
    <w:rsid w:val="003E125C"/>
    <w:rsid w:val="003E12F3"/>
    <w:rsid w:val="003E14CD"/>
    <w:rsid w:val="003E15C6"/>
    <w:rsid w:val="003E17A3"/>
    <w:rsid w:val="003E1890"/>
    <w:rsid w:val="003E19AB"/>
    <w:rsid w:val="003E1BFC"/>
    <w:rsid w:val="003E1D9A"/>
    <w:rsid w:val="003E2120"/>
    <w:rsid w:val="003E21ED"/>
    <w:rsid w:val="003E236C"/>
    <w:rsid w:val="003E26D1"/>
    <w:rsid w:val="003E27D8"/>
    <w:rsid w:val="003E27F1"/>
    <w:rsid w:val="003E2AC2"/>
    <w:rsid w:val="003E2D36"/>
    <w:rsid w:val="003E318D"/>
    <w:rsid w:val="003E3371"/>
    <w:rsid w:val="003E3489"/>
    <w:rsid w:val="003E349E"/>
    <w:rsid w:val="003E371F"/>
    <w:rsid w:val="003E3747"/>
    <w:rsid w:val="003E3802"/>
    <w:rsid w:val="003E3A69"/>
    <w:rsid w:val="003E3F79"/>
    <w:rsid w:val="003E4093"/>
    <w:rsid w:val="003E41F1"/>
    <w:rsid w:val="003E4231"/>
    <w:rsid w:val="003E4267"/>
    <w:rsid w:val="003E460E"/>
    <w:rsid w:val="003E461F"/>
    <w:rsid w:val="003E4A75"/>
    <w:rsid w:val="003E4BDB"/>
    <w:rsid w:val="003E4C22"/>
    <w:rsid w:val="003E4F63"/>
    <w:rsid w:val="003E4FBF"/>
    <w:rsid w:val="003E5212"/>
    <w:rsid w:val="003E5272"/>
    <w:rsid w:val="003E5525"/>
    <w:rsid w:val="003E5596"/>
    <w:rsid w:val="003E588D"/>
    <w:rsid w:val="003E58F2"/>
    <w:rsid w:val="003E5CD7"/>
    <w:rsid w:val="003E5E36"/>
    <w:rsid w:val="003E60AA"/>
    <w:rsid w:val="003E635F"/>
    <w:rsid w:val="003E649D"/>
    <w:rsid w:val="003E6525"/>
    <w:rsid w:val="003E6782"/>
    <w:rsid w:val="003E67EE"/>
    <w:rsid w:val="003E68FD"/>
    <w:rsid w:val="003E6C2C"/>
    <w:rsid w:val="003E70F0"/>
    <w:rsid w:val="003E71A5"/>
    <w:rsid w:val="003E7332"/>
    <w:rsid w:val="003E7769"/>
    <w:rsid w:val="003E77CE"/>
    <w:rsid w:val="003E7851"/>
    <w:rsid w:val="003E7A2A"/>
    <w:rsid w:val="003E7B5E"/>
    <w:rsid w:val="003E7B62"/>
    <w:rsid w:val="003E7CD4"/>
    <w:rsid w:val="003E7CF2"/>
    <w:rsid w:val="003E7D45"/>
    <w:rsid w:val="003E7DD8"/>
    <w:rsid w:val="003E7E27"/>
    <w:rsid w:val="003F046B"/>
    <w:rsid w:val="003F05E8"/>
    <w:rsid w:val="003F06C0"/>
    <w:rsid w:val="003F0759"/>
    <w:rsid w:val="003F0C7B"/>
    <w:rsid w:val="003F0D7C"/>
    <w:rsid w:val="003F0E48"/>
    <w:rsid w:val="003F0EB5"/>
    <w:rsid w:val="003F10B0"/>
    <w:rsid w:val="003F13DB"/>
    <w:rsid w:val="003F1476"/>
    <w:rsid w:val="003F1557"/>
    <w:rsid w:val="003F1668"/>
    <w:rsid w:val="003F16C5"/>
    <w:rsid w:val="003F18B6"/>
    <w:rsid w:val="003F199E"/>
    <w:rsid w:val="003F1BAF"/>
    <w:rsid w:val="003F1BD3"/>
    <w:rsid w:val="003F1C24"/>
    <w:rsid w:val="003F1C30"/>
    <w:rsid w:val="003F213D"/>
    <w:rsid w:val="003F2759"/>
    <w:rsid w:val="003F2F4B"/>
    <w:rsid w:val="003F3005"/>
    <w:rsid w:val="003F3219"/>
    <w:rsid w:val="003F34F2"/>
    <w:rsid w:val="003F39CB"/>
    <w:rsid w:val="003F3B68"/>
    <w:rsid w:val="003F3BDB"/>
    <w:rsid w:val="003F3D10"/>
    <w:rsid w:val="003F3E42"/>
    <w:rsid w:val="003F3EAD"/>
    <w:rsid w:val="003F3FD9"/>
    <w:rsid w:val="003F40F6"/>
    <w:rsid w:val="003F4CC9"/>
    <w:rsid w:val="003F4EA1"/>
    <w:rsid w:val="003F4EDC"/>
    <w:rsid w:val="003F4F78"/>
    <w:rsid w:val="003F5091"/>
    <w:rsid w:val="003F50A7"/>
    <w:rsid w:val="003F5672"/>
    <w:rsid w:val="003F56F7"/>
    <w:rsid w:val="003F5896"/>
    <w:rsid w:val="003F64EC"/>
    <w:rsid w:val="003F675B"/>
    <w:rsid w:val="003F6866"/>
    <w:rsid w:val="003F6A04"/>
    <w:rsid w:val="003F6B08"/>
    <w:rsid w:val="003F6B1F"/>
    <w:rsid w:val="003F6E5C"/>
    <w:rsid w:val="003F6EBA"/>
    <w:rsid w:val="003F7013"/>
    <w:rsid w:val="003F7016"/>
    <w:rsid w:val="003F730B"/>
    <w:rsid w:val="003F74EB"/>
    <w:rsid w:val="003F74F7"/>
    <w:rsid w:val="003F77CC"/>
    <w:rsid w:val="003F78A6"/>
    <w:rsid w:val="003F7C42"/>
    <w:rsid w:val="003F7C6B"/>
    <w:rsid w:val="003F7D6B"/>
    <w:rsid w:val="003F7E97"/>
    <w:rsid w:val="00400128"/>
    <w:rsid w:val="00400196"/>
    <w:rsid w:val="0040071F"/>
    <w:rsid w:val="00400990"/>
    <w:rsid w:val="00400B26"/>
    <w:rsid w:val="00401004"/>
    <w:rsid w:val="00401026"/>
    <w:rsid w:val="004012A6"/>
    <w:rsid w:val="004014C5"/>
    <w:rsid w:val="004014CC"/>
    <w:rsid w:val="00401BE1"/>
    <w:rsid w:val="00401C82"/>
    <w:rsid w:val="00401F78"/>
    <w:rsid w:val="00402302"/>
    <w:rsid w:val="004023CE"/>
    <w:rsid w:val="00402D0D"/>
    <w:rsid w:val="00402DAA"/>
    <w:rsid w:val="00402E02"/>
    <w:rsid w:val="00403182"/>
    <w:rsid w:val="00403253"/>
    <w:rsid w:val="00403368"/>
    <w:rsid w:val="00403402"/>
    <w:rsid w:val="004034AD"/>
    <w:rsid w:val="0040375C"/>
    <w:rsid w:val="00403800"/>
    <w:rsid w:val="00403813"/>
    <w:rsid w:val="00403A61"/>
    <w:rsid w:val="00403AB7"/>
    <w:rsid w:val="00403C9D"/>
    <w:rsid w:val="00403F90"/>
    <w:rsid w:val="00404294"/>
    <w:rsid w:val="00404465"/>
    <w:rsid w:val="004046B3"/>
    <w:rsid w:val="00404719"/>
    <w:rsid w:val="00404ADF"/>
    <w:rsid w:val="00405054"/>
    <w:rsid w:val="00405122"/>
    <w:rsid w:val="0040525B"/>
    <w:rsid w:val="00405469"/>
    <w:rsid w:val="0040546F"/>
    <w:rsid w:val="004054FF"/>
    <w:rsid w:val="0040555E"/>
    <w:rsid w:val="004055C6"/>
    <w:rsid w:val="004055E6"/>
    <w:rsid w:val="004056B9"/>
    <w:rsid w:val="00405CA7"/>
    <w:rsid w:val="00405E1C"/>
    <w:rsid w:val="00405E45"/>
    <w:rsid w:val="004063C6"/>
    <w:rsid w:val="00406471"/>
    <w:rsid w:val="00406608"/>
    <w:rsid w:val="00406707"/>
    <w:rsid w:val="0040695B"/>
    <w:rsid w:val="00406AE9"/>
    <w:rsid w:val="00406B25"/>
    <w:rsid w:val="00406D1C"/>
    <w:rsid w:val="00406DCA"/>
    <w:rsid w:val="00406F05"/>
    <w:rsid w:val="00406F1F"/>
    <w:rsid w:val="0040703A"/>
    <w:rsid w:val="00407106"/>
    <w:rsid w:val="004071F3"/>
    <w:rsid w:val="004073DB"/>
    <w:rsid w:val="004074BF"/>
    <w:rsid w:val="00407C1F"/>
    <w:rsid w:val="00407C4F"/>
    <w:rsid w:val="00407C79"/>
    <w:rsid w:val="00407CB7"/>
    <w:rsid w:val="00407EF8"/>
    <w:rsid w:val="00410256"/>
    <w:rsid w:val="0041031F"/>
    <w:rsid w:val="00410328"/>
    <w:rsid w:val="0041047B"/>
    <w:rsid w:val="004104C3"/>
    <w:rsid w:val="00410534"/>
    <w:rsid w:val="004105C5"/>
    <w:rsid w:val="004107CA"/>
    <w:rsid w:val="00410914"/>
    <w:rsid w:val="004109C2"/>
    <w:rsid w:val="00410EC1"/>
    <w:rsid w:val="0041109B"/>
    <w:rsid w:val="004110BD"/>
    <w:rsid w:val="004113A8"/>
    <w:rsid w:val="004115A3"/>
    <w:rsid w:val="00411D3E"/>
    <w:rsid w:val="00411E26"/>
    <w:rsid w:val="004122A7"/>
    <w:rsid w:val="004122D2"/>
    <w:rsid w:val="00412623"/>
    <w:rsid w:val="00412673"/>
    <w:rsid w:val="004126A8"/>
    <w:rsid w:val="00412858"/>
    <w:rsid w:val="00412930"/>
    <w:rsid w:val="00412B26"/>
    <w:rsid w:val="00412B9B"/>
    <w:rsid w:val="00412E07"/>
    <w:rsid w:val="00412F2D"/>
    <w:rsid w:val="00412FB8"/>
    <w:rsid w:val="00413255"/>
    <w:rsid w:val="00413257"/>
    <w:rsid w:val="00413285"/>
    <w:rsid w:val="004132B9"/>
    <w:rsid w:val="00413528"/>
    <w:rsid w:val="00413A77"/>
    <w:rsid w:val="00413A95"/>
    <w:rsid w:val="00413B10"/>
    <w:rsid w:val="00413B17"/>
    <w:rsid w:val="00413E12"/>
    <w:rsid w:val="00413E2A"/>
    <w:rsid w:val="00413F7E"/>
    <w:rsid w:val="00414022"/>
    <w:rsid w:val="004140D5"/>
    <w:rsid w:val="004146A4"/>
    <w:rsid w:val="00414A17"/>
    <w:rsid w:val="00414C0F"/>
    <w:rsid w:val="00414C88"/>
    <w:rsid w:val="00414D38"/>
    <w:rsid w:val="00414D74"/>
    <w:rsid w:val="00414F9A"/>
    <w:rsid w:val="004151CA"/>
    <w:rsid w:val="004153A3"/>
    <w:rsid w:val="00415841"/>
    <w:rsid w:val="00415997"/>
    <w:rsid w:val="004159A4"/>
    <w:rsid w:val="00415D9E"/>
    <w:rsid w:val="004161C1"/>
    <w:rsid w:val="0041625A"/>
    <w:rsid w:val="004166D3"/>
    <w:rsid w:val="00416761"/>
    <w:rsid w:val="004168C2"/>
    <w:rsid w:val="004169BA"/>
    <w:rsid w:val="00416C62"/>
    <w:rsid w:val="00417064"/>
    <w:rsid w:val="004170FC"/>
    <w:rsid w:val="00417100"/>
    <w:rsid w:val="004173BB"/>
    <w:rsid w:val="004174D6"/>
    <w:rsid w:val="00417535"/>
    <w:rsid w:val="004179DA"/>
    <w:rsid w:val="00417E1B"/>
    <w:rsid w:val="00420095"/>
    <w:rsid w:val="00420146"/>
    <w:rsid w:val="00420257"/>
    <w:rsid w:val="0042030A"/>
    <w:rsid w:val="004206CF"/>
    <w:rsid w:val="00420739"/>
    <w:rsid w:val="004208C6"/>
    <w:rsid w:val="004208DC"/>
    <w:rsid w:val="00420AAF"/>
    <w:rsid w:val="00420C89"/>
    <w:rsid w:val="00420DE1"/>
    <w:rsid w:val="00420E66"/>
    <w:rsid w:val="00420FBA"/>
    <w:rsid w:val="00421022"/>
    <w:rsid w:val="0042109A"/>
    <w:rsid w:val="0042130C"/>
    <w:rsid w:val="0042145A"/>
    <w:rsid w:val="00421665"/>
    <w:rsid w:val="004216B1"/>
    <w:rsid w:val="004217DB"/>
    <w:rsid w:val="0042207E"/>
    <w:rsid w:val="0042240E"/>
    <w:rsid w:val="004226DE"/>
    <w:rsid w:val="00422BB9"/>
    <w:rsid w:val="00422C4A"/>
    <w:rsid w:val="00422CFF"/>
    <w:rsid w:val="00422FE6"/>
    <w:rsid w:val="00423184"/>
    <w:rsid w:val="004235AA"/>
    <w:rsid w:val="004236AD"/>
    <w:rsid w:val="0042383A"/>
    <w:rsid w:val="004238B0"/>
    <w:rsid w:val="00423B3A"/>
    <w:rsid w:val="00423DA6"/>
    <w:rsid w:val="00423F95"/>
    <w:rsid w:val="0042414F"/>
    <w:rsid w:val="004243B1"/>
    <w:rsid w:val="00424732"/>
    <w:rsid w:val="004247CE"/>
    <w:rsid w:val="00424DF0"/>
    <w:rsid w:val="00424E04"/>
    <w:rsid w:val="00424EA4"/>
    <w:rsid w:val="00425298"/>
    <w:rsid w:val="004252D6"/>
    <w:rsid w:val="0042546F"/>
    <w:rsid w:val="0042559D"/>
    <w:rsid w:val="004259D8"/>
    <w:rsid w:val="004259DA"/>
    <w:rsid w:val="00425A5E"/>
    <w:rsid w:val="00425BA0"/>
    <w:rsid w:val="00425ED3"/>
    <w:rsid w:val="00425ED9"/>
    <w:rsid w:val="00426144"/>
    <w:rsid w:val="0042650F"/>
    <w:rsid w:val="00426528"/>
    <w:rsid w:val="0042653B"/>
    <w:rsid w:val="0042664B"/>
    <w:rsid w:val="0042664D"/>
    <w:rsid w:val="0042672F"/>
    <w:rsid w:val="00426733"/>
    <w:rsid w:val="004267A2"/>
    <w:rsid w:val="00426932"/>
    <w:rsid w:val="00426C40"/>
    <w:rsid w:val="00426DC5"/>
    <w:rsid w:val="004276C0"/>
    <w:rsid w:val="004276D6"/>
    <w:rsid w:val="004277BA"/>
    <w:rsid w:val="00427B1A"/>
    <w:rsid w:val="00427BFA"/>
    <w:rsid w:val="00427CC3"/>
    <w:rsid w:val="00427DC8"/>
    <w:rsid w:val="00427EC3"/>
    <w:rsid w:val="00427ED9"/>
    <w:rsid w:val="00427F12"/>
    <w:rsid w:val="00430041"/>
    <w:rsid w:val="004304CB"/>
    <w:rsid w:val="004307E4"/>
    <w:rsid w:val="00430959"/>
    <w:rsid w:val="00430B63"/>
    <w:rsid w:val="00430C8B"/>
    <w:rsid w:val="00430C91"/>
    <w:rsid w:val="00431142"/>
    <w:rsid w:val="0043143F"/>
    <w:rsid w:val="00431677"/>
    <w:rsid w:val="004316D7"/>
    <w:rsid w:val="0043177F"/>
    <w:rsid w:val="0043185C"/>
    <w:rsid w:val="00431BA5"/>
    <w:rsid w:val="00431C38"/>
    <w:rsid w:val="00431CD0"/>
    <w:rsid w:val="00431EFC"/>
    <w:rsid w:val="004323C7"/>
    <w:rsid w:val="00432C40"/>
    <w:rsid w:val="00432FF6"/>
    <w:rsid w:val="004331BF"/>
    <w:rsid w:val="0043358C"/>
    <w:rsid w:val="004336A3"/>
    <w:rsid w:val="0043376F"/>
    <w:rsid w:val="004339BB"/>
    <w:rsid w:val="00433D2C"/>
    <w:rsid w:val="00433E50"/>
    <w:rsid w:val="00433E8A"/>
    <w:rsid w:val="004340D4"/>
    <w:rsid w:val="0043423D"/>
    <w:rsid w:val="00434B1A"/>
    <w:rsid w:val="00434BBA"/>
    <w:rsid w:val="00434C92"/>
    <w:rsid w:val="004353F2"/>
    <w:rsid w:val="0043542D"/>
    <w:rsid w:val="00435480"/>
    <w:rsid w:val="0043550D"/>
    <w:rsid w:val="00435618"/>
    <w:rsid w:val="00435BE7"/>
    <w:rsid w:val="00435D82"/>
    <w:rsid w:val="00435D88"/>
    <w:rsid w:val="00435EF3"/>
    <w:rsid w:val="00436411"/>
    <w:rsid w:val="00436522"/>
    <w:rsid w:val="00436648"/>
    <w:rsid w:val="0043688B"/>
    <w:rsid w:val="00436A11"/>
    <w:rsid w:val="00436A4B"/>
    <w:rsid w:val="00436E69"/>
    <w:rsid w:val="00436FCA"/>
    <w:rsid w:val="00437034"/>
    <w:rsid w:val="0043761A"/>
    <w:rsid w:val="0043769F"/>
    <w:rsid w:val="004376D4"/>
    <w:rsid w:val="004377A0"/>
    <w:rsid w:val="00437AC0"/>
    <w:rsid w:val="00437F2F"/>
    <w:rsid w:val="00437FA6"/>
    <w:rsid w:val="00437FE9"/>
    <w:rsid w:val="00440115"/>
    <w:rsid w:val="0044037B"/>
    <w:rsid w:val="004403A2"/>
    <w:rsid w:val="0044040B"/>
    <w:rsid w:val="00440441"/>
    <w:rsid w:val="0044075F"/>
    <w:rsid w:val="004407C1"/>
    <w:rsid w:val="00440D08"/>
    <w:rsid w:val="00440EA9"/>
    <w:rsid w:val="00440EF1"/>
    <w:rsid w:val="004415C0"/>
    <w:rsid w:val="004417EF"/>
    <w:rsid w:val="00441980"/>
    <w:rsid w:val="00441B29"/>
    <w:rsid w:val="00441E19"/>
    <w:rsid w:val="00442125"/>
    <w:rsid w:val="00442160"/>
    <w:rsid w:val="0044225E"/>
    <w:rsid w:val="0044234C"/>
    <w:rsid w:val="0044252C"/>
    <w:rsid w:val="004426E2"/>
    <w:rsid w:val="004426F1"/>
    <w:rsid w:val="004429C7"/>
    <w:rsid w:val="004429D9"/>
    <w:rsid w:val="00442CF3"/>
    <w:rsid w:val="00442D76"/>
    <w:rsid w:val="00442E33"/>
    <w:rsid w:val="00442E49"/>
    <w:rsid w:val="00442E7E"/>
    <w:rsid w:val="004430E0"/>
    <w:rsid w:val="00443121"/>
    <w:rsid w:val="004432DB"/>
    <w:rsid w:val="00443303"/>
    <w:rsid w:val="004439B3"/>
    <w:rsid w:val="00443A61"/>
    <w:rsid w:val="00443BF3"/>
    <w:rsid w:val="00443C14"/>
    <w:rsid w:val="00443C63"/>
    <w:rsid w:val="00443DCF"/>
    <w:rsid w:val="0044410B"/>
    <w:rsid w:val="00444584"/>
    <w:rsid w:val="00444A6B"/>
    <w:rsid w:val="00444A7C"/>
    <w:rsid w:val="00444C60"/>
    <w:rsid w:val="00444E06"/>
    <w:rsid w:val="00444EE3"/>
    <w:rsid w:val="00445175"/>
    <w:rsid w:val="0044539F"/>
    <w:rsid w:val="004454F6"/>
    <w:rsid w:val="0044554C"/>
    <w:rsid w:val="0044564F"/>
    <w:rsid w:val="0044576F"/>
    <w:rsid w:val="00445C2A"/>
    <w:rsid w:val="00445C3A"/>
    <w:rsid w:val="00445D55"/>
    <w:rsid w:val="00445D57"/>
    <w:rsid w:val="0044609C"/>
    <w:rsid w:val="00446283"/>
    <w:rsid w:val="00446462"/>
    <w:rsid w:val="00446674"/>
    <w:rsid w:val="0044694F"/>
    <w:rsid w:val="00446C07"/>
    <w:rsid w:val="00446E05"/>
    <w:rsid w:val="0044708C"/>
    <w:rsid w:val="00447126"/>
    <w:rsid w:val="004472E1"/>
    <w:rsid w:val="0044746F"/>
    <w:rsid w:val="004475E7"/>
    <w:rsid w:val="00447729"/>
    <w:rsid w:val="00447A22"/>
    <w:rsid w:val="00447DFC"/>
    <w:rsid w:val="0045014E"/>
    <w:rsid w:val="0045017D"/>
    <w:rsid w:val="00450460"/>
    <w:rsid w:val="004504B7"/>
    <w:rsid w:val="00450550"/>
    <w:rsid w:val="0045055C"/>
    <w:rsid w:val="00450663"/>
    <w:rsid w:val="00450695"/>
    <w:rsid w:val="004506C4"/>
    <w:rsid w:val="00450DF6"/>
    <w:rsid w:val="004512A8"/>
    <w:rsid w:val="004512CB"/>
    <w:rsid w:val="00451310"/>
    <w:rsid w:val="00451401"/>
    <w:rsid w:val="00451499"/>
    <w:rsid w:val="004518F3"/>
    <w:rsid w:val="00451CE1"/>
    <w:rsid w:val="00452399"/>
    <w:rsid w:val="00452459"/>
    <w:rsid w:val="00452499"/>
    <w:rsid w:val="0045251C"/>
    <w:rsid w:val="004526B9"/>
    <w:rsid w:val="00452714"/>
    <w:rsid w:val="004527CC"/>
    <w:rsid w:val="00452E6E"/>
    <w:rsid w:val="00452FBB"/>
    <w:rsid w:val="0045310F"/>
    <w:rsid w:val="00453232"/>
    <w:rsid w:val="00453233"/>
    <w:rsid w:val="004532E7"/>
    <w:rsid w:val="00453581"/>
    <w:rsid w:val="00453614"/>
    <w:rsid w:val="00453850"/>
    <w:rsid w:val="00453BD5"/>
    <w:rsid w:val="00453E10"/>
    <w:rsid w:val="0045407F"/>
    <w:rsid w:val="00454198"/>
    <w:rsid w:val="004541F1"/>
    <w:rsid w:val="00454233"/>
    <w:rsid w:val="00454259"/>
    <w:rsid w:val="00454261"/>
    <w:rsid w:val="00454481"/>
    <w:rsid w:val="0045448B"/>
    <w:rsid w:val="004544EC"/>
    <w:rsid w:val="00454763"/>
    <w:rsid w:val="00454835"/>
    <w:rsid w:val="00454DD8"/>
    <w:rsid w:val="00454F7D"/>
    <w:rsid w:val="00454F8A"/>
    <w:rsid w:val="004552E6"/>
    <w:rsid w:val="004553F9"/>
    <w:rsid w:val="00455744"/>
    <w:rsid w:val="0045582B"/>
    <w:rsid w:val="00456061"/>
    <w:rsid w:val="0045626E"/>
    <w:rsid w:val="00456283"/>
    <w:rsid w:val="00456305"/>
    <w:rsid w:val="0045644D"/>
    <w:rsid w:val="00456609"/>
    <w:rsid w:val="00456635"/>
    <w:rsid w:val="0045669E"/>
    <w:rsid w:val="00456725"/>
    <w:rsid w:val="00456802"/>
    <w:rsid w:val="00456828"/>
    <w:rsid w:val="004568EB"/>
    <w:rsid w:val="00456948"/>
    <w:rsid w:val="00456CC0"/>
    <w:rsid w:val="00456EAD"/>
    <w:rsid w:val="0045728A"/>
    <w:rsid w:val="00457389"/>
    <w:rsid w:val="00457419"/>
    <w:rsid w:val="00457512"/>
    <w:rsid w:val="00457566"/>
    <w:rsid w:val="004575F0"/>
    <w:rsid w:val="004576F1"/>
    <w:rsid w:val="0045780A"/>
    <w:rsid w:val="00457968"/>
    <w:rsid w:val="00457B75"/>
    <w:rsid w:val="00457EBA"/>
    <w:rsid w:val="00460129"/>
    <w:rsid w:val="00460146"/>
    <w:rsid w:val="00460396"/>
    <w:rsid w:val="00460405"/>
    <w:rsid w:val="004605D0"/>
    <w:rsid w:val="00460CE2"/>
    <w:rsid w:val="00460CF4"/>
    <w:rsid w:val="00460D1F"/>
    <w:rsid w:val="00460D76"/>
    <w:rsid w:val="00460EA7"/>
    <w:rsid w:val="004610C5"/>
    <w:rsid w:val="00461173"/>
    <w:rsid w:val="004612AB"/>
    <w:rsid w:val="004614C6"/>
    <w:rsid w:val="00461565"/>
    <w:rsid w:val="0046176D"/>
    <w:rsid w:val="00461863"/>
    <w:rsid w:val="00461891"/>
    <w:rsid w:val="00461B61"/>
    <w:rsid w:val="00461C06"/>
    <w:rsid w:val="00461EDD"/>
    <w:rsid w:val="00462222"/>
    <w:rsid w:val="0046224B"/>
    <w:rsid w:val="00462849"/>
    <w:rsid w:val="00462887"/>
    <w:rsid w:val="004629C3"/>
    <w:rsid w:val="00462A34"/>
    <w:rsid w:val="00462AEA"/>
    <w:rsid w:val="00462B7B"/>
    <w:rsid w:val="00462BAF"/>
    <w:rsid w:val="00462C87"/>
    <w:rsid w:val="00462C9F"/>
    <w:rsid w:val="00462D13"/>
    <w:rsid w:val="00462D2F"/>
    <w:rsid w:val="00462F35"/>
    <w:rsid w:val="00463055"/>
    <w:rsid w:val="004630BD"/>
    <w:rsid w:val="00463107"/>
    <w:rsid w:val="00463285"/>
    <w:rsid w:val="00463478"/>
    <w:rsid w:val="00463550"/>
    <w:rsid w:val="004637A4"/>
    <w:rsid w:val="00463803"/>
    <w:rsid w:val="0046389F"/>
    <w:rsid w:val="0046395B"/>
    <w:rsid w:val="00463C9C"/>
    <w:rsid w:val="00463CC9"/>
    <w:rsid w:val="00463F6B"/>
    <w:rsid w:val="00463F84"/>
    <w:rsid w:val="00463F96"/>
    <w:rsid w:val="00464061"/>
    <w:rsid w:val="00464848"/>
    <w:rsid w:val="0046497D"/>
    <w:rsid w:val="004649CB"/>
    <w:rsid w:val="00464A34"/>
    <w:rsid w:val="00464A6F"/>
    <w:rsid w:val="00464E51"/>
    <w:rsid w:val="00465081"/>
    <w:rsid w:val="004650D0"/>
    <w:rsid w:val="00465256"/>
    <w:rsid w:val="00465295"/>
    <w:rsid w:val="004654F7"/>
    <w:rsid w:val="00465761"/>
    <w:rsid w:val="0046596E"/>
    <w:rsid w:val="004659BB"/>
    <w:rsid w:val="00465C19"/>
    <w:rsid w:val="00465FF1"/>
    <w:rsid w:val="00466177"/>
    <w:rsid w:val="00466368"/>
    <w:rsid w:val="0046654C"/>
    <w:rsid w:val="004666F9"/>
    <w:rsid w:val="00466816"/>
    <w:rsid w:val="00466867"/>
    <w:rsid w:val="0046693B"/>
    <w:rsid w:val="00466958"/>
    <w:rsid w:val="00466B17"/>
    <w:rsid w:val="00466D5C"/>
    <w:rsid w:val="0046704D"/>
    <w:rsid w:val="00467236"/>
    <w:rsid w:val="0046723D"/>
    <w:rsid w:val="004675E7"/>
    <w:rsid w:val="0046780F"/>
    <w:rsid w:val="004679C5"/>
    <w:rsid w:val="00467E4C"/>
    <w:rsid w:val="00467EEB"/>
    <w:rsid w:val="004700E9"/>
    <w:rsid w:val="004703BB"/>
    <w:rsid w:val="004706AC"/>
    <w:rsid w:val="00470A2C"/>
    <w:rsid w:val="00470A8E"/>
    <w:rsid w:val="00470DCD"/>
    <w:rsid w:val="004710A1"/>
    <w:rsid w:val="00471220"/>
    <w:rsid w:val="00471235"/>
    <w:rsid w:val="004712B6"/>
    <w:rsid w:val="0047186C"/>
    <w:rsid w:val="0047197D"/>
    <w:rsid w:val="00471B6E"/>
    <w:rsid w:val="00471C4A"/>
    <w:rsid w:val="00471E43"/>
    <w:rsid w:val="004721FE"/>
    <w:rsid w:val="0047232A"/>
    <w:rsid w:val="00472568"/>
    <w:rsid w:val="00472838"/>
    <w:rsid w:val="004728AC"/>
    <w:rsid w:val="00472C8D"/>
    <w:rsid w:val="00472EEB"/>
    <w:rsid w:val="00473213"/>
    <w:rsid w:val="004734A1"/>
    <w:rsid w:val="004736D7"/>
    <w:rsid w:val="00473772"/>
    <w:rsid w:val="00473BF4"/>
    <w:rsid w:val="00473DDE"/>
    <w:rsid w:val="00473DDF"/>
    <w:rsid w:val="004742AA"/>
    <w:rsid w:val="004742EE"/>
    <w:rsid w:val="0047437B"/>
    <w:rsid w:val="0047446B"/>
    <w:rsid w:val="00474537"/>
    <w:rsid w:val="004745E0"/>
    <w:rsid w:val="0047489C"/>
    <w:rsid w:val="00474950"/>
    <w:rsid w:val="00474CBE"/>
    <w:rsid w:val="004751A8"/>
    <w:rsid w:val="004757D2"/>
    <w:rsid w:val="00475874"/>
    <w:rsid w:val="00475AC0"/>
    <w:rsid w:val="00475E96"/>
    <w:rsid w:val="00475F4B"/>
    <w:rsid w:val="0047622E"/>
    <w:rsid w:val="00476644"/>
    <w:rsid w:val="004769A5"/>
    <w:rsid w:val="00476A3A"/>
    <w:rsid w:val="00476A75"/>
    <w:rsid w:val="00476D1A"/>
    <w:rsid w:val="00476F9F"/>
    <w:rsid w:val="00476FF2"/>
    <w:rsid w:val="00477031"/>
    <w:rsid w:val="004773FD"/>
    <w:rsid w:val="00477441"/>
    <w:rsid w:val="004775AB"/>
    <w:rsid w:val="00477963"/>
    <w:rsid w:val="00477AE9"/>
    <w:rsid w:val="00477F96"/>
    <w:rsid w:val="004800D6"/>
    <w:rsid w:val="00480211"/>
    <w:rsid w:val="00480351"/>
    <w:rsid w:val="00480384"/>
    <w:rsid w:val="004803D3"/>
    <w:rsid w:val="00480E43"/>
    <w:rsid w:val="00480E7F"/>
    <w:rsid w:val="004811B7"/>
    <w:rsid w:val="004812FE"/>
    <w:rsid w:val="00481330"/>
    <w:rsid w:val="00481633"/>
    <w:rsid w:val="0048174E"/>
    <w:rsid w:val="00481923"/>
    <w:rsid w:val="00481962"/>
    <w:rsid w:val="00481CC7"/>
    <w:rsid w:val="00482318"/>
    <w:rsid w:val="00482B83"/>
    <w:rsid w:val="00482FA7"/>
    <w:rsid w:val="0048309D"/>
    <w:rsid w:val="00483166"/>
    <w:rsid w:val="004839A6"/>
    <w:rsid w:val="00483C97"/>
    <w:rsid w:val="00483E6B"/>
    <w:rsid w:val="004841B6"/>
    <w:rsid w:val="0048462F"/>
    <w:rsid w:val="004847DB"/>
    <w:rsid w:val="0048483E"/>
    <w:rsid w:val="00484955"/>
    <w:rsid w:val="0048495D"/>
    <w:rsid w:val="004849C2"/>
    <w:rsid w:val="004849CF"/>
    <w:rsid w:val="00484A48"/>
    <w:rsid w:val="00484BBE"/>
    <w:rsid w:val="00484F6D"/>
    <w:rsid w:val="00484F8E"/>
    <w:rsid w:val="0048508B"/>
    <w:rsid w:val="004852E5"/>
    <w:rsid w:val="00485453"/>
    <w:rsid w:val="0048566C"/>
    <w:rsid w:val="0048583B"/>
    <w:rsid w:val="004858F6"/>
    <w:rsid w:val="00485A21"/>
    <w:rsid w:val="00485A41"/>
    <w:rsid w:val="00485ACB"/>
    <w:rsid w:val="00485BD6"/>
    <w:rsid w:val="00485C81"/>
    <w:rsid w:val="00485C9D"/>
    <w:rsid w:val="00485F70"/>
    <w:rsid w:val="004862DF"/>
    <w:rsid w:val="00486602"/>
    <w:rsid w:val="004866A0"/>
    <w:rsid w:val="0048672F"/>
    <w:rsid w:val="00486979"/>
    <w:rsid w:val="00486E9F"/>
    <w:rsid w:val="00486FCE"/>
    <w:rsid w:val="004871D2"/>
    <w:rsid w:val="004872AE"/>
    <w:rsid w:val="00487EBD"/>
    <w:rsid w:val="004900C7"/>
    <w:rsid w:val="0049047F"/>
    <w:rsid w:val="00490564"/>
    <w:rsid w:val="004905C2"/>
    <w:rsid w:val="0049088F"/>
    <w:rsid w:val="0049092C"/>
    <w:rsid w:val="00490BB1"/>
    <w:rsid w:val="00490BD6"/>
    <w:rsid w:val="00490D03"/>
    <w:rsid w:val="00490D07"/>
    <w:rsid w:val="00490F72"/>
    <w:rsid w:val="00491199"/>
    <w:rsid w:val="00491615"/>
    <w:rsid w:val="00491685"/>
    <w:rsid w:val="004919CD"/>
    <w:rsid w:val="00491AF5"/>
    <w:rsid w:val="00491F05"/>
    <w:rsid w:val="00491FEB"/>
    <w:rsid w:val="004920A9"/>
    <w:rsid w:val="0049231C"/>
    <w:rsid w:val="00492608"/>
    <w:rsid w:val="00492770"/>
    <w:rsid w:val="00492A28"/>
    <w:rsid w:val="00492B59"/>
    <w:rsid w:val="00492BE9"/>
    <w:rsid w:val="004930CE"/>
    <w:rsid w:val="00493143"/>
    <w:rsid w:val="004931AB"/>
    <w:rsid w:val="0049337B"/>
    <w:rsid w:val="004933C2"/>
    <w:rsid w:val="004935EE"/>
    <w:rsid w:val="00493718"/>
    <w:rsid w:val="00493819"/>
    <w:rsid w:val="00493959"/>
    <w:rsid w:val="00493E19"/>
    <w:rsid w:val="00493E27"/>
    <w:rsid w:val="004940F8"/>
    <w:rsid w:val="00494262"/>
    <w:rsid w:val="0049435A"/>
    <w:rsid w:val="0049450A"/>
    <w:rsid w:val="0049450F"/>
    <w:rsid w:val="004945D7"/>
    <w:rsid w:val="004945EE"/>
    <w:rsid w:val="004947A9"/>
    <w:rsid w:val="00494AF7"/>
    <w:rsid w:val="00494F1D"/>
    <w:rsid w:val="00494FBA"/>
    <w:rsid w:val="00494FC4"/>
    <w:rsid w:val="004957FD"/>
    <w:rsid w:val="00495846"/>
    <w:rsid w:val="00495F8F"/>
    <w:rsid w:val="00496357"/>
    <w:rsid w:val="00496392"/>
    <w:rsid w:val="0049645F"/>
    <w:rsid w:val="004967FD"/>
    <w:rsid w:val="004968E8"/>
    <w:rsid w:val="00496EC1"/>
    <w:rsid w:val="00497419"/>
    <w:rsid w:val="004978E4"/>
    <w:rsid w:val="00497B09"/>
    <w:rsid w:val="00497BE1"/>
    <w:rsid w:val="00497D9C"/>
    <w:rsid w:val="00497E46"/>
    <w:rsid w:val="00497F1B"/>
    <w:rsid w:val="00497FE3"/>
    <w:rsid w:val="004A008A"/>
    <w:rsid w:val="004A0792"/>
    <w:rsid w:val="004A0991"/>
    <w:rsid w:val="004A0BFC"/>
    <w:rsid w:val="004A10D5"/>
    <w:rsid w:val="004A12D0"/>
    <w:rsid w:val="004A1401"/>
    <w:rsid w:val="004A1487"/>
    <w:rsid w:val="004A149B"/>
    <w:rsid w:val="004A1AB3"/>
    <w:rsid w:val="004A1AB6"/>
    <w:rsid w:val="004A1D60"/>
    <w:rsid w:val="004A1DC9"/>
    <w:rsid w:val="004A1F23"/>
    <w:rsid w:val="004A1F7D"/>
    <w:rsid w:val="004A1FF6"/>
    <w:rsid w:val="004A2757"/>
    <w:rsid w:val="004A27FF"/>
    <w:rsid w:val="004A2A51"/>
    <w:rsid w:val="004A2AF8"/>
    <w:rsid w:val="004A2C6A"/>
    <w:rsid w:val="004A2E4C"/>
    <w:rsid w:val="004A2FEA"/>
    <w:rsid w:val="004A3023"/>
    <w:rsid w:val="004A3042"/>
    <w:rsid w:val="004A312E"/>
    <w:rsid w:val="004A3177"/>
    <w:rsid w:val="004A31A0"/>
    <w:rsid w:val="004A33CB"/>
    <w:rsid w:val="004A346D"/>
    <w:rsid w:val="004A362C"/>
    <w:rsid w:val="004A3729"/>
    <w:rsid w:val="004A3A60"/>
    <w:rsid w:val="004A3AA6"/>
    <w:rsid w:val="004A3B1D"/>
    <w:rsid w:val="004A3B85"/>
    <w:rsid w:val="004A3CAF"/>
    <w:rsid w:val="004A3D40"/>
    <w:rsid w:val="004A3E43"/>
    <w:rsid w:val="004A3EC6"/>
    <w:rsid w:val="004A3F6E"/>
    <w:rsid w:val="004A40FE"/>
    <w:rsid w:val="004A490F"/>
    <w:rsid w:val="004A4AA2"/>
    <w:rsid w:val="004A4AFF"/>
    <w:rsid w:val="004A4D03"/>
    <w:rsid w:val="004A4E12"/>
    <w:rsid w:val="004A4E40"/>
    <w:rsid w:val="004A4E4F"/>
    <w:rsid w:val="004A5063"/>
    <w:rsid w:val="004A50FF"/>
    <w:rsid w:val="004A5352"/>
    <w:rsid w:val="004A5374"/>
    <w:rsid w:val="004A53DB"/>
    <w:rsid w:val="004A5425"/>
    <w:rsid w:val="004A58DE"/>
    <w:rsid w:val="004A59BE"/>
    <w:rsid w:val="004A5B94"/>
    <w:rsid w:val="004A5F29"/>
    <w:rsid w:val="004A5FA7"/>
    <w:rsid w:val="004A6000"/>
    <w:rsid w:val="004A6060"/>
    <w:rsid w:val="004A610C"/>
    <w:rsid w:val="004A61BE"/>
    <w:rsid w:val="004A63AC"/>
    <w:rsid w:val="004A64C1"/>
    <w:rsid w:val="004A6956"/>
    <w:rsid w:val="004A69C3"/>
    <w:rsid w:val="004A6AB2"/>
    <w:rsid w:val="004A6B05"/>
    <w:rsid w:val="004A6B28"/>
    <w:rsid w:val="004A6F93"/>
    <w:rsid w:val="004A7036"/>
    <w:rsid w:val="004A75FE"/>
    <w:rsid w:val="004A771F"/>
    <w:rsid w:val="004A7799"/>
    <w:rsid w:val="004A7A80"/>
    <w:rsid w:val="004A7E91"/>
    <w:rsid w:val="004A7EA3"/>
    <w:rsid w:val="004A7F38"/>
    <w:rsid w:val="004A7F46"/>
    <w:rsid w:val="004A7F70"/>
    <w:rsid w:val="004A7FDE"/>
    <w:rsid w:val="004B00F7"/>
    <w:rsid w:val="004B021B"/>
    <w:rsid w:val="004B0245"/>
    <w:rsid w:val="004B0324"/>
    <w:rsid w:val="004B04C8"/>
    <w:rsid w:val="004B05DD"/>
    <w:rsid w:val="004B07CC"/>
    <w:rsid w:val="004B0B76"/>
    <w:rsid w:val="004B0C3B"/>
    <w:rsid w:val="004B0D22"/>
    <w:rsid w:val="004B0F75"/>
    <w:rsid w:val="004B122C"/>
    <w:rsid w:val="004B1470"/>
    <w:rsid w:val="004B1531"/>
    <w:rsid w:val="004B158F"/>
    <w:rsid w:val="004B1804"/>
    <w:rsid w:val="004B1881"/>
    <w:rsid w:val="004B1889"/>
    <w:rsid w:val="004B1AAE"/>
    <w:rsid w:val="004B1B79"/>
    <w:rsid w:val="004B1C3D"/>
    <w:rsid w:val="004B206D"/>
    <w:rsid w:val="004B2156"/>
    <w:rsid w:val="004B21D8"/>
    <w:rsid w:val="004B2219"/>
    <w:rsid w:val="004B23F1"/>
    <w:rsid w:val="004B24A3"/>
    <w:rsid w:val="004B24FF"/>
    <w:rsid w:val="004B2588"/>
    <w:rsid w:val="004B2710"/>
    <w:rsid w:val="004B2873"/>
    <w:rsid w:val="004B2919"/>
    <w:rsid w:val="004B2D3B"/>
    <w:rsid w:val="004B2D87"/>
    <w:rsid w:val="004B2DC8"/>
    <w:rsid w:val="004B2E25"/>
    <w:rsid w:val="004B2F7A"/>
    <w:rsid w:val="004B3280"/>
    <w:rsid w:val="004B3332"/>
    <w:rsid w:val="004B333A"/>
    <w:rsid w:val="004B39D4"/>
    <w:rsid w:val="004B3EBA"/>
    <w:rsid w:val="004B3FC5"/>
    <w:rsid w:val="004B408D"/>
    <w:rsid w:val="004B424B"/>
    <w:rsid w:val="004B4324"/>
    <w:rsid w:val="004B4328"/>
    <w:rsid w:val="004B443B"/>
    <w:rsid w:val="004B44FC"/>
    <w:rsid w:val="004B4D49"/>
    <w:rsid w:val="004B531F"/>
    <w:rsid w:val="004B53AD"/>
    <w:rsid w:val="004B54C7"/>
    <w:rsid w:val="004B555E"/>
    <w:rsid w:val="004B56A6"/>
    <w:rsid w:val="004B5D29"/>
    <w:rsid w:val="004B5ECD"/>
    <w:rsid w:val="004B6099"/>
    <w:rsid w:val="004B60CE"/>
    <w:rsid w:val="004B61CD"/>
    <w:rsid w:val="004B6318"/>
    <w:rsid w:val="004B64A8"/>
    <w:rsid w:val="004B671A"/>
    <w:rsid w:val="004B68A1"/>
    <w:rsid w:val="004B6B5B"/>
    <w:rsid w:val="004B6ECA"/>
    <w:rsid w:val="004B6EDC"/>
    <w:rsid w:val="004B71C6"/>
    <w:rsid w:val="004B7501"/>
    <w:rsid w:val="004B75C1"/>
    <w:rsid w:val="004B7B9C"/>
    <w:rsid w:val="004B7D91"/>
    <w:rsid w:val="004B7E5B"/>
    <w:rsid w:val="004B7FDA"/>
    <w:rsid w:val="004C03A5"/>
    <w:rsid w:val="004C043E"/>
    <w:rsid w:val="004C045C"/>
    <w:rsid w:val="004C0527"/>
    <w:rsid w:val="004C0750"/>
    <w:rsid w:val="004C0771"/>
    <w:rsid w:val="004C07D8"/>
    <w:rsid w:val="004C0845"/>
    <w:rsid w:val="004C0965"/>
    <w:rsid w:val="004C09AA"/>
    <w:rsid w:val="004C0AF4"/>
    <w:rsid w:val="004C0D14"/>
    <w:rsid w:val="004C0FD2"/>
    <w:rsid w:val="004C105E"/>
    <w:rsid w:val="004C110C"/>
    <w:rsid w:val="004C1158"/>
    <w:rsid w:val="004C142B"/>
    <w:rsid w:val="004C1C1B"/>
    <w:rsid w:val="004C1E40"/>
    <w:rsid w:val="004C2714"/>
    <w:rsid w:val="004C2F49"/>
    <w:rsid w:val="004C31B5"/>
    <w:rsid w:val="004C34BD"/>
    <w:rsid w:val="004C38AD"/>
    <w:rsid w:val="004C3AB0"/>
    <w:rsid w:val="004C3D86"/>
    <w:rsid w:val="004C3FFF"/>
    <w:rsid w:val="004C43A2"/>
    <w:rsid w:val="004C442D"/>
    <w:rsid w:val="004C4564"/>
    <w:rsid w:val="004C4649"/>
    <w:rsid w:val="004C4787"/>
    <w:rsid w:val="004C4928"/>
    <w:rsid w:val="004C5593"/>
    <w:rsid w:val="004C57AE"/>
    <w:rsid w:val="004C5930"/>
    <w:rsid w:val="004C5BA8"/>
    <w:rsid w:val="004C5D6A"/>
    <w:rsid w:val="004C5EFF"/>
    <w:rsid w:val="004C6091"/>
    <w:rsid w:val="004C623B"/>
    <w:rsid w:val="004C631A"/>
    <w:rsid w:val="004C64BB"/>
    <w:rsid w:val="004C66C1"/>
    <w:rsid w:val="004C6980"/>
    <w:rsid w:val="004C6AB3"/>
    <w:rsid w:val="004C6C9D"/>
    <w:rsid w:val="004C6CE7"/>
    <w:rsid w:val="004C6EAA"/>
    <w:rsid w:val="004C7217"/>
    <w:rsid w:val="004C75F8"/>
    <w:rsid w:val="004C7736"/>
    <w:rsid w:val="004C7811"/>
    <w:rsid w:val="004C7984"/>
    <w:rsid w:val="004C7AFE"/>
    <w:rsid w:val="004C7B3E"/>
    <w:rsid w:val="004C7CC7"/>
    <w:rsid w:val="004C7D26"/>
    <w:rsid w:val="004C7D90"/>
    <w:rsid w:val="004C7D93"/>
    <w:rsid w:val="004D0356"/>
    <w:rsid w:val="004D035E"/>
    <w:rsid w:val="004D0491"/>
    <w:rsid w:val="004D04C5"/>
    <w:rsid w:val="004D065C"/>
    <w:rsid w:val="004D0750"/>
    <w:rsid w:val="004D0B92"/>
    <w:rsid w:val="004D0CBB"/>
    <w:rsid w:val="004D0D24"/>
    <w:rsid w:val="004D0E90"/>
    <w:rsid w:val="004D1199"/>
    <w:rsid w:val="004D1291"/>
    <w:rsid w:val="004D13EF"/>
    <w:rsid w:val="004D14CA"/>
    <w:rsid w:val="004D17BE"/>
    <w:rsid w:val="004D1818"/>
    <w:rsid w:val="004D1B7A"/>
    <w:rsid w:val="004D1C3A"/>
    <w:rsid w:val="004D1DDE"/>
    <w:rsid w:val="004D1E6D"/>
    <w:rsid w:val="004D1E86"/>
    <w:rsid w:val="004D20BF"/>
    <w:rsid w:val="004D213E"/>
    <w:rsid w:val="004D2196"/>
    <w:rsid w:val="004D221D"/>
    <w:rsid w:val="004D2290"/>
    <w:rsid w:val="004D2299"/>
    <w:rsid w:val="004D22AA"/>
    <w:rsid w:val="004D25CE"/>
    <w:rsid w:val="004D27DB"/>
    <w:rsid w:val="004D27E1"/>
    <w:rsid w:val="004D27FB"/>
    <w:rsid w:val="004D286D"/>
    <w:rsid w:val="004D2BB1"/>
    <w:rsid w:val="004D2CBE"/>
    <w:rsid w:val="004D2CCB"/>
    <w:rsid w:val="004D32D3"/>
    <w:rsid w:val="004D357C"/>
    <w:rsid w:val="004D3800"/>
    <w:rsid w:val="004D39F3"/>
    <w:rsid w:val="004D3A46"/>
    <w:rsid w:val="004D3B2E"/>
    <w:rsid w:val="004D3E9B"/>
    <w:rsid w:val="004D45E0"/>
    <w:rsid w:val="004D4606"/>
    <w:rsid w:val="004D4739"/>
    <w:rsid w:val="004D4B5F"/>
    <w:rsid w:val="004D4CE3"/>
    <w:rsid w:val="004D4F55"/>
    <w:rsid w:val="004D5050"/>
    <w:rsid w:val="004D57DF"/>
    <w:rsid w:val="004D57E9"/>
    <w:rsid w:val="004D5815"/>
    <w:rsid w:val="004D5AAC"/>
    <w:rsid w:val="004D5F02"/>
    <w:rsid w:val="004D5FFC"/>
    <w:rsid w:val="004D5FFF"/>
    <w:rsid w:val="004D670F"/>
    <w:rsid w:val="004D6C8C"/>
    <w:rsid w:val="004D6C97"/>
    <w:rsid w:val="004D730F"/>
    <w:rsid w:val="004D74B5"/>
    <w:rsid w:val="004D7565"/>
    <w:rsid w:val="004D7650"/>
    <w:rsid w:val="004D77BD"/>
    <w:rsid w:val="004D7B0E"/>
    <w:rsid w:val="004D7D8E"/>
    <w:rsid w:val="004E00A2"/>
    <w:rsid w:val="004E0127"/>
    <w:rsid w:val="004E02E9"/>
    <w:rsid w:val="004E0377"/>
    <w:rsid w:val="004E0938"/>
    <w:rsid w:val="004E0E4A"/>
    <w:rsid w:val="004E1276"/>
    <w:rsid w:val="004E1428"/>
    <w:rsid w:val="004E1583"/>
    <w:rsid w:val="004E1AC9"/>
    <w:rsid w:val="004E1B3C"/>
    <w:rsid w:val="004E1EB8"/>
    <w:rsid w:val="004E1F6B"/>
    <w:rsid w:val="004E211D"/>
    <w:rsid w:val="004E24C0"/>
    <w:rsid w:val="004E24E0"/>
    <w:rsid w:val="004E2532"/>
    <w:rsid w:val="004E25BE"/>
    <w:rsid w:val="004E27E2"/>
    <w:rsid w:val="004E28C4"/>
    <w:rsid w:val="004E2A21"/>
    <w:rsid w:val="004E2AB3"/>
    <w:rsid w:val="004E2C2E"/>
    <w:rsid w:val="004E2FED"/>
    <w:rsid w:val="004E306C"/>
    <w:rsid w:val="004E341F"/>
    <w:rsid w:val="004E350E"/>
    <w:rsid w:val="004E380E"/>
    <w:rsid w:val="004E3960"/>
    <w:rsid w:val="004E3CB8"/>
    <w:rsid w:val="004E417F"/>
    <w:rsid w:val="004E4229"/>
    <w:rsid w:val="004E4239"/>
    <w:rsid w:val="004E44A0"/>
    <w:rsid w:val="004E4782"/>
    <w:rsid w:val="004E480F"/>
    <w:rsid w:val="004E4AF6"/>
    <w:rsid w:val="004E4B88"/>
    <w:rsid w:val="004E5410"/>
    <w:rsid w:val="004E5462"/>
    <w:rsid w:val="004E5803"/>
    <w:rsid w:val="004E5944"/>
    <w:rsid w:val="004E5A71"/>
    <w:rsid w:val="004E5B04"/>
    <w:rsid w:val="004E5C5E"/>
    <w:rsid w:val="004E5CAE"/>
    <w:rsid w:val="004E5E9B"/>
    <w:rsid w:val="004E6486"/>
    <w:rsid w:val="004E664B"/>
    <w:rsid w:val="004E6678"/>
    <w:rsid w:val="004E67C8"/>
    <w:rsid w:val="004E6845"/>
    <w:rsid w:val="004E6873"/>
    <w:rsid w:val="004E6949"/>
    <w:rsid w:val="004E6C2A"/>
    <w:rsid w:val="004E6E66"/>
    <w:rsid w:val="004E717E"/>
    <w:rsid w:val="004E71E9"/>
    <w:rsid w:val="004E72B6"/>
    <w:rsid w:val="004E7501"/>
    <w:rsid w:val="004E7615"/>
    <w:rsid w:val="004E7721"/>
    <w:rsid w:val="004E78BE"/>
    <w:rsid w:val="004E7D0C"/>
    <w:rsid w:val="004E7D58"/>
    <w:rsid w:val="004E7EDE"/>
    <w:rsid w:val="004E7EFC"/>
    <w:rsid w:val="004E7F9A"/>
    <w:rsid w:val="004F0143"/>
    <w:rsid w:val="004F01E9"/>
    <w:rsid w:val="004F049C"/>
    <w:rsid w:val="004F066A"/>
    <w:rsid w:val="004F06BD"/>
    <w:rsid w:val="004F0846"/>
    <w:rsid w:val="004F0A2A"/>
    <w:rsid w:val="004F0A3F"/>
    <w:rsid w:val="004F0A60"/>
    <w:rsid w:val="004F1045"/>
    <w:rsid w:val="004F10E1"/>
    <w:rsid w:val="004F1384"/>
    <w:rsid w:val="004F186B"/>
    <w:rsid w:val="004F1AAF"/>
    <w:rsid w:val="004F1B49"/>
    <w:rsid w:val="004F1B5C"/>
    <w:rsid w:val="004F221D"/>
    <w:rsid w:val="004F2228"/>
    <w:rsid w:val="004F23DC"/>
    <w:rsid w:val="004F23E5"/>
    <w:rsid w:val="004F24A3"/>
    <w:rsid w:val="004F2722"/>
    <w:rsid w:val="004F2816"/>
    <w:rsid w:val="004F29B4"/>
    <w:rsid w:val="004F2FC1"/>
    <w:rsid w:val="004F3348"/>
    <w:rsid w:val="004F35FA"/>
    <w:rsid w:val="004F3AF5"/>
    <w:rsid w:val="004F3C51"/>
    <w:rsid w:val="004F3E81"/>
    <w:rsid w:val="004F3F7A"/>
    <w:rsid w:val="004F3FAE"/>
    <w:rsid w:val="004F419B"/>
    <w:rsid w:val="004F41CA"/>
    <w:rsid w:val="004F425E"/>
    <w:rsid w:val="004F4529"/>
    <w:rsid w:val="004F4775"/>
    <w:rsid w:val="004F47AE"/>
    <w:rsid w:val="004F48A6"/>
    <w:rsid w:val="004F4BFE"/>
    <w:rsid w:val="004F4D2E"/>
    <w:rsid w:val="004F4DCE"/>
    <w:rsid w:val="004F4E0D"/>
    <w:rsid w:val="004F525F"/>
    <w:rsid w:val="004F54EF"/>
    <w:rsid w:val="004F55BC"/>
    <w:rsid w:val="004F5A51"/>
    <w:rsid w:val="004F5B64"/>
    <w:rsid w:val="004F5B6E"/>
    <w:rsid w:val="004F5B89"/>
    <w:rsid w:val="004F5F22"/>
    <w:rsid w:val="004F5FB2"/>
    <w:rsid w:val="004F6193"/>
    <w:rsid w:val="004F63C8"/>
    <w:rsid w:val="004F65CF"/>
    <w:rsid w:val="004F6706"/>
    <w:rsid w:val="004F68B8"/>
    <w:rsid w:val="004F6A3F"/>
    <w:rsid w:val="004F6CBD"/>
    <w:rsid w:val="004F724B"/>
    <w:rsid w:val="004F7340"/>
    <w:rsid w:val="004F74C3"/>
    <w:rsid w:val="004F79A9"/>
    <w:rsid w:val="004F79CF"/>
    <w:rsid w:val="004F7A9D"/>
    <w:rsid w:val="004F7E9E"/>
    <w:rsid w:val="004F7ED1"/>
    <w:rsid w:val="004F7F77"/>
    <w:rsid w:val="005001E8"/>
    <w:rsid w:val="00500532"/>
    <w:rsid w:val="0050074E"/>
    <w:rsid w:val="0050099B"/>
    <w:rsid w:val="00500C1F"/>
    <w:rsid w:val="005011FA"/>
    <w:rsid w:val="0050132F"/>
    <w:rsid w:val="00501500"/>
    <w:rsid w:val="005015ED"/>
    <w:rsid w:val="00501754"/>
    <w:rsid w:val="00501970"/>
    <w:rsid w:val="0050198A"/>
    <w:rsid w:val="00501DB9"/>
    <w:rsid w:val="00502008"/>
    <w:rsid w:val="00502513"/>
    <w:rsid w:val="0050279A"/>
    <w:rsid w:val="00502812"/>
    <w:rsid w:val="00502A62"/>
    <w:rsid w:val="00502B1E"/>
    <w:rsid w:val="00502B8D"/>
    <w:rsid w:val="00502D46"/>
    <w:rsid w:val="00502F83"/>
    <w:rsid w:val="00503141"/>
    <w:rsid w:val="0050318C"/>
    <w:rsid w:val="00503355"/>
    <w:rsid w:val="005033A5"/>
    <w:rsid w:val="00503708"/>
    <w:rsid w:val="005037F8"/>
    <w:rsid w:val="00503810"/>
    <w:rsid w:val="00503982"/>
    <w:rsid w:val="00503C0E"/>
    <w:rsid w:val="00503CAC"/>
    <w:rsid w:val="00504049"/>
    <w:rsid w:val="0050417B"/>
    <w:rsid w:val="005041CE"/>
    <w:rsid w:val="005042C5"/>
    <w:rsid w:val="005046D1"/>
    <w:rsid w:val="005048C2"/>
    <w:rsid w:val="00504A5B"/>
    <w:rsid w:val="00504AD2"/>
    <w:rsid w:val="00504B4E"/>
    <w:rsid w:val="00504BDA"/>
    <w:rsid w:val="00504D81"/>
    <w:rsid w:val="00504F34"/>
    <w:rsid w:val="00504F89"/>
    <w:rsid w:val="00505004"/>
    <w:rsid w:val="0050524C"/>
    <w:rsid w:val="00505630"/>
    <w:rsid w:val="00505745"/>
    <w:rsid w:val="00505C46"/>
    <w:rsid w:val="00505DF6"/>
    <w:rsid w:val="00505EA4"/>
    <w:rsid w:val="00506071"/>
    <w:rsid w:val="00506098"/>
    <w:rsid w:val="005061F1"/>
    <w:rsid w:val="0050626D"/>
    <w:rsid w:val="0050639B"/>
    <w:rsid w:val="005063DD"/>
    <w:rsid w:val="005064C4"/>
    <w:rsid w:val="005066E5"/>
    <w:rsid w:val="005068E5"/>
    <w:rsid w:val="00506A12"/>
    <w:rsid w:val="00506C2C"/>
    <w:rsid w:val="00506C36"/>
    <w:rsid w:val="00507104"/>
    <w:rsid w:val="00507250"/>
    <w:rsid w:val="0050728F"/>
    <w:rsid w:val="00507568"/>
    <w:rsid w:val="00507757"/>
    <w:rsid w:val="00507827"/>
    <w:rsid w:val="005078B7"/>
    <w:rsid w:val="00507A40"/>
    <w:rsid w:val="00507C09"/>
    <w:rsid w:val="0051008F"/>
    <w:rsid w:val="00510159"/>
    <w:rsid w:val="00510292"/>
    <w:rsid w:val="0051082A"/>
    <w:rsid w:val="00510858"/>
    <w:rsid w:val="005108CE"/>
    <w:rsid w:val="00510990"/>
    <w:rsid w:val="00510A73"/>
    <w:rsid w:val="00510C45"/>
    <w:rsid w:val="00510C62"/>
    <w:rsid w:val="00510DD6"/>
    <w:rsid w:val="00511056"/>
    <w:rsid w:val="00511079"/>
    <w:rsid w:val="005110D6"/>
    <w:rsid w:val="005113A6"/>
    <w:rsid w:val="005113C0"/>
    <w:rsid w:val="00511628"/>
    <w:rsid w:val="0051177E"/>
    <w:rsid w:val="005117F1"/>
    <w:rsid w:val="00511C14"/>
    <w:rsid w:val="00511DF7"/>
    <w:rsid w:val="00511EE3"/>
    <w:rsid w:val="00511F26"/>
    <w:rsid w:val="0051220A"/>
    <w:rsid w:val="005124FD"/>
    <w:rsid w:val="00512550"/>
    <w:rsid w:val="0051264F"/>
    <w:rsid w:val="005129AF"/>
    <w:rsid w:val="00512A63"/>
    <w:rsid w:val="00512E7A"/>
    <w:rsid w:val="00513026"/>
    <w:rsid w:val="005134FE"/>
    <w:rsid w:val="00513975"/>
    <w:rsid w:val="00513BC4"/>
    <w:rsid w:val="00513D57"/>
    <w:rsid w:val="00513EC4"/>
    <w:rsid w:val="00514246"/>
    <w:rsid w:val="005146CA"/>
    <w:rsid w:val="00514763"/>
    <w:rsid w:val="0051485A"/>
    <w:rsid w:val="00514B37"/>
    <w:rsid w:val="00514E7D"/>
    <w:rsid w:val="00514EBF"/>
    <w:rsid w:val="00515002"/>
    <w:rsid w:val="0051515B"/>
    <w:rsid w:val="00515175"/>
    <w:rsid w:val="0051518D"/>
    <w:rsid w:val="0051530C"/>
    <w:rsid w:val="005155E8"/>
    <w:rsid w:val="00515940"/>
    <w:rsid w:val="00515977"/>
    <w:rsid w:val="00515AD2"/>
    <w:rsid w:val="00515AE0"/>
    <w:rsid w:val="00515C38"/>
    <w:rsid w:val="00515C90"/>
    <w:rsid w:val="00515DAD"/>
    <w:rsid w:val="00515E7E"/>
    <w:rsid w:val="00515ECB"/>
    <w:rsid w:val="005163B2"/>
    <w:rsid w:val="00516529"/>
    <w:rsid w:val="005167FC"/>
    <w:rsid w:val="00516927"/>
    <w:rsid w:val="00516AF6"/>
    <w:rsid w:val="0051701C"/>
    <w:rsid w:val="00517086"/>
    <w:rsid w:val="00517205"/>
    <w:rsid w:val="00517545"/>
    <w:rsid w:val="00517741"/>
    <w:rsid w:val="00517847"/>
    <w:rsid w:val="005178CE"/>
    <w:rsid w:val="00517938"/>
    <w:rsid w:val="00517B33"/>
    <w:rsid w:val="00517B4F"/>
    <w:rsid w:val="00517B7E"/>
    <w:rsid w:val="00517FCB"/>
    <w:rsid w:val="00520542"/>
    <w:rsid w:val="005207F6"/>
    <w:rsid w:val="005208A1"/>
    <w:rsid w:val="005209D5"/>
    <w:rsid w:val="00520A75"/>
    <w:rsid w:val="00520A7E"/>
    <w:rsid w:val="00520AD5"/>
    <w:rsid w:val="00520BFD"/>
    <w:rsid w:val="00520D3E"/>
    <w:rsid w:val="00520D83"/>
    <w:rsid w:val="00520F4F"/>
    <w:rsid w:val="0052148B"/>
    <w:rsid w:val="005219A4"/>
    <w:rsid w:val="00521B58"/>
    <w:rsid w:val="00521D27"/>
    <w:rsid w:val="005220EC"/>
    <w:rsid w:val="00522347"/>
    <w:rsid w:val="0052267C"/>
    <w:rsid w:val="005227A1"/>
    <w:rsid w:val="005228D2"/>
    <w:rsid w:val="00522CDD"/>
    <w:rsid w:val="00522D21"/>
    <w:rsid w:val="00522DEB"/>
    <w:rsid w:val="00522E4C"/>
    <w:rsid w:val="00522FFD"/>
    <w:rsid w:val="0052321D"/>
    <w:rsid w:val="005237B1"/>
    <w:rsid w:val="00523AD6"/>
    <w:rsid w:val="00523B6D"/>
    <w:rsid w:val="00523C15"/>
    <w:rsid w:val="00523E46"/>
    <w:rsid w:val="00523E53"/>
    <w:rsid w:val="00523F46"/>
    <w:rsid w:val="00523FB9"/>
    <w:rsid w:val="00523FF4"/>
    <w:rsid w:val="005241FB"/>
    <w:rsid w:val="0052424F"/>
    <w:rsid w:val="0052444C"/>
    <w:rsid w:val="005244B9"/>
    <w:rsid w:val="005244DD"/>
    <w:rsid w:val="0052476D"/>
    <w:rsid w:val="005247EF"/>
    <w:rsid w:val="00524884"/>
    <w:rsid w:val="00524921"/>
    <w:rsid w:val="00524BDC"/>
    <w:rsid w:val="00524CBB"/>
    <w:rsid w:val="00524D51"/>
    <w:rsid w:val="00524DB7"/>
    <w:rsid w:val="00525313"/>
    <w:rsid w:val="0052567F"/>
    <w:rsid w:val="00525713"/>
    <w:rsid w:val="0052582B"/>
    <w:rsid w:val="00525913"/>
    <w:rsid w:val="0052592E"/>
    <w:rsid w:val="00525F2E"/>
    <w:rsid w:val="0052604D"/>
    <w:rsid w:val="005263E0"/>
    <w:rsid w:val="00526457"/>
    <w:rsid w:val="005264FD"/>
    <w:rsid w:val="00526AFA"/>
    <w:rsid w:val="00526CD4"/>
    <w:rsid w:val="00527194"/>
    <w:rsid w:val="00527478"/>
    <w:rsid w:val="00527495"/>
    <w:rsid w:val="00527539"/>
    <w:rsid w:val="00527630"/>
    <w:rsid w:val="0053088D"/>
    <w:rsid w:val="0053092C"/>
    <w:rsid w:val="0053093F"/>
    <w:rsid w:val="00530D80"/>
    <w:rsid w:val="00530D9D"/>
    <w:rsid w:val="00530DD2"/>
    <w:rsid w:val="00530DE9"/>
    <w:rsid w:val="00530F2D"/>
    <w:rsid w:val="00530FCD"/>
    <w:rsid w:val="00531310"/>
    <w:rsid w:val="00531406"/>
    <w:rsid w:val="00531533"/>
    <w:rsid w:val="0053186F"/>
    <w:rsid w:val="00531870"/>
    <w:rsid w:val="00531C12"/>
    <w:rsid w:val="00531CCE"/>
    <w:rsid w:val="0053230A"/>
    <w:rsid w:val="00532534"/>
    <w:rsid w:val="0053256C"/>
    <w:rsid w:val="005326BA"/>
    <w:rsid w:val="005328CD"/>
    <w:rsid w:val="00532A38"/>
    <w:rsid w:val="00532EBA"/>
    <w:rsid w:val="00533011"/>
    <w:rsid w:val="0053317F"/>
    <w:rsid w:val="0053330D"/>
    <w:rsid w:val="00533428"/>
    <w:rsid w:val="00533711"/>
    <w:rsid w:val="00533817"/>
    <w:rsid w:val="00533828"/>
    <w:rsid w:val="00533946"/>
    <w:rsid w:val="0053397B"/>
    <w:rsid w:val="005339AF"/>
    <w:rsid w:val="00533D4F"/>
    <w:rsid w:val="00533F38"/>
    <w:rsid w:val="00533FC9"/>
    <w:rsid w:val="00534172"/>
    <w:rsid w:val="00534900"/>
    <w:rsid w:val="00534A18"/>
    <w:rsid w:val="00534A61"/>
    <w:rsid w:val="00534C72"/>
    <w:rsid w:val="00534F9B"/>
    <w:rsid w:val="0053508E"/>
    <w:rsid w:val="005351A1"/>
    <w:rsid w:val="005352FE"/>
    <w:rsid w:val="00535573"/>
    <w:rsid w:val="00535EA2"/>
    <w:rsid w:val="00535F23"/>
    <w:rsid w:val="00535FE4"/>
    <w:rsid w:val="00536181"/>
    <w:rsid w:val="00536281"/>
    <w:rsid w:val="00536362"/>
    <w:rsid w:val="0053664C"/>
    <w:rsid w:val="0053674E"/>
    <w:rsid w:val="0053678A"/>
    <w:rsid w:val="0053694B"/>
    <w:rsid w:val="005369F0"/>
    <w:rsid w:val="00536B2C"/>
    <w:rsid w:val="00536FCD"/>
    <w:rsid w:val="00536FDE"/>
    <w:rsid w:val="0053702A"/>
    <w:rsid w:val="00537080"/>
    <w:rsid w:val="005374FE"/>
    <w:rsid w:val="005375F4"/>
    <w:rsid w:val="00537704"/>
    <w:rsid w:val="0053780A"/>
    <w:rsid w:val="005378BA"/>
    <w:rsid w:val="00537920"/>
    <w:rsid w:val="00537A9F"/>
    <w:rsid w:val="00537B9A"/>
    <w:rsid w:val="005400C5"/>
    <w:rsid w:val="0054014C"/>
    <w:rsid w:val="0054018C"/>
    <w:rsid w:val="0054036C"/>
    <w:rsid w:val="005408DF"/>
    <w:rsid w:val="00540A3C"/>
    <w:rsid w:val="00540A55"/>
    <w:rsid w:val="00540AA2"/>
    <w:rsid w:val="00540B31"/>
    <w:rsid w:val="00540F7A"/>
    <w:rsid w:val="005411BD"/>
    <w:rsid w:val="0054127C"/>
    <w:rsid w:val="005414F6"/>
    <w:rsid w:val="005416D8"/>
    <w:rsid w:val="0054176F"/>
    <w:rsid w:val="00542073"/>
    <w:rsid w:val="00542255"/>
    <w:rsid w:val="005422E7"/>
    <w:rsid w:val="00542303"/>
    <w:rsid w:val="00542701"/>
    <w:rsid w:val="0054280B"/>
    <w:rsid w:val="0054298C"/>
    <w:rsid w:val="00542AA3"/>
    <w:rsid w:val="00542BA7"/>
    <w:rsid w:val="00542E68"/>
    <w:rsid w:val="00542E6C"/>
    <w:rsid w:val="00543042"/>
    <w:rsid w:val="005431B8"/>
    <w:rsid w:val="00543349"/>
    <w:rsid w:val="005433DE"/>
    <w:rsid w:val="0054345C"/>
    <w:rsid w:val="0054363A"/>
    <w:rsid w:val="0054399B"/>
    <w:rsid w:val="00543A5E"/>
    <w:rsid w:val="00543B02"/>
    <w:rsid w:val="00543C49"/>
    <w:rsid w:val="00543D8A"/>
    <w:rsid w:val="005441AC"/>
    <w:rsid w:val="00544541"/>
    <w:rsid w:val="005447F4"/>
    <w:rsid w:val="00544839"/>
    <w:rsid w:val="0054497D"/>
    <w:rsid w:val="00544BC2"/>
    <w:rsid w:val="005450CB"/>
    <w:rsid w:val="0054525A"/>
    <w:rsid w:val="00545386"/>
    <w:rsid w:val="005454E3"/>
    <w:rsid w:val="00545B0A"/>
    <w:rsid w:val="00545C1A"/>
    <w:rsid w:val="00545C50"/>
    <w:rsid w:val="00545DF3"/>
    <w:rsid w:val="00546106"/>
    <w:rsid w:val="005461C1"/>
    <w:rsid w:val="00546378"/>
    <w:rsid w:val="005463DE"/>
    <w:rsid w:val="00546BC8"/>
    <w:rsid w:val="00546BE1"/>
    <w:rsid w:val="00546C59"/>
    <w:rsid w:val="00546DF6"/>
    <w:rsid w:val="00546E5A"/>
    <w:rsid w:val="00546FB4"/>
    <w:rsid w:val="00547154"/>
    <w:rsid w:val="00547208"/>
    <w:rsid w:val="0054766B"/>
    <w:rsid w:val="0054773B"/>
    <w:rsid w:val="005477BE"/>
    <w:rsid w:val="00547927"/>
    <w:rsid w:val="00547B8F"/>
    <w:rsid w:val="00547BA3"/>
    <w:rsid w:val="00547C2F"/>
    <w:rsid w:val="00550045"/>
    <w:rsid w:val="005500C7"/>
    <w:rsid w:val="0055013D"/>
    <w:rsid w:val="0055033F"/>
    <w:rsid w:val="00550565"/>
    <w:rsid w:val="005507B2"/>
    <w:rsid w:val="00550AC9"/>
    <w:rsid w:val="00551403"/>
    <w:rsid w:val="0055141A"/>
    <w:rsid w:val="005514A2"/>
    <w:rsid w:val="0055154E"/>
    <w:rsid w:val="00551669"/>
    <w:rsid w:val="005516F7"/>
    <w:rsid w:val="00551872"/>
    <w:rsid w:val="00551A11"/>
    <w:rsid w:val="00552062"/>
    <w:rsid w:val="005522B2"/>
    <w:rsid w:val="005525F5"/>
    <w:rsid w:val="00552721"/>
    <w:rsid w:val="00552ACB"/>
    <w:rsid w:val="00552E8B"/>
    <w:rsid w:val="00552EF1"/>
    <w:rsid w:val="0055325C"/>
    <w:rsid w:val="005535BB"/>
    <w:rsid w:val="005535E4"/>
    <w:rsid w:val="00553670"/>
    <w:rsid w:val="005536C2"/>
    <w:rsid w:val="0055393A"/>
    <w:rsid w:val="00553C60"/>
    <w:rsid w:val="00553D26"/>
    <w:rsid w:val="00553DDA"/>
    <w:rsid w:val="00553F59"/>
    <w:rsid w:val="00553F99"/>
    <w:rsid w:val="00554030"/>
    <w:rsid w:val="00554049"/>
    <w:rsid w:val="0055436D"/>
    <w:rsid w:val="00554694"/>
    <w:rsid w:val="00554723"/>
    <w:rsid w:val="00554835"/>
    <w:rsid w:val="00554F1E"/>
    <w:rsid w:val="00554FD4"/>
    <w:rsid w:val="00555213"/>
    <w:rsid w:val="00555296"/>
    <w:rsid w:val="005552AF"/>
    <w:rsid w:val="005554FB"/>
    <w:rsid w:val="0055555A"/>
    <w:rsid w:val="0055580C"/>
    <w:rsid w:val="00555979"/>
    <w:rsid w:val="00555D56"/>
    <w:rsid w:val="0055614F"/>
    <w:rsid w:val="0055640E"/>
    <w:rsid w:val="005565E1"/>
    <w:rsid w:val="0055662F"/>
    <w:rsid w:val="00556A14"/>
    <w:rsid w:val="00556A30"/>
    <w:rsid w:val="00556B5A"/>
    <w:rsid w:val="00556C97"/>
    <w:rsid w:val="00556DDC"/>
    <w:rsid w:val="0055703D"/>
    <w:rsid w:val="0055708F"/>
    <w:rsid w:val="00557105"/>
    <w:rsid w:val="005571C8"/>
    <w:rsid w:val="005572CC"/>
    <w:rsid w:val="0055751D"/>
    <w:rsid w:val="005576D3"/>
    <w:rsid w:val="00557716"/>
    <w:rsid w:val="00557BFE"/>
    <w:rsid w:val="00557E04"/>
    <w:rsid w:val="00557E12"/>
    <w:rsid w:val="00557E74"/>
    <w:rsid w:val="00560178"/>
    <w:rsid w:val="00560386"/>
    <w:rsid w:val="00560526"/>
    <w:rsid w:val="0056089D"/>
    <w:rsid w:val="00560E06"/>
    <w:rsid w:val="00560E84"/>
    <w:rsid w:val="00560EFA"/>
    <w:rsid w:val="00561311"/>
    <w:rsid w:val="00561944"/>
    <w:rsid w:val="00561F1F"/>
    <w:rsid w:val="00561F88"/>
    <w:rsid w:val="00561F8D"/>
    <w:rsid w:val="0056202D"/>
    <w:rsid w:val="00562095"/>
    <w:rsid w:val="005622A1"/>
    <w:rsid w:val="005623A7"/>
    <w:rsid w:val="0056284A"/>
    <w:rsid w:val="0056318F"/>
    <w:rsid w:val="00563524"/>
    <w:rsid w:val="0056372D"/>
    <w:rsid w:val="00563834"/>
    <w:rsid w:val="00563937"/>
    <w:rsid w:val="00563983"/>
    <w:rsid w:val="00563A1A"/>
    <w:rsid w:val="00563A90"/>
    <w:rsid w:val="00563AC8"/>
    <w:rsid w:val="00563C02"/>
    <w:rsid w:val="005641CF"/>
    <w:rsid w:val="0056425B"/>
    <w:rsid w:val="0056450F"/>
    <w:rsid w:val="00564571"/>
    <w:rsid w:val="00564694"/>
    <w:rsid w:val="005646E6"/>
    <w:rsid w:val="005648AE"/>
    <w:rsid w:val="00564973"/>
    <w:rsid w:val="00564BD1"/>
    <w:rsid w:val="00564C67"/>
    <w:rsid w:val="00564D0C"/>
    <w:rsid w:val="00564DA4"/>
    <w:rsid w:val="00564ED2"/>
    <w:rsid w:val="00564F2F"/>
    <w:rsid w:val="00564F91"/>
    <w:rsid w:val="005650F9"/>
    <w:rsid w:val="0056529F"/>
    <w:rsid w:val="005655AC"/>
    <w:rsid w:val="005656AB"/>
    <w:rsid w:val="00565886"/>
    <w:rsid w:val="005659EE"/>
    <w:rsid w:val="00565A51"/>
    <w:rsid w:val="00565B2D"/>
    <w:rsid w:val="00565B6B"/>
    <w:rsid w:val="00565E13"/>
    <w:rsid w:val="005663B2"/>
    <w:rsid w:val="005664FB"/>
    <w:rsid w:val="0056654A"/>
    <w:rsid w:val="00566653"/>
    <w:rsid w:val="0056674C"/>
    <w:rsid w:val="005667CA"/>
    <w:rsid w:val="00566B8E"/>
    <w:rsid w:val="0056701E"/>
    <w:rsid w:val="00567158"/>
    <w:rsid w:val="005673D1"/>
    <w:rsid w:val="0056747E"/>
    <w:rsid w:val="005674FD"/>
    <w:rsid w:val="00567773"/>
    <w:rsid w:val="005677E0"/>
    <w:rsid w:val="0056794C"/>
    <w:rsid w:val="00567A24"/>
    <w:rsid w:val="00567BB2"/>
    <w:rsid w:val="00567C20"/>
    <w:rsid w:val="00567C70"/>
    <w:rsid w:val="00567CEA"/>
    <w:rsid w:val="00567FE8"/>
    <w:rsid w:val="00570111"/>
    <w:rsid w:val="005701E4"/>
    <w:rsid w:val="0057062A"/>
    <w:rsid w:val="005709A5"/>
    <w:rsid w:val="00570E3E"/>
    <w:rsid w:val="00570E50"/>
    <w:rsid w:val="00570FF5"/>
    <w:rsid w:val="00571010"/>
    <w:rsid w:val="00571184"/>
    <w:rsid w:val="00571784"/>
    <w:rsid w:val="00571CDF"/>
    <w:rsid w:val="005721A8"/>
    <w:rsid w:val="005724A4"/>
    <w:rsid w:val="005724D2"/>
    <w:rsid w:val="005725B9"/>
    <w:rsid w:val="00572620"/>
    <w:rsid w:val="00572816"/>
    <w:rsid w:val="0057285A"/>
    <w:rsid w:val="00572B1A"/>
    <w:rsid w:val="00572C16"/>
    <w:rsid w:val="00572C2F"/>
    <w:rsid w:val="00573624"/>
    <w:rsid w:val="00573748"/>
    <w:rsid w:val="00573776"/>
    <w:rsid w:val="00573869"/>
    <w:rsid w:val="005739A1"/>
    <w:rsid w:val="005739E4"/>
    <w:rsid w:val="00573AB6"/>
    <w:rsid w:val="00573B35"/>
    <w:rsid w:val="00573ED5"/>
    <w:rsid w:val="0057443F"/>
    <w:rsid w:val="0057480A"/>
    <w:rsid w:val="00574C08"/>
    <w:rsid w:val="00574D64"/>
    <w:rsid w:val="00574E8B"/>
    <w:rsid w:val="0057521A"/>
    <w:rsid w:val="00575240"/>
    <w:rsid w:val="005752E4"/>
    <w:rsid w:val="005753C2"/>
    <w:rsid w:val="005754FB"/>
    <w:rsid w:val="005755F5"/>
    <w:rsid w:val="00575666"/>
    <w:rsid w:val="00575898"/>
    <w:rsid w:val="00575A88"/>
    <w:rsid w:val="00575F59"/>
    <w:rsid w:val="00576188"/>
    <w:rsid w:val="0057643D"/>
    <w:rsid w:val="00576575"/>
    <w:rsid w:val="00576790"/>
    <w:rsid w:val="005768CB"/>
    <w:rsid w:val="00576B10"/>
    <w:rsid w:val="00576C27"/>
    <w:rsid w:val="00576C33"/>
    <w:rsid w:val="00576FDE"/>
    <w:rsid w:val="00577005"/>
    <w:rsid w:val="00577553"/>
    <w:rsid w:val="00577574"/>
    <w:rsid w:val="005776E0"/>
    <w:rsid w:val="00577851"/>
    <w:rsid w:val="005779F5"/>
    <w:rsid w:val="00577C68"/>
    <w:rsid w:val="00577E80"/>
    <w:rsid w:val="005805F0"/>
    <w:rsid w:val="005806A8"/>
    <w:rsid w:val="005806AC"/>
    <w:rsid w:val="005806ED"/>
    <w:rsid w:val="0058083B"/>
    <w:rsid w:val="005809EC"/>
    <w:rsid w:val="00581167"/>
    <w:rsid w:val="00581535"/>
    <w:rsid w:val="0058177E"/>
    <w:rsid w:val="005817ED"/>
    <w:rsid w:val="0058195A"/>
    <w:rsid w:val="005819CF"/>
    <w:rsid w:val="00581AC0"/>
    <w:rsid w:val="00581F5F"/>
    <w:rsid w:val="00582024"/>
    <w:rsid w:val="00582191"/>
    <w:rsid w:val="005823AE"/>
    <w:rsid w:val="005823D0"/>
    <w:rsid w:val="00582427"/>
    <w:rsid w:val="005824D1"/>
    <w:rsid w:val="0058251C"/>
    <w:rsid w:val="00582784"/>
    <w:rsid w:val="005827F2"/>
    <w:rsid w:val="00582857"/>
    <w:rsid w:val="005828D2"/>
    <w:rsid w:val="005828D9"/>
    <w:rsid w:val="00582C66"/>
    <w:rsid w:val="00582C7D"/>
    <w:rsid w:val="00582CE1"/>
    <w:rsid w:val="00582EA0"/>
    <w:rsid w:val="0058324A"/>
    <w:rsid w:val="005839A5"/>
    <w:rsid w:val="00583C97"/>
    <w:rsid w:val="005840BA"/>
    <w:rsid w:val="0058411C"/>
    <w:rsid w:val="00584270"/>
    <w:rsid w:val="005842EF"/>
    <w:rsid w:val="00584365"/>
    <w:rsid w:val="0058437B"/>
    <w:rsid w:val="00584419"/>
    <w:rsid w:val="00584444"/>
    <w:rsid w:val="00584485"/>
    <w:rsid w:val="005844B3"/>
    <w:rsid w:val="005849D9"/>
    <w:rsid w:val="00584E9B"/>
    <w:rsid w:val="00584F4A"/>
    <w:rsid w:val="00584F6C"/>
    <w:rsid w:val="00585366"/>
    <w:rsid w:val="00585430"/>
    <w:rsid w:val="00585504"/>
    <w:rsid w:val="005856AF"/>
    <w:rsid w:val="005858AE"/>
    <w:rsid w:val="00585CE2"/>
    <w:rsid w:val="00585D24"/>
    <w:rsid w:val="00585D7D"/>
    <w:rsid w:val="0058608C"/>
    <w:rsid w:val="00586593"/>
    <w:rsid w:val="005868C4"/>
    <w:rsid w:val="005868C9"/>
    <w:rsid w:val="00586999"/>
    <w:rsid w:val="00586A07"/>
    <w:rsid w:val="00586CFD"/>
    <w:rsid w:val="00586E88"/>
    <w:rsid w:val="00587001"/>
    <w:rsid w:val="00587009"/>
    <w:rsid w:val="00587204"/>
    <w:rsid w:val="00587294"/>
    <w:rsid w:val="0058746C"/>
    <w:rsid w:val="00587607"/>
    <w:rsid w:val="005876AF"/>
    <w:rsid w:val="005876FA"/>
    <w:rsid w:val="005879FB"/>
    <w:rsid w:val="00587B79"/>
    <w:rsid w:val="005900A8"/>
    <w:rsid w:val="00590101"/>
    <w:rsid w:val="005901B1"/>
    <w:rsid w:val="005901D9"/>
    <w:rsid w:val="005906BE"/>
    <w:rsid w:val="005908FE"/>
    <w:rsid w:val="00590962"/>
    <w:rsid w:val="005909BF"/>
    <w:rsid w:val="00590AC8"/>
    <w:rsid w:val="00590AC9"/>
    <w:rsid w:val="00590B36"/>
    <w:rsid w:val="00591056"/>
    <w:rsid w:val="00591081"/>
    <w:rsid w:val="00591122"/>
    <w:rsid w:val="0059112C"/>
    <w:rsid w:val="00591375"/>
    <w:rsid w:val="005914B8"/>
    <w:rsid w:val="005918D0"/>
    <w:rsid w:val="00591AB5"/>
    <w:rsid w:val="00591B7B"/>
    <w:rsid w:val="00591CAB"/>
    <w:rsid w:val="00591D94"/>
    <w:rsid w:val="00591F00"/>
    <w:rsid w:val="005920F0"/>
    <w:rsid w:val="00592353"/>
    <w:rsid w:val="0059245C"/>
    <w:rsid w:val="00592542"/>
    <w:rsid w:val="00592582"/>
    <w:rsid w:val="005925C5"/>
    <w:rsid w:val="005926EC"/>
    <w:rsid w:val="005927A1"/>
    <w:rsid w:val="00592872"/>
    <w:rsid w:val="00592B72"/>
    <w:rsid w:val="00592BC3"/>
    <w:rsid w:val="005938BA"/>
    <w:rsid w:val="00593CDA"/>
    <w:rsid w:val="00593FBD"/>
    <w:rsid w:val="0059405A"/>
    <w:rsid w:val="0059415F"/>
    <w:rsid w:val="0059427F"/>
    <w:rsid w:val="00594353"/>
    <w:rsid w:val="0059446B"/>
    <w:rsid w:val="0059450F"/>
    <w:rsid w:val="005946AF"/>
    <w:rsid w:val="00594DDB"/>
    <w:rsid w:val="00595159"/>
    <w:rsid w:val="005951C8"/>
    <w:rsid w:val="00595289"/>
    <w:rsid w:val="005953F0"/>
    <w:rsid w:val="00595B22"/>
    <w:rsid w:val="00595E2C"/>
    <w:rsid w:val="00595E37"/>
    <w:rsid w:val="00595F4E"/>
    <w:rsid w:val="00595F70"/>
    <w:rsid w:val="00596196"/>
    <w:rsid w:val="005962CD"/>
    <w:rsid w:val="0059656A"/>
    <w:rsid w:val="005966D4"/>
    <w:rsid w:val="0059679A"/>
    <w:rsid w:val="00596F1A"/>
    <w:rsid w:val="00596F3B"/>
    <w:rsid w:val="00596F6A"/>
    <w:rsid w:val="00597222"/>
    <w:rsid w:val="0059722A"/>
    <w:rsid w:val="0059727E"/>
    <w:rsid w:val="0059755B"/>
    <w:rsid w:val="005975B7"/>
    <w:rsid w:val="005976A8"/>
    <w:rsid w:val="00597A07"/>
    <w:rsid w:val="00597ECC"/>
    <w:rsid w:val="00597FA0"/>
    <w:rsid w:val="005A0467"/>
    <w:rsid w:val="005A05C8"/>
    <w:rsid w:val="005A089C"/>
    <w:rsid w:val="005A0BB4"/>
    <w:rsid w:val="005A1045"/>
    <w:rsid w:val="005A1353"/>
    <w:rsid w:val="005A135D"/>
    <w:rsid w:val="005A1662"/>
    <w:rsid w:val="005A183F"/>
    <w:rsid w:val="005A1BB7"/>
    <w:rsid w:val="005A1D32"/>
    <w:rsid w:val="005A22A7"/>
    <w:rsid w:val="005A24BD"/>
    <w:rsid w:val="005A251F"/>
    <w:rsid w:val="005A28FE"/>
    <w:rsid w:val="005A2906"/>
    <w:rsid w:val="005A2BD2"/>
    <w:rsid w:val="005A2C9C"/>
    <w:rsid w:val="005A2CE3"/>
    <w:rsid w:val="005A2ECA"/>
    <w:rsid w:val="005A2F67"/>
    <w:rsid w:val="005A3206"/>
    <w:rsid w:val="005A374A"/>
    <w:rsid w:val="005A37A3"/>
    <w:rsid w:val="005A37C2"/>
    <w:rsid w:val="005A396A"/>
    <w:rsid w:val="005A3A95"/>
    <w:rsid w:val="005A3CD0"/>
    <w:rsid w:val="005A3D8B"/>
    <w:rsid w:val="005A3DCA"/>
    <w:rsid w:val="005A4028"/>
    <w:rsid w:val="005A411A"/>
    <w:rsid w:val="005A4423"/>
    <w:rsid w:val="005A4AAB"/>
    <w:rsid w:val="005A4B43"/>
    <w:rsid w:val="005A4BA2"/>
    <w:rsid w:val="005A4DF6"/>
    <w:rsid w:val="005A5123"/>
    <w:rsid w:val="005A5466"/>
    <w:rsid w:val="005A599B"/>
    <w:rsid w:val="005A5D4E"/>
    <w:rsid w:val="005A6211"/>
    <w:rsid w:val="005A648F"/>
    <w:rsid w:val="005A652E"/>
    <w:rsid w:val="005A657B"/>
    <w:rsid w:val="005A6780"/>
    <w:rsid w:val="005A6A82"/>
    <w:rsid w:val="005A6B07"/>
    <w:rsid w:val="005A6BC1"/>
    <w:rsid w:val="005A6E6A"/>
    <w:rsid w:val="005A6EE4"/>
    <w:rsid w:val="005A6F61"/>
    <w:rsid w:val="005A6F82"/>
    <w:rsid w:val="005A743C"/>
    <w:rsid w:val="005A7813"/>
    <w:rsid w:val="005A7BB1"/>
    <w:rsid w:val="005A7BD2"/>
    <w:rsid w:val="005A7C08"/>
    <w:rsid w:val="005B0407"/>
    <w:rsid w:val="005B05FA"/>
    <w:rsid w:val="005B0761"/>
    <w:rsid w:val="005B098C"/>
    <w:rsid w:val="005B09B0"/>
    <w:rsid w:val="005B0A01"/>
    <w:rsid w:val="005B0AF4"/>
    <w:rsid w:val="005B0D53"/>
    <w:rsid w:val="005B0EC9"/>
    <w:rsid w:val="005B0F62"/>
    <w:rsid w:val="005B0F81"/>
    <w:rsid w:val="005B1090"/>
    <w:rsid w:val="005B12C8"/>
    <w:rsid w:val="005B12CF"/>
    <w:rsid w:val="005B175A"/>
    <w:rsid w:val="005B17AB"/>
    <w:rsid w:val="005B19E3"/>
    <w:rsid w:val="005B1A78"/>
    <w:rsid w:val="005B1C89"/>
    <w:rsid w:val="005B1C8C"/>
    <w:rsid w:val="005B1E40"/>
    <w:rsid w:val="005B1E86"/>
    <w:rsid w:val="005B2301"/>
    <w:rsid w:val="005B2530"/>
    <w:rsid w:val="005B25D3"/>
    <w:rsid w:val="005B261A"/>
    <w:rsid w:val="005B26E3"/>
    <w:rsid w:val="005B289F"/>
    <w:rsid w:val="005B2AE1"/>
    <w:rsid w:val="005B2B36"/>
    <w:rsid w:val="005B3183"/>
    <w:rsid w:val="005B3200"/>
    <w:rsid w:val="005B32C3"/>
    <w:rsid w:val="005B35B0"/>
    <w:rsid w:val="005B35CB"/>
    <w:rsid w:val="005B363A"/>
    <w:rsid w:val="005B3833"/>
    <w:rsid w:val="005B3C59"/>
    <w:rsid w:val="005B3E27"/>
    <w:rsid w:val="005B43D9"/>
    <w:rsid w:val="005B44A1"/>
    <w:rsid w:val="005B47D1"/>
    <w:rsid w:val="005B4C0F"/>
    <w:rsid w:val="005B4E05"/>
    <w:rsid w:val="005B4E12"/>
    <w:rsid w:val="005B52A9"/>
    <w:rsid w:val="005B548C"/>
    <w:rsid w:val="005B563F"/>
    <w:rsid w:val="005B56F9"/>
    <w:rsid w:val="005B5E8E"/>
    <w:rsid w:val="005B6187"/>
    <w:rsid w:val="005B63C5"/>
    <w:rsid w:val="005B6568"/>
    <w:rsid w:val="005B683A"/>
    <w:rsid w:val="005B6ED7"/>
    <w:rsid w:val="005B7168"/>
    <w:rsid w:val="005B7425"/>
    <w:rsid w:val="005B76C8"/>
    <w:rsid w:val="005B76D6"/>
    <w:rsid w:val="005B76FC"/>
    <w:rsid w:val="005B7950"/>
    <w:rsid w:val="005B7BEF"/>
    <w:rsid w:val="005B7C28"/>
    <w:rsid w:val="005B7CBA"/>
    <w:rsid w:val="005B7F05"/>
    <w:rsid w:val="005C0008"/>
    <w:rsid w:val="005C0053"/>
    <w:rsid w:val="005C0159"/>
    <w:rsid w:val="005C05DF"/>
    <w:rsid w:val="005C0876"/>
    <w:rsid w:val="005C08DF"/>
    <w:rsid w:val="005C0B0D"/>
    <w:rsid w:val="005C0E7F"/>
    <w:rsid w:val="005C102D"/>
    <w:rsid w:val="005C1430"/>
    <w:rsid w:val="005C14F7"/>
    <w:rsid w:val="005C1711"/>
    <w:rsid w:val="005C19A1"/>
    <w:rsid w:val="005C1E57"/>
    <w:rsid w:val="005C2000"/>
    <w:rsid w:val="005C2862"/>
    <w:rsid w:val="005C292A"/>
    <w:rsid w:val="005C2A40"/>
    <w:rsid w:val="005C31A7"/>
    <w:rsid w:val="005C32C3"/>
    <w:rsid w:val="005C3368"/>
    <w:rsid w:val="005C37E3"/>
    <w:rsid w:val="005C38EF"/>
    <w:rsid w:val="005C3C07"/>
    <w:rsid w:val="005C41F4"/>
    <w:rsid w:val="005C4215"/>
    <w:rsid w:val="005C4294"/>
    <w:rsid w:val="005C4602"/>
    <w:rsid w:val="005C47A4"/>
    <w:rsid w:val="005C47B2"/>
    <w:rsid w:val="005C47D4"/>
    <w:rsid w:val="005C4D36"/>
    <w:rsid w:val="005C4D69"/>
    <w:rsid w:val="005C4E02"/>
    <w:rsid w:val="005C4F7B"/>
    <w:rsid w:val="005C5127"/>
    <w:rsid w:val="005C513E"/>
    <w:rsid w:val="005C5155"/>
    <w:rsid w:val="005C520D"/>
    <w:rsid w:val="005C5503"/>
    <w:rsid w:val="005C576E"/>
    <w:rsid w:val="005C5931"/>
    <w:rsid w:val="005C5CBE"/>
    <w:rsid w:val="005C60F3"/>
    <w:rsid w:val="005C619A"/>
    <w:rsid w:val="005C62E5"/>
    <w:rsid w:val="005C63B8"/>
    <w:rsid w:val="005C6578"/>
    <w:rsid w:val="005C6595"/>
    <w:rsid w:val="005C661A"/>
    <w:rsid w:val="005C67C6"/>
    <w:rsid w:val="005C67F7"/>
    <w:rsid w:val="005C69ED"/>
    <w:rsid w:val="005C6B9C"/>
    <w:rsid w:val="005C6EE4"/>
    <w:rsid w:val="005C6F07"/>
    <w:rsid w:val="005C703C"/>
    <w:rsid w:val="005C7065"/>
    <w:rsid w:val="005C7116"/>
    <w:rsid w:val="005C7130"/>
    <w:rsid w:val="005C731A"/>
    <w:rsid w:val="005C735C"/>
    <w:rsid w:val="005C7440"/>
    <w:rsid w:val="005C7477"/>
    <w:rsid w:val="005C798E"/>
    <w:rsid w:val="005C7A6A"/>
    <w:rsid w:val="005C7AC0"/>
    <w:rsid w:val="005C7C5C"/>
    <w:rsid w:val="005C7D15"/>
    <w:rsid w:val="005C7F20"/>
    <w:rsid w:val="005D0165"/>
    <w:rsid w:val="005D0199"/>
    <w:rsid w:val="005D041C"/>
    <w:rsid w:val="005D0553"/>
    <w:rsid w:val="005D05A3"/>
    <w:rsid w:val="005D069B"/>
    <w:rsid w:val="005D08C7"/>
    <w:rsid w:val="005D0952"/>
    <w:rsid w:val="005D0C1B"/>
    <w:rsid w:val="005D0C7D"/>
    <w:rsid w:val="005D0CB0"/>
    <w:rsid w:val="005D0D0D"/>
    <w:rsid w:val="005D0D3B"/>
    <w:rsid w:val="005D106B"/>
    <w:rsid w:val="005D107A"/>
    <w:rsid w:val="005D15DA"/>
    <w:rsid w:val="005D1C26"/>
    <w:rsid w:val="005D1C6D"/>
    <w:rsid w:val="005D20DC"/>
    <w:rsid w:val="005D2116"/>
    <w:rsid w:val="005D22C6"/>
    <w:rsid w:val="005D25A0"/>
    <w:rsid w:val="005D25D1"/>
    <w:rsid w:val="005D2600"/>
    <w:rsid w:val="005D265E"/>
    <w:rsid w:val="005D26CE"/>
    <w:rsid w:val="005D29C4"/>
    <w:rsid w:val="005D2A04"/>
    <w:rsid w:val="005D2B52"/>
    <w:rsid w:val="005D2C62"/>
    <w:rsid w:val="005D3472"/>
    <w:rsid w:val="005D35DC"/>
    <w:rsid w:val="005D3629"/>
    <w:rsid w:val="005D3807"/>
    <w:rsid w:val="005D386E"/>
    <w:rsid w:val="005D3EB4"/>
    <w:rsid w:val="005D3F83"/>
    <w:rsid w:val="005D3F9C"/>
    <w:rsid w:val="005D417F"/>
    <w:rsid w:val="005D4221"/>
    <w:rsid w:val="005D466E"/>
    <w:rsid w:val="005D4873"/>
    <w:rsid w:val="005D4A45"/>
    <w:rsid w:val="005D4AAD"/>
    <w:rsid w:val="005D4D0C"/>
    <w:rsid w:val="005D4EA5"/>
    <w:rsid w:val="005D4F2E"/>
    <w:rsid w:val="005D505C"/>
    <w:rsid w:val="005D511A"/>
    <w:rsid w:val="005D5574"/>
    <w:rsid w:val="005D57DB"/>
    <w:rsid w:val="005D581D"/>
    <w:rsid w:val="005D5957"/>
    <w:rsid w:val="005D59A2"/>
    <w:rsid w:val="005D5B54"/>
    <w:rsid w:val="005D5EFA"/>
    <w:rsid w:val="005D5F67"/>
    <w:rsid w:val="005D5FD0"/>
    <w:rsid w:val="005D60E0"/>
    <w:rsid w:val="005D6102"/>
    <w:rsid w:val="005D622F"/>
    <w:rsid w:val="005D6254"/>
    <w:rsid w:val="005D64F7"/>
    <w:rsid w:val="005D6753"/>
    <w:rsid w:val="005D6A13"/>
    <w:rsid w:val="005D6ADF"/>
    <w:rsid w:val="005D6B6F"/>
    <w:rsid w:val="005D6BC8"/>
    <w:rsid w:val="005D6DF0"/>
    <w:rsid w:val="005D7364"/>
    <w:rsid w:val="005D74C3"/>
    <w:rsid w:val="005D78FB"/>
    <w:rsid w:val="005D7F23"/>
    <w:rsid w:val="005E00A4"/>
    <w:rsid w:val="005E0158"/>
    <w:rsid w:val="005E0347"/>
    <w:rsid w:val="005E05D0"/>
    <w:rsid w:val="005E06A2"/>
    <w:rsid w:val="005E0A2D"/>
    <w:rsid w:val="005E0FEC"/>
    <w:rsid w:val="005E104B"/>
    <w:rsid w:val="005E12D6"/>
    <w:rsid w:val="005E13F2"/>
    <w:rsid w:val="005E1535"/>
    <w:rsid w:val="005E15D5"/>
    <w:rsid w:val="005E171B"/>
    <w:rsid w:val="005E18F0"/>
    <w:rsid w:val="005E18F9"/>
    <w:rsid w:val="005E207C"/>
    <w:rsid w:val="005E222A"/>
    <w:rsid w:val="005E2263"/>
    <w:rsid w:val="005E255B"/>
    <w:rsid w:val="005E2A2D"/>
    <w:rsid w:val="005E2B03"/>
    <w:rsid w:val="005E2C18"/>
    <w:rsid w:val="005E2D11"/>
    <w:rsid w:val="005E30C4"/>
    <w:rsid w:val="005E30FD"/>
    <w:rsid w:val="005E3115"/>
    <w:rsid w:val="005E3146"/>
    <w:rsid w:val="005E3287"/>
    <w:rsid w:val="005E3B85"/>
    <w:rsid w:val="005E4416"/>
    <w:rsid w:val="005E45DD"/>
    <w:rsid w:val="005E46AD"/>
    <w:rsid w:val="005E4892"/>
    <w:rsid w:val="005E4AE3"/>
    <w:rsid w:val="005E4CFB"/>
    <w:rsid w:val="005E5095"/>
    <w:rsid w:val="005E50FD"/>
    <w:rsid w:val="005E5250"/>
    <w:rsid w:val="005E5439"/>
    <w:rsid w:val="005E559C"/>
    <w:rsid w:val="005E5E6C"/>
    <w:rsid w:val="005E604E"/>
    <w:rsid w:val="005E60CF"/>
    <w:rsid w:val="005E6245"/>
    <w:rsid w:val="005E6417"/>
    <w:rsid w:val="005E64B3"/>
    <w:rsid w:val="005E680D"/>
    <w:rsid w:val="005E6919"/>
    <w:rsid w:val="005E691D"/>
    <w:rsid w:val="005E6BD6"/>
    <w:rsid w:val="005E7017"/>
    <w:rsid w:val="005E70B3"/>
    <w:rsid w:val="005E70BE"/>
    <w:rsid w:val="005E759F"/>
    <w:rsid w:val="005E7775"/>
    <w:rsid w:val="005E7970"/>
    <w:rsid w:val="005E7C95"/>
    <w:rsid w:val="005F0050"/>
    <w:rsid w:val="005F0283"/>
    <w:rsid w:val="005F031E"/>
    <w:rsid w:val="005F0594"/>
    <w:rsid w:val="005F0966"/>
    <w:rsid w:val="005F0BB5"/>
    <w:rsid w:val="005F0D1C"/>
    <w:rsid w:val="005F0D92"/>
    <w:rsid w:val="005F0EA8"/>
    <w:rsid w:val="005F11A8"/>
    <w:rsid w:val="005F1227"/>
    <w:rsid w:val="005F123F"/>
    <w:rsid w:val="005F1376"/>
    <w:rsid w:val="005F1639"/>
    <w:rsid w:val="005F1658"/>
    <w:rsid w:val="005F177C"/>
    <w:rsid w:val="005F193D"/>
    <w:rsid w:val="005F1C03"/>
    <w:rsid w:val="005F1CFB"/>
    <w:rsid w:val="005F1DA5"/>
    <w:rsid w:val="005F1DF5"/>
    <w:rsid w:val="005F1E67"/>
    <w:rsid w:val="005F1E7A"/>
    <w:rsid w:val="005F1FA2"/>
    <w:rsid w:val="005F21B6"/>
    <w:rsid w:val="005F220C"/>
    <w:rsid w:val="005F2211"/>
    <w:rsid w:val="005F2281"/>
    <w:rsid w:val="005F22D4"/>
    <w:rsid w:val="005F23C5"/>
    <w:rsid w:val="005F2584"/>
    <w:rsid w:val="005F2649"/>
    <w:rsid w:val="005F26D7"/>
    <w:rsid w:val="005F2720"/>
    <w:rsid w:val="005F276D"/>
    <w:rsid w:val="005F283A"/>
    <w:rsid w:val="005F2D4B"/>
    <w:rsid w:val="005F2EE0"/>
    <w:rsid w:val="005F2F73"/>
    <w:rsid w:val="005F2F8D"/>
    <w:rsid w:val="005F3009"/>
    <w:rsid w:val="005F33B6"/>
    <w:rsid w:val="005F34FC"/>
    <w:rsid w:val="005F3713"/>
    <w:rsid w:val="005F3778"/>
    <w:rsid w:val="005F38C4"/>
    <w:rsid w:val="005F3C3D"/>
    <w:rsid w:val="005F3F9B"/>
    <w:rsid w:val="005F3FB5"/>
    <w:rsid w:val="005F4188"/>
    <w:rsid w:val="005F43EE"/>
    <w:rsid w:val="005F4940"/>
    <w:rsid w:val="005F4A9A"/>
    <w:rsid w:val="005F4DC8"/>
    <w:rsid w:val="005F4FF7"/>
    <w:rsid w:val="005F4FFF"/>
    <w:rsid w:val="005F52A0"/>
    <w:rsid w:val="005F52E8"/>
    <w:rsid w:val="005F531B"/>
    <w:rsid w:val="005F5396"/>
    <w:rsid w:val="005F5430"/>
    <w:rsid w:val="005F55EF"/>
    <w:rsid w:val="005F560A"/>
    <w:rsid w:val="005F573D"/>
    <w:rsid w:val="005F5789"/>
    <w:rsid w:val="005F58D4"/>
    <w:rsid w:val="005F5B09"/>
    <w:rsid w:val="005F6247"/>
    <w:rsid w:val="005F62B9"/>
    <w:rsid w:val="005F63D2"/>
    <w:rsid w:val="005F6B06"/>
    <w:rsid w:val="005F6CE4"/>
    <w:rsid w:val="005F6D6B"/>
    <w:rsid w:val="005F6D80"/>
    <w:rsid w:val="005F6F15"/>
    <w:rsid w:val="005F6FF6"/>
    <w:rsid w:val="005F75E8"/>
    <w:rsid w:val="005F7B4D"/>
    <w:rsid w:val="006000DC"/>
    <w:rsid w:val="0060013B"/>
    <w:rsid w:val="0060019E"/>
    <w:rsid w:val="00600232"/>
    <w:rsid w:val="00600295"/>
    <w:rsid w:val="006003F1"/>
    <w:rsid w:val="006006F4"/>
    <w:rsid w:val="0060093F"/>
    <w:rsid w:val="00600B59"/>
    <w:rsid w:val="00600D74"/>
    <w:rsid w:val="00600F9D"/>
    <w:rsid w:val="00600FFA"/>
    <w:rsid w:val="00601145"/>
    <w:rsid w:val="00601316"/>
    <w:rsid w:val="0060149A"/>
    <w:rsid w:val="00601715"/>
    <w:rsid w:val="0060183A"/>
    <w:rsid w:val="006018E3"/>
    <w:rsid w:val="00601AEC"/>
    <w:rsid w:val="00601B3D"/>
    <w:rsid w:val="00601B53"/>
    <w:rsid w:val="0060219A"/>
    <w:rsid w:val="00602403"/>
    <w:rsid w:val="006027A9"/>
    <w:rsid w:val="00602811"/>
    <w:rsid w:val="00602AEB"/>
    <w:rsid w:val="00602BC9"/>
    <w:rsid w:val="00602C3C"/>
    <w:rsid w:val="00602CF2"/>
    <w:rsid w:val="00602D90"/>
    <w:rsid w:val="006032D8"/>
    <w:rsid w:val="0060350D"/>
    <w:rsid w:val="00603700"/>
    <w:rsid w:val="006037E3"/>
    <w:rsid w:val="00603987"/>
    <w:rsid w:val="00603C08"/>
    <w:rsid w:val="006042F4"/>
    <w:rsid w:val="0060492D"/>
    <w:rsid w:val="006049DA"/>
    <w:rsid w:val="00604BDA"/>
    <w:rsid w:val="00604BF7"/>
    <w:rsid w:val="00604D31"/>
    <w:rsid w:val="00604D42"/>
    <w:rsid w:val="00604E70"/>
    <w:rsid w:val="00604F11"/>
    <w:rsid w:val="006050C7"/>
    <w:rsid w:val="006050D6"/>
    <w:rsid w:val="00605127"/>
    <w:rsid w:val="006053AD"/>
    <w:rsid w:val="006059E1"/>
    <w:rsid w:val="00605DC9"/>
    <w:rsid w:val="0060657F"/>
    <w:rsid w:val="006066E1"/>
    <w:rsid w:val="006068C3"/>
    <w:rsid w:val="00606ADE"/>
    <w:rsid w:val="00606DC5"/>
    <w:rsid w:val="00606ED2"/>
    <w:rsid w:val="00606FB0"/>
    <w:rsid w:val="00607229"/>
    <w:rsid w:val="00607796"/>
    <w:rsid w:val="00607885"/>
    <w:rsid w:val="00607BD1"/>
    <w:rsid w:val="00607C42"/>
    <w:rsid w:val="0061005C"/>
    <w:rsid w:val="006104EF"/>
    <w:rsid w:val="00610600"/>
    <w:rsid w:val="0061068A"/>
    <w:rsid w:val="0061069B"/>
    <w:rsid w:val="00610709"/>
    <w:rsid w:val="00610715"/>
    <w:rsid w:val="00610F0C"/>
    <w:rsid w:val="00610FE6"/>
    <w:rsid w:val="00611137"/>
    <w:rsid w:val="00611153"/>
    <w:rsid w:val="00611189"/>
    <w:rsid w:val="0061186D"/>
    <w:rsid w:val="00611C69"/>
    <w:rsid w:val="00611D3F"/>
    <w:rsid w:val="00611D78"/>
    <w:rsid w:val="00611DC5"/>
    <w:rsid w:val="00611E49"/>
    <w:rsid w:val="00611F7C"/>
    <w:rsid w:val="006123A6"/>
    <w:rsid w:val="006123FE"/>
    <w:rsid w:val="0061241A"/>
    <w:rsid w:val="00612478"/>
    <w:rsid w:val="00612AB5"/>
    <w:rsid w:val="00612B7B"/>
    <w:rsid w:val="00612C2F"/>
    <w:rsid w:val="00612D58"/>
    <w:rsid w:val="00612D9F"/>
    <w:rsid w:val="00612DDA"/>
    <w:rsid w:val="00612DDE"/>
    <w:rsid w:val="00612E57"/>
    <w:rsid w:val="00612FB5"/>
    <w:rsid w:val="006137DD"/>
    <w:rsid w:val="00613B1C"/>
    <w:rsid w:val="00613C42"/>
    <w:rsid w:val="00613DF5"/>
    <w:rsid w:val="00613EBD"/>
    <w:rsid w:val="0061408C"/>
    <w:rsid w:val="00614164"/>
    <w:rsid w:val="0061425D"/>
    <w:rsid w:val="00614331"/>
    <w:rsid w:val="00614709"/>
    <w:rsid w:val="0061484F"/>
    <w:rsid w:val="00614A4A"/>
    <w:rsid w:val="00614C27"/>
    <w:rsid w:val="00614F3D"/>
    <w:rsid w:val="0061509B"/>
    <w:rsid w:val="00615446"/>
    <w:rsid w:val="006157C0"/>
    <w:rsid w:val="00615AAB"/>
    <w:rsid w:val="00615BC4"/>
    <w:rsid w:val="00615C2A"/>
    <w:rsid w:val="00616678"/>
    <w:rsid w:val="00616774"/>
    <w:rsid w:val="006168CA"/>
    <w:rsid w:val="00616BAA"/>
    <w:rsid w:val="00616BBC"/>
    <w:rsid w:val="00616F28"/>
    <w:rsid w:val="00616F9F"/>
    <w:rsid w:val="00617179"/>
    <w:rsid w:val="006171A4"/>
    <w:rsid w:val="0061722E"/>
    <w:rsid w:val="006172CB"/>
    <w:rsid w:val="006174CB"/>
    <w:rsid w:val="006177DF"/>
    <w:rsid w:val="00617806"/>
    <w:rsid w:val="00617819"/>
    <w:rsid w:val="006178C5"/>
    <w:rsid w:val="006178E7"/>
    <w:rsid w:val="00617932"/>
    <w:rsid w:val="00617938"/>
    <w:rsid w:val="0061794C"/>
    <w:rsid w:val="006179D0"/>
    <w:rsid w:val="00617C2D"/>
    <w:rsid w:val="00617DCA"/>
    <w:rsid w:val="0062021F"/>
    <w:rsid w:val="0062031B"/>
    <w:rsid w:val="00620493"/>
    <w:rsid w:val="00620703"/>
    <w:rsid w:val="00620835"/>
    <w:rsid w:val="00620866"/>
    <w:rsid w:val="00620943"/>
    <w:rsid w:val="00620CC9"/>
    <w:rsid w:val="00620E84"/>
    <w:rsid w:val="00620F1D"/>
    <w:rsid w:val="00620F5F"/>
    <w:rsid w:val="006210E5"/>
    <w:rsid w:val="00621112"/>
    <w:rsid w:val="00621302"/>
    <w:rsid w:val="006213E1"/>
    <w:rsid w:val="0062148E"/>
    <w:rsid w:val="0062151E"/>
    <w:rsid w:val="006215BE"/>
    <w:rsid w:val="00621689"/>
    <w:rsid w:val="00621B56"/>
    <w:rsid w:val="00621E10"/>
    <w:rsid w:val="00621F56"/>
    <w:rsid w:val="00621F8B"/>
    <w:rsid w:val="0062223A"/>
    <w:rsid w:val="00622284"/>
    <w:rsid w:val="0062280A"/>
    <w:rsid w:val="006228D2"/>
    <w:rsid w:val="0062295E"/>
    <w:rsid w:val="00622C52"/>
    <w:rsid w:val="00622D3E"/>
    <w:rsid w:val="00623023"/>
    <w:rsid w:val="00623138"/>
    <w:rsid w:val="00623395"/>
    <w:rsid w:val="006233BF"/>
    <w:rsid w:val="006233C5"/>
    <w:rsid w:val="0062390F"/>
    <w:rsid w:val="006239D3"/>
    <w:rsid w:val="00623A63"/>
    <w:rsid w:val="00623ACB"/>
    <w:rsid w:val="00623C2F"/>
    <w:rsid w:val="00623C7E"/>
    <w:rsid w:val="00623E70"/>
    <w:rsid w:val="00623FEE"/>
    <w:rsid w:val="00624324"/>
    <w:rsid w:val="00624A08"/>
    <w:rsid w:val="00624C41"/>
    <w:rsid w:val="00624E62"/>
    <w:rsid w:val="006251F0"/>
    <w:rsid w:val="00625611"/>
    <w:rsid w:val="006257AA"/>
    <w:rsid w:val="00625829"/>
    <w:rsid w:val="00625878"/>
    <w:rsid w:val="00625A7E"/>
    <w:rsid w:val="00625A81"/>
    <w:rsid w:val="00625B80"/>
    <w:rsid w:val="00625C4B"/>
    <w:rsid w:val="00625D21"/>
    <w:rsid w:val="00625F4C"/>
    <w:rsid w:val="0062602D"/>
    <w:rsid w:val="006260E6"/>
    <w:rsid w:val="0062635D"/>
    <w:rsid w:val="006267F3"/>
    <w:rsid w:val="00626C2E"/>
    <w:rsid w:val="00626DB7"/>
    <w:rsid w:val="00627098"/>
    <w:rsid w:val="0062709F"/>
    <w:rsid w:val="0062744D"/>
    <w:rsid w:val="00627524"/>
    <w:rsid w:val="006278B5"/>
    <w:rsid w:val="00627E22"/>
    <w:rsid w:val="00627F38"/>
    <w:rsid w:val="00630088"/>
    <w:rsid w:val="00630268"/>
    <w:rsid w:val="006303B0"/>
    <w:rsid w:val="006309F7"/>
    <w:rsid w:val="00630ECB"/>
    <w:rsid w:val="00630F19"/>
    <w:rsid w:val="00631009"/>
    <w:rsid w:val="006313E0"/>
    <w:rsid w:val="006315B4"/>
    <w:rsid w:val="00631916"/>
    <w:rsid w:val="00631B33"/>
    <w:rsid w:val="00631B3A"/>
    <w:rsid w:val="00631EAE"/>
    <w:rsid w:val="00631F31"/>
    <w:rsid w:val="006327E2"/>
    <w:rsid w:val="00632894"/>
    <w:rsid w:val="00632AA6"/>
    <w:rsid w:val="00632D9F"/>
    <w:rsid w:val="00632E6D"/>
    <w:rsid w:val="00633079"/>
    <w:rsid w:val="00633089"/>
    <w:rsid w:val="00633128"/>
    <w:rsid w:val="00633129"/>
    <w:rsid w:val="00633749"/>
    <w:rsid w:val="006338F4"/>
    <w:rsid w:val="00633A95"/>
    <w:rsid w:val="00634077"/>
    <w:rsid w:val="00634367"/>
    <w:rsid w:val="0063442C"/>
    <w:rsid w:val="00634555"/>
    <w:rsid w:val="0063461A"/>
    <w:rsid w:val="006347DF"/>
    <w:rsid w:val="006347E8"/>
    <w:rsid w:val="00634A7D"/>
    <w:rsid w:val="00634FC5"/>
    <w:rsid w:val="00635178"/>
    <w:rsid w:val="006351D8"/>
    <w:rsid w:val="00635520"/>
    <w:rsid w:val="00635659"/>
    <w:rsid w:val="006359B6"/>
    <w:rsid w:val="00635D64"/>
    <w:rsid w:val="00635ECF"/>
    <w:rsid w:val="00635F7E"/>
    <w:rsid w:val="006362B7"/>
    <w:rsid w:val="0063642B"/>
    <w:rsid w:val="0063670E"/>
    <w:rsid w:val="006368B4"/>
    <w:rsid w:val="00636C46"/>
    <w:rsid w:val="00636EAF"/>
    <w:rsid w:val="00636F8E"/>
    <w:rsid w:val="00637144"/>
    <w:rsid w:val="0063721E"/>
    <w:rsid w:val="00637275"/>
    <w:rsid w:val="006375CF"/>
    <w:rsid w:val="006379B3"/>
    <w:rsid w:val="00637A17"/>
    <w:rsid w:val="00637A76"/>
    <w:rsid w:val="00637DE0"/>
    <w:rsid w:val="00637F67"/>
    <w:rsid w:val="00640007"/>
    <w:rsid w:val="00640200"/>
    <w:rsid w:val="0064036E"/>
    <w:rsid w:val="00640398"/>
    <w:rsid w:val="00640494"/>
    <w:rsid w:val="00640640"/>
    <w:rsid w:val="00640B1E"/>
    <w:rsid w:val="00640C2A"/>
    <w:rsid w:val="00640DB8"/>
    <w:rsid w:val="00641044"/>
    <w:rsid w:val="00641269"/>
    <w:rsid w:val="0064150D"/>
    <w:rsid w:val="006417D0"/>
    <w:rsid w:val="00641DD1"/>
    <w:rsid w:val="00641F1C"/>
    <w:rsid w:val="00642308"/>
    <w:rsid w:val="006423DB"/>
    <w:rsid w:val="006425DD"/>
    <w:rsid w:val="00642608"/>
    <w:rsid w:val="00642706"/>
    <w:rsid w:val="00642840"/>
    <w:rsid w:val="006428F4"/>
    <w:rsid w:val="00642BDD"/>
    <w:rsid w:val="006431AA"/>
    <w:rsid w:val="0064334D"/>
    <w:rsid w:val="00643611"/>
    <w:rsid w:val="00643796"/>
    <w:rsid w:val="006437CB"/>
    <w:rsid w:val="00643848"/>
    <w:rsid w:val="0064386A"/>
    <w:rsid w:val="00643912"/>
    <w:rsid w:val="00643937"/>
    <w:rsid w:val="00643AF9"/>
    <w:rsid w:val="00643BF6"/>
    <w:rsid w:val="00643D5C"/>
    <w:rsid w:val="00643DFA"/>
    <w:rsid w:val="0064414A"/>
    <w:rsid w:val="0064446F"/>
    <w:rsid w:val="00644615"/>
    <w:rsid w:val="006446C9"/>
    <w:rsid w:val="00644727"/>
    <w:rsid w:val="0064477F"/>
    <w:rsid w:val="00644954"/>
    <w:rsid w:val="00644966"/>
    <w:rsid w:val="00644A73"/>
    <w:rsid w:val="00644B74"/>
    <w:rsid w:val="00644BD2"/>
    <w:rsid w:val="00644D56"/>
    <w:rsid w:val="00644D80"/>
    <w:rsid w:val="00644DB1"/>
    <w:rsid w:val="00645077"/>
    <w:rsid w:val="00645365"/>
    <w:rsid w:val="00645525"/>
    <w:rsid w:val="00645722"/>
    <w:rsid w:val="00645761"/>
    <w:rsid w:val="00645764"/>
    <w:rsid w:val="00645962"/>
    <w:rsid w:val="006459B8"/>
    <w:rsid w:val="00645A8D"/>
    <w:rsid w:val="00645CBC"/>
    <w:rsid w:val="00646348"/>
    <w:rsid w:val="00646408"/>
    <w:rsid w:val="006464BC"/>
    <w:rsid w:val="00646840"/>
    <w:rsid w:val="00646935"/>
    <w:rsid w:val="00646A19"/>
    <w:rsid w:val="00646A28"/>
    <w:rsid w:val="00646BA7"/>
    <w:rsid w:val="00646C89"/>
    <w:rsid w:val="00646D91"/>
    <w:rsid w:val="00646E04"/>
    <w:rsid w:val="00646E5C"/>
    <w:rsid w:val="00647230"/>
    <w:rsid w:val="006472C9"/>
    <w:rsid w:val="006472F4"/>
    <w:rsid w:val="0064731F"/>
    <w:rsid w:val="006476F7"/>
    <w:rsid w:val="00647A65"/>
    <w:rsid w:val="00647F15"/>
    <w:rsid w:val="00647F6B"/>
    <w:rsid w:val="00650053"/>
    <w:rsid w:val="0065009A"/>
    <w:rsid w:val="006501B6"/>
    <w:rsid w:val="0065047A"/>
    <w:rsid w:val="00650694"/>
    <w:rsid w:val="006506F4"/>
    <w:rsid w:val="00650782"/>
    <w:rsid w:val="006509FD"/>
    <w:rsid w:val="00650A25"/>
    <w:rsid w:val="00650DFA"/>
    <w:rsid w:val="00650EC1"/>
    <w:rsid w:val="00650FCF"/>
    <w:rsid w:val="006510A8"/>
    <w:rsid w:val="006511CB"/>
    <w:rsid w:val="0065185C"/>
    <w:rsid w:val="00651B53"/>
    <w:rsid w:val="0065243C"/>
    <w:rsid w:val="00652645"/>
    <w:rsid w:val="006526DC"/>
    <w:rsid w:val="00652AA8"/>
    <w:rsid w:val="00652B23"/>
    <w:rsid w:val="00652EA7"/>
    <w:rsid w:val="00652FE6"/>
    <w:rsid w:val="00653015"/>
    <w:rsid w:val="00653083"/>
    <w:rsid w:val="0065308E"/>
    <w:rsid w:val="00653128"/>
    <w:rsid w:val="00653541"/>
    <w:rsid w:val="00653794"/>
    <w:rsid w:val="00653A6D"/>
    <w:rsid w:val="00653C0B"/>
    <w:rsid w:val="00654016"/>
    <w:rsid w:val="006541C2"/>
    <w:rsid w:val="0065420E"/>
    <w:rsid w:val="0065435E"/>
    <w:rsid w:val="0065460F"/>
    <w:rsid w:val="00654BE2"/>
    <w:rsid w:val="00655233"/>
    <w:rsid w:val="00655807"/>
    <w:rsid w:val="00655A8C"/>
    <w:rsid w:val="00655B6A"/>
    <w:rsid w:val="00655E31"/>
    <w:rsid w:val="00655F38"/>
    <w:rsid w:val="006562F1"/>
    <w:rsid w:val="006564F6"/>
    <w:rsid w:val="00656814"/>
    <w:rsid w:val="0065693A"/>
    <w:rsid w:val="00656C10"/>
    <w:rsid w:val="00656CBF"/>
    <w:rsid w:val="00657810"/>
    <w:rsid w:val="00657832"/>
    <w:rsid w:val="00657994"/>
    <w:rsid w:val="00657E9E"/>
    <w:rsid w:val="00657F8A"/>
    <w:rsid w:val="0066040A"/>
    <w:rsid w:val="00660589"/>
    <w:rsid w:val="0066063C"/>
    <w:rsid w:val="006606FB"/>
    <w:rsid w:val="00660A30"/>
    <w:rsid w:val="00660B79"/>
    <w:rsid w:val="00660DA0"/>
    <w:rsid w:val="00660FA9"/>
    <w:rsid w:val="006610B6"/>
    <w:rsid w:val="00661357"/>
    <w:rsid w:val="00661451"/>
    <w:rsid w:val="0066149C"/>
    <w:rsid w:val="006616F4"/>
    <w:rsid w:val="006618C7"/>
    <w:rsid w:val="00661B8B"/>
    <w:rsid w:val="00661C30"/>
    <w:rsid w:val="0066203F"/>
    <w:rsid w:val="0066223C"/>
    <w:rsid w:val="0066241B"/>
    <w:rsid w:val="006626E5"/>
    <w:rsid w:val="00662850"/>
    <w:rsid w:val="00662BAE"/>
    <w:rsid w:val="00663282"/>
    <w:rsid w:val="006632CA"/>
    <w:rsid w:val="0066356A"/>
    <w:rsid w:val="00663BE0"/>
    <w:rsid w:val="00663D59"/>
    <w:rsid w:val="00663D86"/>
    <w:rsid w:val="00663EFA"/>
    <w:rsid w:val="00663F2E"/>
    <w:rsid w:val="00663FD6"/>
    <w:rsid w:val="00664254"/>
    <w:rsid w:val="006643EC"/>
    <w:rsid w:val="006643F2"/>
    <w:rsid w:val="00664E83"/>
    <w:rsid w:val="00664ED1"/>
    <w:rsid w:val="00664F5D"/>
    <w:rsid w:val="00664FC3"/>
    <w:rsid w:val="0066515A"/>
    <w:rsid w:val="006656A3"/>
    <w:rsid w:val="0066578E"/>
    <w:rsid w:val="006658B4"/>
    <w:rsid w:val="00665A27"/>
    <w:rsid w:val="00665E6F"/>
    <w:rsid w:val="0066637F"/>
    <w:rsid w:val="00666579"/>
    <w:rsid w:val="00666737"/>
    <w:rsid w:val="00666A05"/>
    <w:rsid w:val="00666D9F"/>
    <w:rsid w:val="00667173"/>
    <w:rsid w:val="00667220"/>
    <w:rsid w:val="006675E0"/>
    <w:rsid w:val="00667911"/>
    <w:rsid w:val="006679A8"/>
    <w:rsid w:val="00667A60"/>
    <w:rsid w:val="00670018"/>
    <w:rsid w:val="006702C0"/>
    <w:rsid w:val="0067070D"/>
    <w:rsid w:val="0067071F"/>
    <w:rsid w:val="0067085F"/>
    <w:rsid w:val="006708C6"/>
    <w:rsid w:val="006709D1"/>
    <w:rsid w:val="00670A7C"/>
    <w:rsid w:val="00671052"/>
    <w:rsid w:val="006711A3"/>
    <w:rsid w:val="006711DD"/>
    <w:rsid w:val="00671523"/>
    <w:rsid w:val="0067160E"/>
    <w:rsid w:val="00671614"/>
    <w:rsid w:val="00671661"/>
    <w:rsid w:val="006717C9"/>
    <w:rsid w:val="0067190F"/>
    <w:rsid w:val="00671CF8"/>
    <w:rsid w:val="00671D00"/>
    <w:rsid w:val="00671D4B"/>
    <w:rsid w:val="006720D6"/>
    <w:rsid w:val="00672114"/>
    <w:rsid w:val="00672169"/>
    <w:rsid w:val="006724FF"/>
    <w:rsid w:val="00672613"/>
    <w:rsid w:val="00672649"/>
    <w:rsid w:val="006727B5"/>
    <w:rsid w:val="00672956"/>
    <w:rsid w:val="00672AD0"/>
    <w:rsid w:val="006730B1"/>
    <w:rsid w:val="00673124"/>
    <w:rsid w:val="0067331E"/>
    <w:rsid w:val="0067359E"/>
    <w:rsid w:val="006735EE"/>
    <w:rsid w:val="006738D6"/>
    <w:rsid w:val="00673A1F"/>
    <w:rsid w:val="00673D4D"/>
    <w:rsid w:val="00673DE3"/>
    <w:rsid w:val="006741EE"/>
    <w:rsid w:val="00674400"/>
    <w:rsid w:val="006746D8"/>
    <w:rsid w:val="00674758"/>
    <w:rsid w:val="006747B4"/>
    <w:rsid w:val="006749DF"/>
    <w:rsid w:val="00674B39"/>
    <w:rsid w:val="00674C44"/>
    <w:rsid w:val="00674F02"/>
    <w:rsid w:val="006755C5"/>
    <w:rsid w:val="006755ED"/>
    <w:rsid w:val="006755FB"/>
    <w:rsid w:val="00675649"/>
    <w:rsid w:val="0067575E"/>
    <w:rsid w:val="006758BC"/>
    <w:rsid w:val="00675974"/>
    <w:rsid w:val="006759F0"/>
    <w:rsid w:val="00675ACD"/>
    <w:rsid w:val="00675AFE"/>
    <w:rsid w:val="00675B53"/>
    <w:rsid w:val="00675D68"/>
    <w:rsid w:val="00675E1D"/>
    <w:rsid w:val="00675E25"/>
    <w:rsid w:val="00675E6B"/>
    <w:rsid w:val="00675E8F"/>
    <w:rsid w:val="00675ECA"/>
    <w:rsid w:val="00675F0D"/>
    <w:rsid w:val="00675F33"/>
    <w:rsid w:val="00675F40"/>
    <w:rsid w:val="006761A2"/>
    <w:rsid w:val="0067625D"/>
    <w:rsid w:val="006765B5"/>
    <w:rsid w:val="00676683"/>
    <w:rsid w:val="0067681E"/>
    <w:rsid w:val="0067695C"/>
    <w:rsid w:val="00676B49"/>
    <w:rsid w:val="00676C11"/>
    <w:rsid w:val="00676C7A"/>
    <w:rsid w:val="00676F3A"/>
    <w:rsid w:val="00677029"/>
    <w:rsid w:val="0067705D"/>
    <w:rsid w:val="0067707B"/>
    <w:rsid w:val="006771A2"/>
    <w:rsid w:val="006771D0"/>
    <w:rsid w:val="006771E5"/>
    <w:rsid w:val="006773AF"/>
    <w:rsid w:val="0067741E"/>
    <w:rsid w:val="00677467"/>
    <w:rsid w:val="00677566"/>
    <w:rsid w:val="0067759C"/>
    <w:rsid w:val="00677C32"/>
    <w:rsid w:val="00677C3D"/>
    <w:rsid w:val="00677DC8"/>
    <w:rsid w:val="00677E17"/>
    <w:rsid w:val="00677EA3"/>
    <w:rsid w:val="00677F0E"/>
    <w:rsid w:val="006801FB"/>
    <w:rsid w:val="006803FA"/>
    <w:rsid w:val="00680403"/>
    <w:rsid w:val="0068056F"/>
    <w:rsid w:val="00680767"/>
    <w:rsid w:val="006807CB"/>
    <w:rsid w:val="00680AC0"/>
    <w:rsid w:val="00680B14"/>
    <w:rsid w:val="00680C36"/>
    <w:rsid w:val="00680FDE"/>
    <w:rsid w:val="0068109E"/>
    <w:rsid w:val="0068122C"/>
    <w:rsid w:val="0068161B"/>
    <w:rsid w:val="006818FC"/>
    <w:rsid w:val="006819A1"/>
    <w:rsid w:val="00681A59"/>
    <w:rsid w:val="00681C60"/>
    <w:rsid w:val="00681F04"/>
    <w:rsid w:val="00681F40"/>
    <w:rsid w:val="00682072"/>
    <w:rsid w:val="0068230A"/>
    <w:rsid w:val="00682314"/>
    <w:rsid w:val="00682930"/>
    <w:rsid w:val="00682C1F"/>
    <w:rsid w:val="00682C95"/>
    <w:rsid w:val="00682CA3"/>
    <w:rsid w:val="00682DF1"/>
    <w:rsid w:val="00682EF3"/>
    <w:rsid w:val="0068314D"/>
    <w:rsid w:val="006831D7"/>
    <w:rsid w:val="0068353F"/>
    <w:rsid w:val="0068362E"/>
    <w:rsid w:val="00683876"/>
    <w:rsid w:val="0068390D"/>
    <w:rsid w:val="00683C65"/>
    <w:rsid w:val="00683CD1"/>
    <w:rsid w:val="00683EE8"/>
    <w:rsid w:val="0068410F"/>
    <w:rsid w:val="0068419C"/>
    <w:rsid w:val="006845DB"/>
    <w:rsid w:val="006847DD"/>
    <w:rsid w:val="006847FE"/>
    <w:rsid w:val="00684996"/>
    <w:rsid w:val="00684B73"/>
    <w:rsid w:val="00684BD4"/>
    <w:rsid w:val="00684CA9"/>
    <w:rsid w:val="00684DBC"/>
    <w:rsid w:val="00685034"/>
    <w:rsid w:val="00685164"/>
    <w:rsid w:val="00685C4A"/>
    <w:rsid w:val="00685D7D"/>
    <w:rsid w:val="00685D94"/>
    <w:rsid w:val="00685F39"/>
    <w:rsid w:val="00686005"/>
    <w:rsid w:val="006860E1"/>
    <w:rsid w:val="0068610E"/>
    <w:rsid w:val="00686353"/>
    <w:rsid w:val="00686419"/>
    <w:rsid w:val="00686436"/>
    <w:rsid w:val="00686611"/>
    <w:rsid w:val="00686821"/>
    <w:rsid w:val="0068696F"/>
    <w:rsid w:val="00686999"/>
    <w:rsid w:val="00686A2D"/>
    <w:rsid w:val="00686BD5"/>
    <w:rsid w:val="00686BF3"/>
    <w:rsid w:val="00686DD1"/>
    <w:rsid w:val="00687007"/>
    <w:rsid w:val="0068725C"/>
    <w:rsid w:val="006872BB"/>
    <w:rsid w:val="006874E4"/>
    <w:rsid w:val="006875E4"/>
    <w:rsid w:val="00687722"/>
    <w:rsid w:val="00687BAD"/>
    <w:rsid w:val="00687BB3"/>
    <w:rsid w:val="00687BC9"/>
    <w:rsid w:val="00687CF0"/>
    <w:rsid w:val="00687F4C"/>
    <w:rsid w:val="00687F6F"/>
    <w:rsid w:val="00690209"/>
    <w:rsid w:val="00690228"/>
    <w:rsid w:val="006904B4"/>
    <w:rsid w:val="00690590"/>
    <w:rsid w:val="006906B0"/>
    <w:rsid w:val="006908FE"/>
    <w:rsid w:val="00690A30"/>
    <w:rsid w:val="00690CAF"/>
    <w:rsid w:val="00690CD0"/>
    <w:rsid w:val="00690D44"/>
    <w:rsid w:val="00691168"/>
    <w:rsid w:val="0069126F"/>
    <w:rsid w:val="0069130C"/>
    <w:rsid w:val="00691524"/>
    <w:rsid w:val="00691648"/>
    <w:rsid w:val="00691712"/>
    <w:rsid w:val="0069179E"/>
    <w:rsid w:val="0069202B"/>
    <w:rsid w:val="0069250F"/>
    <w:rsid w:val="006925DE"/>
    <w:rsid w:val="00692A11"/>
    <w:rsid w:val="00692D48"/>
    <w:rsid w:val="00693155"/>
    <w:rsid w:val="00693344"/>
    <w:rsid w:val="00693366"/>
    <w:rsid w:val="0069354E"/>
    <w:rsid w:val="006935C3"/>
    <w:rsid w:val="006935D8"/>
    <w:rsid w:val="006935F3"/>
    <w:rsid w:val="00693716"/>
    <w:rsid w:val="00693945"/>
    <w:rsid w:val="00693983"/>
    <w:rsid w:val="0069399F"/>
    <w:rsid w:val="00693A20"/>
    <w:rsid w:val="00693B77"/>
    <w:rsid w:val="00693FE8"/>
    <w:rsid w:val="00694049"/>
    <w:rsid w:val="0069439A"/>
    <w:rsid w:val="00694579"/>
    <w:rsid w:val="006946AE"/>
    <w:rsid w:val="006947F9"/>
    <w:rsid w:val="00694837"/>
    <w:rsid w:val="006948AF"/>
    <w:rsid w:val="006949B4"/>
    <w:rsid w:val="00694A21"/>
    <w:rsid w:val="00694DA6"/>
    <w:rsid w:val="00694F35"/>
    <w:rsid w:val="00694FA8"/>
    <w:rsid w:val="00695159"/>
    <w:rsid w:val="0069534E"/>
    <w:rsid w:val="00695623"/>
    <w:rsid w:val="00695A5D"/>
    <w:rsid w:val="00695AB4"/>
    <w:rsid w:val="00695B99"/>
    <w:rsid w:val="00695C2D"/>
    <w:rsid w:val="00695ED4"/>
    <w:rsid w:val="00695F88"/>
    <w:rsid w:val="00695FF6"/>
    <w:rsid w:val="0069601F"/>
    <w:rsid w:val="00696111"/>
    <w:rsid w:val="00696130"/>
    <w:rsid w:val="006962E0"/>
    <w:rsid w:val="00696894"/>
    <w:rsid w:val="00696AEC"/>
    <w:rsid w:val="00696BBE"/>
    <w:rsid w:val="00696CFB"/>
    <w:rsid w:val="00696F74"/>
    <w:rsid w:val="00697056"/>
    <w:rsid w:val="006975DC"/>
    <w:rsid w:val="006977CB"/>
    <w:rsid w:val="00697ABB"/>
    <w:rsid w:val="00697BB4"/>
    <w:rsid w:val="006A0282"/>
    <w:rsid w:val="006A0326"/>
    <w:rsid w:val="006A054F"/>
    <w:rsid w:val="006A073E"/>
    <w:rsid w:val="006A080D"/>
    <w:rsid w:val="006A087A"/>
    <w:rsid w:val="006A0AB6"/>
    <w:rsid w:val="006A0B53"/>
    <w:rsid w:val="006A0C6B"/>
    <w:rsid w:val="006A0DBC"/>
    <w:rsid w:val="006A0DD3"/>
    <w:rsid w:val="006A0DF6"/>
    <w:rsid w:val="006A0EF3"/>
    <w:rsid w:val="006A0FEE"/>
    <w:rsid w:val="006A10FF"/>
    <w:rsid w:val="006A12C5"/>
    <w:rsid w:val="006A16A3"/>
    <w:rsid w:val="006A1AE7"/>
    <w:rsid w:val="006A1B28"/>
    <w:rsid w:val="006A1B83"/>
    <w:rsid w:val="006A1D16"/>
    <w:rsid w:val="006A1D5F"/>
    <w:rsid w:val="006A1F05"/>
    <w:rsid w:val="006A2098"/>
    <w:rsid w:val="006A2293"/>
    <w:rsid w:val="006A2334"/>
    <w:rsid w:val="006A2544"/>
    <w:rsid w:val="006A273F"/>
    <w:rsid w:val="006A2910"/>
    <w:rsid w:val="006A2AAF"/>
    <w:rsid w:val="006A2B17"/>
    <w:rsid w:val="006A2C25"/>
    <w:rsid w:val="006A2E28"/>
    <w:rsid w:val="006A2E3E"/>
    <w:rsid w:val="006A2E78"/>
    <w:rsid w:val="006A3014"/>
    <w:rsid w:val="006A331F"/>
    <w:rsid w:val="006A34C0"/>
    <w:rsid w:val="006A3779"/>
    <w:rsid w:val="006A38A9"/>
    <w:rsid w:val="006A3934"/>
    <w:rsid w:val="006A3A73"/>
    <w:rsid w:val="006A3BB4"/>
    <w:rsid w:val="006A3C44"/>
    <w:rsid w:val="006A3C99"/>
    <w:rsid w:val="006A41CC"/>
    <w:rsid w:val="006A4240"/>
    <w:rsid w:val="006A458E"/>
    <w:rsid w:val="006A45A9"/>
    <w:rsid w:val="006A4B9B"/>
    <w:rsid w:val="006A4E08"/>
    <w:rsid w:val="006A503E"/>
    <w:rsid w:val="006A50DD"/>
    <w:rsid w:val="006A59B7"/>
    <w:rsid w:val="006A5BBA"/>
    <w:rsid w:val="006A5BC0"/>
    <w:rsid w:val="006A615A"/>
    <w:rsid w:val="006A6165"/>
    <w:rsid w:val="006A6331"/>
    <w:rsid w:val="006A646C"/>
    <w:rsid w:val="006A64BA"/>
    <w:rsid w:val="006A6525"/>
    <w:rsid w:val="006A679E"/>
    <w:rsid w:val="006A690D"/>
    <w:rsid w:val="006A6A40"/>
    <w:rsid w:val="006A6A62"/>
    <w:rsid w:val="006A6EF6"/>
    <w:rsid w:val="006A7887"/>
    <w:rsid w:val="006A7A14"/>
    <w:rsid w:val="006A7AA3"/>
    <w:rsid w:val="006A7ACF"/>
    <w:rsid w:val="006A7BA8"/>
    <w:rsid w:val="006A7BCF"/>
    <w:rsid w:val="006A7DC8"/>
    <w:rsid w:val="006A7EB5"/>
    <w:rsid w:val="006B02A3"/>
    <w:rsid w:val="006B02C6"/>
    <w:rsid w:val="006B03F2"/>
    <w:rsid w:val="006B04A5"/>
    <w:rsid w:val="006B05B6"/>
    <w:rsid w:val="006B0815"/>
    <w:rsid w:val="006B0BC4"/>
    <w:rsid w:val="006B0D6C"/>
    <w:rsid w:val="006B0F0A"/>
    <w:rsid w:val="006B0F19"/>
    <w:rsid w:val="006B0F6A"/>
    <w:rsid w:val="006B0F7D"/>
    <w:rsid w:val="006B11AD"/>
    <w:rsid w:val="006B12CD"/>
    <w:rsid w:val="006B14C2"/>
    <w:rsid w:val="006B1656"/>
    <w:rsid w:val="006B187B"/>
    <w:rsid w:val="006B1A71"/>
    <w:rsid w:val="006B1C08"/>
    <w:rsid w:val="006B2092"/>
    <w:rsid w:val="006B2289"/>
    <w:rsid w:val="006B229B"/>
    <w:rsid w:val="006B254D"/>
    <w:rsid w:val="006B2843"/>
    <w:rsid w:val="006B2915"/>
    <w:rsid w:val="006B2996"/>
    <w:rsid w:val="006B2B73"/>
    <w:rsid w:val="006B2DD8"/>
    <w:rsid w:val="006B2EE2"/>
    <w:rsid w:val="006B3283"/>
    <w:rsid w:val="006B3528"/>
    <w:rsid w:val="006B356D"/>
    <w:rsid w:val="006B3576"/>
    <w:rsid w:val="006B3611"/>
    <w:rsid w:val="006B378F"/>
    <w:rsid w:val="006B38B2"/>
    <w:rsid w:val="006B3937"/>
    <w:rsid w:val="006B3970"/>
    <w:rsid w:val="006B39D5"/>
    <w:rsid w:val="006B3A50"/>
    <w:rsid w:val="006B3CED"/>
    <w:rsid w:val="006B3CF0"/>
    <w:rsid w:val="006B3D7A"/>
    <w:rsid w:val="006B3E0A"/>
    <w:rsid w:val="006B3E6B"/>
    <w:rsid w:val="006B3EE1"/>
    <w:rsid w:val="006B402F"/>
    <w:rsid w:val="006B40AE"/>
    <w:rsid w:val="006B4113"/>
    <w:rsid w:val="006B455E"/>
    <w:rsid w:val="006B4926"/>
    <w:rsid w:val="006B4AA4"/>
    <w:rsid w:val="006B50B2"/>
    <w:rsid w:val="006B516B"/>
    <w:rsid w:val="006B51C1"/>
    <w:rsid w:val="006B55C3"/>
    <w:rsid w:val="006B59EE"/>
    <w:rsid w:val="006B59F9"/>
    <w:rsid w:val="006B5A64"/>
    <w:rsid w:val="006B5BB6"/>
    <w:rsid w:val="006B5C72"/>
    <w:rsid w:val="006B5CB3"/>
    <w:rsid w:val="006B67F7"/>
    <w:rsid w:val="006B6814"/>
    <w:rsid w:val="006B6B17"/>
    <w:rsid w:val="006B6C5D"/>
    <w:rsid w:val="006B6DF7"/>
    <w:rsid w:val="006B6F86"/>
    <w:rsid w:val="006B71B6"/>
    <w:rsid w:val="006B769B"/>
    <w:rsid w:val="006B76F4"/>
    <w:rsid w:val="006C0134"/>
    <w:rsid w:val="006C02BD"/>
    <w:rsid w:val="006C034B"/>
    <w:rsid w:val="006C06E3"/>
    <w:rsid w:val="006C07F2"/>
    <w:rsid w:val="006C0A72"/>
    <w:rsid w:val="006C0AF3"/>
    <w:rsid w:val="006C1001"/>
    <w:rsid w:val="006C1437"/>
    <w:rsid w:val="006C151B"/>
    <w:rsid w:val="006C18E4"/>
    <w:rsid w:val="006C1CC0"/>
    <w:rsid w:val="006C1E3B"/>
    <w:rsid w:val="006C1F25"/>
    <w:rsid w:val="006C1F2C"/>
    <w:rsid w:val="006C1F54"/>
    <w:rsid w:val="006C1F87"/>
    <w:rsid w:val="006C2071"/>
    <w:rsid w:val="006C20AE"/>
    <w:rsid w:val="006C2227"/>
    <w:rsid w:val="006C2481"/>
    <w:rsid w:val="006C24EE"/>
    <w:rsid w:val="006C27A6"/>
    <w:rsid w:val="006C28EF"/>
    <w:rsid w:val="006C2A67"/>
    <w:rsid w:val="006C2C34"/>
    <w:rsid w:val="006C2D25"/>
    <w:rsid w:val="006C2DE7"/>
    <w:rsid w:val="006C2E84"/>
    <w:rsid w:val="006C2F7B"/>
    <w:rsid w:val="006C3105"/>
    <w:rsid w:val="006C3391"/>
    <w:rsid w:val="006C3530"/>
    <w:rsid w:val="006C361D"/>
    <w:rsid w:val="006C3AC2"/>
    <w:rsid w:val="006C3AEC"/>
    <w:rsid w:val="006C3F26"/>
    <w:rsid w:val="006C42D4"/>
    <w:rsid w:val="006C44FB"/>
    <w:rsid w:val="006C4CF6"/>
    <w:rsid w:val="006C4F09"/>
    <w:rsid w:val="006C4F58"/>
    <w:rsid w:val="006C4FDB"/>
    <w:rsid w:val="006C50C9"/>
    <w:rsid w:val="006C5130"/>
    <w:rsid w:val="006C553E"/>
    <w:rsid w:val="006C58B9"/>
    <w:rsid w:val="006C5C34"/>
    <w:rsid w:val="006C5DC1"/>
    <w:rsid w:val="006C5F96"/>
    <w:rsid w:val="006C6001"/>
    <w:rsid w:val="006C60F9"/>
    <w:rsid w:val="006C622E"/>
    <w:rsid w:val="006C62A2"/>
    <w:rsid w:val="006C63BF"/>
    <w:rsid w:val="006C6432"/>
    <w:rsid w:val="006C6C6B"/>
    <w:rsid w:val="006C72B0"/>
    <w:rsid w:val="006C7305"/>
    <w:rsid w:val="006C7318"/>
    <w:rsid w:val="006C7457"/>
    <w:rsid w:val="006C7725"/>
    <w:rsid w:val="006C7A12"/>
    <w:rsid w:val="006C7BEB"/>
    <w:rsid w:val="006C7CF6"/>
    <w:rsid w:val="006D00B9"/>
    <w:rsid w:val="006D011F"/>
    <w:rsid w:val="006D03F2"/>
    <w:rsid w:val="006D0571"/>
    <w:rsid w:val="006D087B"/>
    <w:rsid w:val="006D08F8"/>
    <w:rsid w:val="006D0A18"/>
    <w:rsid w:val="006D0A55"/>
    <w:rsid w:val="006D0D65"/>
    <w:rsid w:val="006D0DA0"/>
    <w:rsid w:val="006D0E08"/>
    <w:rsid w:val="006D0F86"/>
    <w:rsid w:val="006D0FE3"/>
    <w:rsid w:val="006D12A6"/>
    <w:rsid w:val="006D12D1"/>
    <w:rsid w:val="006D135D"/>
    <w:rsid w:val="006D13A6"/>
    <w:rsid w:val="006D141B"/>
    <w:rsid w:val="006D15C3"/>
    <w:rsid w:val="006D1842"/>
    <w:rsid w:val="006D18AE"/>
    <w:rsid w:val="006D18CA"/>
    <w:rsid w:val="006D1CE4"/>
    <w:rsid w:val="006D1E68"/>
    <w:rsid w:val="006D1F4F"/>
    <w:rsid w:val="006D241A"/>
    <w:rsid w:val="006D24A0"/>
    <w:rsid w:val="006D2638"/>
    <w:rsid w:val="006D266D"/>
    <w:rsid w:val="006D285D"/>
    <w:rsid w:val="006D2861"/>
    <w:rsid w:val="006D2A42"/>
    <w:rsid w:val="006D2ACA"/>
    <w:rsid w:val="006D2C02"/>
    <w:rsid w:val="006D2D40"/>
    <w:rsid w:val="006D2DA3"/>
    <w:rsid w:val="006D2E43"/>
    <w:rsid w:val="006D2FF6"/>
    <w:rsid w:val="006D317C"/>
    <w:rsid w:val="006D32AB"/>
    <w:rsid w:val="006D3355"/>
    <w:rsid w:val="006D35B0"/>
    <w:rsid w:val="006D3602"/>
    <w:rsid w:val="006D36B1"/>
    <w:rsid w:val="006D36F0"/>
    <w:rsid w:val="006D37FF"/>
    <w:rsid w:val="006D3810"/>
    <w:rsid w:val="006D3A7B"/>
    <w:rsid w:val="006D3BCD"/>
    <w:rsid w:val="006D3E64"/>
    <w:rsid w:val="006D420C"/>
    <w:rsid w:val="006D43B0"/>
    <w:rsid w:val="006D46F2"/>
    <w:rsid w:val="006D476A"/>
    <w:rsid w:val="006D48F3"/>
    <w:rsid w:val="006D494E"/>
    <w:rsid w:val="006D4A70"/>
    <w:rsid w:val="006D4AC7"/>
    <w:rsid w:val="006D4D64"/>
    <w:rsid w:val="006D4FB8"/>
    <w:rsid w:val="006D5071"/>
    <w:rsid w:val="006D5160"/>
    <w:rsid w:val="006D51F0"/>
    <w:rsid w:val="006D5227"/>
    <w:rsid w:val="006D53C3"/>
    <w:rsid w:val="006D5428"/>
    <w:rsid w:val="006D57F1"/>
    <w:rsid w:val="006D5930"/>
    <w:rsid w:val="006D594A"/>
    <w:rsid w:val="006D5A6C"/>
    <w:rsid w:val="006D5AB7"/>
    <w:rsid w:val="006D5ACD"/>
    <w:rsid w:val="006D5C14"/>
    <w:rsid w:val="006D5C2D"/>
    <w:rsid w:val="006D5E3C"/>
    <w:rsid w:val="006D610B"/>
    <w:rsid w:val="006D61F1"/>
    <w:rsid w:val="006D6254"/>
    <w:rsid w:val="006D63DB"/>
    <w:rsid w:val="006D6632"/>
    <w:rsid w:val="006D66C9"/>
    <w:rsid w:val="006D6775"/>
    <w:rsid w:val="006D6A06"/>
    <w:rsid w:val="006D6A32"/>
    <w:rsid w:val="006D6A9A"/>
    <w:rsid w:val="006D6AF8"/>
    <w:rsid w:val="006D742C"/>
    <w:rsid w:val="006D7491"/>
    <w:rsid w:val="006D762C"/>
    <w:rsid w:val="006D768D"/>
    <w:rsid w:val="006D76DE"/>
    <w:rsid w:val="006D78D2"/>
    <w:rsid w:val="006D7C18"/>
    <w:rsid w:val="006D7E82"/>
    <w:rsid w:val="006E024F"/>
    <w:rsid w:val="006E0373"/>
    <w:rsid w:val="006E0668"/>
    <w:rsid w:val="006E06DE"/>
    <w:rsid w:val="006E0753"/>
    <w:rsid w:val="006E082B"/>
    <w:rsid w:val="006E0A4D"/>
    <w:rsid w:val="006E0B0D"/>
    <w:rsid w:val="006E0BCC"/>
    <w:rsid w:val="006E0C4F"/>
    <w:rsid w:val="006E110F"/>
    <w:rsid w:val="006E11E8"/>
    <w:rsid w:val="006E12C7"/>
    <w:rsid w:val="006E1622"/>
    <w:rsid w:val="006E1637"/>
    <w:rsid w:val="006E17AC"/>
    <w:rsid w:val="006E19EC"/>
    <w:rsid w:val="006E1D59"/>
    <w:rsid w:val="006E1EE6"/>
    <w:rsid w:val="006E1FAA"/>
    <w:rsid w:val="006E27BF"/>
    <w:rsid w:val="006E29E2"/>
    <w:rsid w:val="006E300F"/>
    <w:rsid w:val="006E305F"/>
    <w:rsid w:val="006E30CD"/>
    <w:rsid w:val="006E327A"/>
    <w:rsid w:val="006E331A"/>
    <w:rsid w:val="006E34AB"/>
    <w:rsid w:val="006E35C5"/>
    <w:rsid w:val="006E364F"/>
    <w:rsid w:val="006E37DE"/>
    <w:rsid w:val="006E3AD6"/>
    <w:rsid w:val="006E3B0F"/>
    <w:rsid w:val="006E3E53"/>
    <w:rsid w:val="006E3F9D"/>
    <w:rsid w:val="006E408D"/>
    <w:rsid w:val="006E448E"/>
    <w:rsid w:val="006E44F0"/>
    <w:rsid w:val="006E4569"/>
    <w:rsid w:val="006E4639"/>
    <w:rsid w:val="006E4776"/>
    <w:rsid w:val="006E4BAD"/>
    <w:rsid w:val="006E4DEB"/>
    <w:rsid w:val="006E4E6E"/>
    <w:rsid w:val="006E4EC6"/>
    <w:rsid w:val="006E54B2"/>
    <w:rsid w:val="006E54EB"/>
    <w:rsid w:val="006E566B"/>
    <w:rsid w:val="006E566E"/>
    <w:rsid w:val="006E5808"/>
    <w:rsid w:val="006E5AE0"/>
    <w:rsid w:val="006E5B67"/>
    <w:rsid w:val="006E5B6C"/>
    <w:rsid w:val="006E5C63"/>
    <w:rsid w:val="006E5F14"/>
    <w:rsid w:val="006E6091"/>
    <w:rsid w:val="006E6177"/>
    <w:rsid w:val="006E6297"/>
    <w:rsid w:val="006E6396"/>
    <w:rsid w:val="006E6683"/>
    <w:rsid w:val="006E6773"/>
    <w:rsid w:val="006E68A4"/>
    <w:rsid w:val="006E6B70"/>
    <w:rsid w:val="006E6D21"/>
    <w:rsid w:val="006E71DB"/>
    <w:rsid w:val="006E7237"/>
    <w:rsid w:val="006E72AF"/>
    <w:rsid w:val="006E72DA"/>
    <w:rsid w:val="006E7362"/>
    <w:rsid w:val="006E73D8"/>
    <w:rsid w:val="006E7441"/>
    <w:rsid w:val="006E750E"/>
    <w:rsid w:val="006E79BA"/>
    <w:rsid w:val="006E7A09"/>
    <w:rsid w:val="006E7A0B"/>
    <w:rsid w:val="006E7CB0"/>
    <w:rsid w:val="006E7E02"/>
    <w:rsid w:val="006F015E"/>
    <w:rsid w:val="006F02E0"/>
    <w:rsid w:val="006F06FC"/>
    <w:rsid w:val="006F091E"/>
    <w:rsid w:val="006F0DD9"/>
    <w:rsid w:val="006F0EB4"/>
    <w:rsid w:val="006F0EDE"/>
    <w:rsid w:val="006F1099"/>
    <w:rsid w:val="006F111B"/>
    <w:rsid w:val="006F11E1"/>
    <w:rsid w:val="006F129B"/>
    <w:rsid w:val="006F1411"/>
    <w:rsid w:val="006F176B"/>
    <w:rsid w:val="006F18CC"/>
    <w:rsid w:val="006F1A91"/>
    <w:rsid w:val="006F1AEC"/>
    <w:rsid w:val="006F1D5D"/>
    <w:rsid w:val="006F1D5E"/>
    <w:rsid w:val="006F1E7C"/>
    <w:rsid w:val="006F1EA7"/>
    <w:rsid w:val="006F1F55"/>
    <w:rsid w:val="006F1FF4"/>
    <w:rsid w:val="006F22BE"/>
    <w:rsid w:val="006F23E2"/>
    <w:rsid w:val="006F2652"/>
    <w:rsid w:val="006F26BA"/>
    <w:rsid w:val="006F26BE"/>
    <w:rsid w:val="006F27A0"/>
    <w:rsid w:val="006F2931"/>
    <w:rsid w:val="006F29BF"/>
    <w:rsid w:val="006F2AF8"/>
    <w:rsid w:val="006F2BA3"/>
    <w:rsid w:val="006F2BC0"/>
    <w:rsid w:val="006F2DF2"/>
    <w:rsid w:val="006F2FF1"/>
    <w:rsid w:val="006F31D2"/>
    <w:rsid w:val="006F35FA"/>
    <w:rsid w:val="006F3651"/>
    <w:rsid w:val="006F37EF"/>
    <w:rsid w:val="006F38E6"/>
    <w:rsid w:val="006F3DD1"/>
    <w:rsid w:val="006F41F4"/>
    <w:rsid w:val="006F422C"/>
    <w:rsid w:val="006F42E9"/>
    <w:rsid w:val="006F4481"/>
    <w:rsid w:val="006F45A2"/>
    <w:rsid w:val="006F49B8"/>
    <w:rsid w:val="006F4D1B"/>
    <w:rsid w:val="006F4E59"/>
    <w:rsid w:val="006F4F5E"/>
    <w:rsid w:val="006F502A"/>
    <w:rsid w:val="006F50D8"/>
    <w:rsid w:val="006F532C"/>
    <w:rsid w:val="006F56D6"/>
    <w:rsid w:val="006F57E2"/>
    <w:rsid w:val="006F5803"/>
    <w:rsid w:val="006F58E2"/>
    <w:rsid w:val="006F593D"/>
    <w:rsid w:val="006F59FD"/>
    <w:rsid w:val="006F5B95"/>
    <w:rsid w:val="006F5D46"/>
    <w:rsid w:val="006F6083"/>
    <w:rsid w:val="006F639D"/>
    <w:rsid w:val="006F65C3"/>
    <w:rsid w:val="006F6650"/>
    <w:rsid w:val="006F6880"/>
    <w:rsid w:val="006F6E47"/>
    <w:rsid w:val="006F6EC3"/>
    <w:rsid w:val="006F6FF7"/>
    <w:rsid w:val="006F708B"/>
    <w:rsid w:val="006F71C1"/>
    <w:rsid w:val="006F7496"/>
    <w:rsid w:val="006F75EA"/>
    <w:rsid w:val="006F7822"/>
    <w:rsid w:val="006F78D2"/>
    <w:rsid w:val="006F7A0B"/>
    <w:rsid w:val="006F7BB0"/>
    <w:rsid w:val="006F7CE2"/>
    <w:rsid w:val="00700309"/>
    <w:rsid w:val="007006F1"/>
    <w:rsid w:val="007006FD"/>
    <w:rsid w:val="007007C9"/>
    <w:rsid w:val="007009D7"/>
    <w:rsid w:val="00700CF9"/>
    <w:rsid w:val="00700F66"/>
    <w:rsid w:val="007014C6"/>
    <w:rsid w:val="007014E9"/>
    <w:rsid w:val="0070152E"/>
    <w:rsid w:val="007018FC"/>
    <w:rsid w:val="00701C24"/>
    <w:rsid w:val="00701E95"/>
    <w:rsid w:val="00702049"/>
    <w:rsid w:val="007020F9"/>
    <w:rsid w:val="00702445"/>
    <w:rsid w:val="007024D2"/>
    <w:rsid w:val="00702513"/>
    <w:rsid w:val="00702637"/>
    <w:rsid w:val="0070282D"/>
    <w:rsid w:val="00702C1E"/>
    <w:rsid w:val="00702F6F"/>
    <w:rsid w:val="00702FD4"/>
    <w:rsid w:val="00703076"/>
    <w:rsid w:val="0070307B"/>
    <w:rsid w:val="007032A5"/>
    <w:rsid w:val="0070352F"/>
    <w:rsid w:val="007035A2"/>
    <w:rsid w:val="00703663"/>
    <w:rsid w:val="0070377D"/>
    <w:rsid w:val="00703916"/>
    <w:rsid w:val="0070395A"/>
    <w:rsid w:val="007039A4"/>
    <w:rsid w:val="00703AF6"/>
    <w:rsid w:val="00703B63"/>
    <w:rsid w:val="00703BAD"/>
    <w:rsid w:val="00703BB8"/>
    <w:rsid w:val="00704005"/>
    <w:rsid w:val="00704153"/>
    <w:rsid w:val="0070446B"/>
    <w:rsid w:val="007045F4"/>
    <w:rsid w:val="007046A7"/>
    <w:rsid w:val="007049A9"/>
    <w:rsid w:val="00704D4F"/>
    <w:rsid w:val="00704DDD"/>
    <w:rsid w:val="00704E74"/>
    <w:rsid w:val="00704FD2"/>
    <w:rsid w:val="007052E7"/>
    <w:rsid w:val="00705645"/>
    <w:rsid w:val="00705833"/>
    <w:rsid w:val="007058D4"/>
    <w:rsid w:val="007059CE"/>
    <w:rsid w:val="00705A4B"/>
    <w:rsid w:val="00705BA3"/>
    <w:rsid w:val="00705CC7"/>
    <w:rsid w:val="00705F10"/>
    <w:rsid w:val="007060BB"/>
    <w:rsid w:val="007061CA"/>
    <w:rsid w:val="00706223"/>
    <w:rsid w:val="007062BC"/>
    <w:rsid w:val="00706468"/>
    <w:rsid w:val="007067BC"/>
    <w:rsid w:val="00706811"/>
    <w:rsid w:val="0070688C"/>
    <w:rsid w:val="00706BE1"/>
    <w:rsid w:val="00706C7D"/>
    <w:rsid w:val="00706C80"/>
    <w:rsid w:val="00706DD3"/>
    <w:rsid w:val="00706E38"/>
    <w:rsid w:val="00706F7F"/>
    <w:rsid w:val="007070AD"/>
    <w:rsid w:val="007070DB"/>
    <w:rsid w:val="007074EB"/>
    <w:rsid w:val="0070764B"/>
    <w:rsid w:val="00707B99"/>
    <w:rsid w:val="00707CA0"/>
    <w:rsid w:val="007102E6"/>
    <w:rsid w:val="0071041C"/>
    <w:rsid w:val="00710648"/>
    <w:rsid w:val="00711581"/>
    <w:rsid w:val="007115AE"/>
    <w:rsid w:val="0071173F"/>
    <w:rsid w:val="00711A15"/>
    <w:rsid w:val="00711AFE"/>
    <w:rsid w:val="00711D95"/>
    <w:rsid w:val="00711F2C"/>
    <w:rsid w:val="007121D3"/>
    <w:rsid w:val="00712418"/>
    <w:rsid w:val="00712533"/>
    <w:rsid w:val="007125E0"/>
    <w:rsid w:val="00712612"/>
    <w:rsid w:val="00712682"/>
    <w:rsid w:val="0071281B"/>
    <w:rsid w:val="00712A74"/>
    <w:rsid w:val="00712CBA"/>
    <w:rsid w:val="007131C3"/>
    <w:rsid w:val="007132FC"/>
    <w:rsid w:val="0071345B"/>
    <w:rsid w:val="00713530"/>
    <w:rsid w:val="00713547"/>
    <w:rsid w:val="007135B5"/>
    <w:rsid w:val="00713B4B"/>
    <w:rsid w:val="00713C56"/>
    <w:rsid w:val="00713CF8"/>
    <w:rsid w:val="00713DE0"/>
    <w:rsid w:val="007141B9"/>
    <w:rsid w:val="0071425B"/>
    <w:rsid w:val="007142BD"/>
    <w:rsid w:val="0071448F"/>
    <w:rsid w:val="00714509"/>
    <w:rsid w:val="00714542"/>
    <w:rsid w:val="007145AC"/>
    <w:rsid w:val="0071474D"/>
    <w:rsid w:val="00714825"/>
    <w:rsid w:val="007149B1"/>
    <w:rsid w:val="00714A31"/>
    <w:rsid w:val="00714B82"/>
    <w:rsid w:val="00714D24"/>
    <w:rsid w:val="00714F4E"/>
    <w:rsid w:val="00715377"/>
    <w:rsid w:val="00715449"/>
    <w:rsid w:val="00715599"/>
    <w:rsid w:val="00715655"/>
    <w:rsid w:val="0071566A"/>
    <w:rsid w:val="00715A0F"/>
    <w:rsid w:val="00715ABF"/>
    <w:rsid w:val="00715BC2"/>
    <w:rsid w:val="00715F57"/>
    <w:rsid w:val="007162DA"/>
    <w:rsid w:val="00716564"/>
    <w:rsid w:val="007166CD"/>
    <w:rsid w:val="007166F5"/>
    <w:rsid w:val="0071673D"/>
    <w:rsid w:val="0071676D"/>
    <w:rsid w:val="007167F3"/>
    <w:rsid w:val="00716A7E"/>
    <w:rsid w:val="00716C63"/>
    <w:rsid w:val="00716C81"/>
    <w:rsid w:val="00716D9B"/>
    <w:rsid w:val="007175CD"/>
    <w:rsid w:val="00720032"/>
    <w:rsid w:val="00720284"/>
    <w:rsid w:val="00720627"/>
    <w:rsid w:val="0072077B"/>
    <w:rsid w:val="00720980"/>
    <w:rsid w:val="00720AB2"/>
    <w:rsid w:val="00720B45"/>
    <w:rsid w:val="00720C97"/>
    <w:rsid w:val="00720EA2"/>
    <w:rsid w:val="00720EFF"/>
    <w:rsid w:val="00720FD2"/>
    <w:rsid w:val="0072102F"/>
    <w:rsid w:val="00721051"/>
    <w:rsid w:val="007210BB"/>
    <w:rsid w:val="00721219"/>
    <w:rsid w:val="00721294"/>
    <w:rsid w:val="007212A1"/>
    <w:rsid w:val="0072136E"/>
    <w:rsid w:val="007213B8"/>
    <w:rsid w:val="00721501"/>
    <w:rsid w:val="00721ABE"/>
    <w:rsid w:val="00721C7C"/>
    <w:rsid w:val="00721DE5"/>
    <w:rsid w:val="00721E47"/>
    <w:rsid w:val="0072230F"/>
    <w:rsid w:val="0072231E"/>
    <w:rsid w:val="00722534"/>
    <w:rsid w:val="007225E0"/>
    <w:rsid w:val="00722995"/>
    <w:rsid w:val="00722A60"/>
    <w:rsid w:val="00722E0D"/>
    <w:rsid w:val="00722E15"/>
    <w:rsid w:val="00722EAA"/>
    <w:rsid w:val="00723727"/>
    <w:rsid w:val="007239AD"/>
    <w:rsid w:val="007239DF"/>
    <w:rsid w:val="00723BB4"/>
    <w:rsid w:val="00723BF1"/>
    <w:rsid w:val="0072420A"/>
    <w:rsid w:val="0072429A"/>
    <w:rsid w:val="00724417"/>
    <w:rsid w:val="00724602"/>
    <w:rsid w:val="00724795"/>
    <w:rsid w:val="00724944"/>
    <w:rsid w:val="00724BD6"/>
    <w:rsid w:val="00724D21"/>
    <w:rsid w:val="00724D5F"/>
    <w:rsid w:val="00724E2A"/>
    <w:rsid w:val="00725201"/>
    <w:rsid w:val="0072546E"/>
    <w:rsid w:val="0072548B"/>
    <w:rsid w:val="007257F1"/>
    <w:rsid w:val="0072678F"/>
    <w:rsid w:val="00726848"/>
    <w:rsid w:val="0072689D"/>
    <w:rsid w:val="007269D8"/>
    <w:rsid w:val="00726AB3"/>
    <w:rsid w:val="00726EB6"/>
    <w:rsid w:val="00726F11"/>
    <w:rsid w:val="00726F33"/>
    <w:rsid w:val="00726F3F"/>
    <w:rsid w:val="00726FC8"/>
    <w:rsid w:val="0072701A"/>
    <w:rsid w:val="007276D6"/>
    <w:rsid w:val="0072787B"/>
    <w:rsid w:val="00727CCF"/>
    <w:rsid w:val="00727E3E"/>
    <w:rsid w:val="00730027"/>
    <w:rsid w:val="00730271"/>
    <w:rsid w:val="0073058D"/>
    <w:rsid w:val="00730633"/>
    <w:rsid w:val="0073086F"/>
    <w:rsid w:val="00730AEC"/>
    <w:rsid w:val="00730C82"/>
    <w:rsid w:val="007314A1"/>
    <w:rsid w:val="00731608"/>
    <w:rsid w:val="00731A39"/>
    <w:rsid w:val="00731A64"/>
    <w:rsid w:val="00731C27"/>
    <w:rsid w:val="00731D21"/>
    <w:rsid w:val="0073205D"/>
    <w:rsid w:val="00732342"/>
    <w:rsid w:val="0073252C"/>
    <w:rsid w:val="00732595"/>
    <w:rsid w:val="00732618"/>
    <w:rsid w:val="0073268E"/>
    <w:rsid w:val="0073276C"/>
    <w:rsid w:val="007328B3"/>
    <w:rsid w:val="00732B9F"/>
    <w:rsid w:val="00732BBE"/>
    <w:rsid w:val="00732BCF"/>
    <w:rsid w:val="00732FB2"/>
    <w:rsid w:val="007333B6"/>
    <w:rsid w:val="00733832"/>
    <w:rsid w:val="007338D9"/>
    <w:rsid w:val="00733BA8"/>
    <w:rsid w:val="00733BFA"/>
    <w:rsid w:val="00733E29"/>
    <w:rsid w:val="00734256"/>
    <w:rsid w:val="00734745"/>
    <w:rsid w:val="007349A9"/>
    <w:rsid w:val="00734AEA"/>
    <w:rsid w:val="00734C00"/>
    <w:rsid w:val="00734D98"/>
    <w:rsid w:val="00734E4C"/>
    <w:rsid w:val="00735111"/>
    <w:rsid w:val="00735228"/>
    <w:rsid w:val="007353B4"/>
    <w:rsid w:val="00735469"/>
    <w:rsid w:val="007354DC"/>
    <w:rsid w:val="007354ED"/>
    <w:rsid w:val="00735523"/>
    <w:rsid w:val="007355D9"/>
    <w:rsid w:val="007357E2"/>
    <w:rsid w:val="00735852"/>
    <w:rsid w:val="0073590A"/>
    <w:rsid w:val="0073590F"/>
    <w:rsid w:val="00735B6E"/>
    <w:rsid w:val="00735BD1"/>
    <w:rsid w:val="00735E65"/>
    <w:rsid w:val="00735E82"/>
    <w:rsid w:val="00735E9C"/>
    <w:rsid w:val="00735FB4"/>
    <w:rsid w:val="00736042"/>
    <w:rsid w:val="0073604E"/>
    <w:rsid w:val="007360E1"/>
    <w:rsid w:val="007361C5"/>
    <w:rsid w:val="007363D9"/>
    <w:rsid w:val="007363F5"/>
    <w:rsid w:val="00736445"/>
    <w:rsid w:val="00736643"/>
    <w:rsid w:val="00737227"/>
    <w:rsid w:val="0073726D"/>
    <w:rsid w:val="007373CF"/>
    <w:rsid w:val="007373D8"/>
    <w:rsid w:val="007373E7"/>
    <w:rsid w:val="00737402"/>
    <w:rsid w:val="007376EA"/>
    <w:rsid w:val="00737ACA"/>
    <w:rsid w:val="00737AEA"/>
    <w:rsid w:val="00737CB5"/>
    <w:rsid w:val="00737DEB"/>
    <w:rsid w:val="00737E95"/>
    <w:rsid w:val="0074007C"/>
    <w:rsid w:val="00740202"/>
    <w:rsid w:val="00740659"/>
    <w:rsid w:val="00740682"/>
    <w:rsid w:val="0074071F"/>
    <w:rsid w:val="00740883"/>
    <w:rsid w:val="0074089D"/>
    <w:rsid w:val="007410D0"/>
    <w:rsid w:val="0074122A"/>
    <w:rsid w:val="007412EF"/>
    <w:rsid w:val="00741654"/>
    <w:rsid w:val="0074178F"/>
    <w:rsid w:val="00741893"/>
    <w:rsid w:val="00741B2B"/>
    <w:rsid w:val="00741C98"/>
    <w:rsid w:val="00742036"/>
    <w:rsid w:val="007420C4"/>
    <w:rsid w:val="0074225D"/>
    <w:rsid w:val="00742605"/>
    <w:rsid w:val="00742932"/>
    <w:rsid w:val="00742BB0"/>
    <w:rsid w:val="00742E06"/>
    <w:rsid w:val="00742E22"/>
    <w:rsid w:val="00743133"/>
    <w:rsid w:val="007433A8"/>
    <w:rsid w:val="00743493"/>
    <w:rsid w:val="007436A6"/>
    <w:rsid w:val="00743707"/>
    <w:rsid w:val="0074373D"/>
    <w:rsid w:val="00743769"/>
    <w:rsid w:val="0074376F"/>
    <w:rsid w:val="007438E3"/>
    <w:rsid w:val="00743B2F"/>
    <w:rsid w:val="00743EC5"/>
    <w:rsid w:val="00743F90"/>
    <w:rsid w:val="00743FA2"/>
    <w:rsid w:val="0074448D"/>
    <w:rsid w:val="007448B2"/>
    <w:rsid w:val="00744995"/>
    <w:rsid w:val="00744B37"/>
    <w:rsid w:val="00744DDA"/>
    <w:rsid w:val="00745233"/>
    <w:rsid w:val="007452BD"/>
    <w:rsid w:val="00745504"/>
    <w:rsid w:val="00745616"/>
    <w:rsid w:val="0074596C"/>
    <w:rsid w:val="00745CB4"/>
    <w:rsid w:val="00745D1F"/>
    <w:rsid w:val="0074629F"/>
    <w:rsid w:val="0074657C"/>
    <w:rsid w:val="0074683D"/>
    <w:rsid w:val="00746BC9"/>
    <w:rsid w:val="00747021"/>
    <w:rsid w:val="00747084"/>
    <w:rsid w:val="0074713E"/>
    <w:rsid w:val="0074716D"/>
    <w:rsid w:val="00747272"/>
    <w:rsid w:val="00747349"/>
    <w:rsid w:val="0074748A"/>
    <w:rsid w:val="00747553"/>
    <w:rsid w:val="007475BB"/>
    <w:rsid w:val="007476CA"/>
    <w:rsid w:val="0074775C"/>
    <w:rsid w:val="00747893"/>
    <w:rsid w:val="00747C13"/>
    <w:rsid w:val="00747C30"/>
    <w:rsid w:val="00747D5C"/>
    <w:rsid w:val="00747DA3"/>
    <w:rsid w:val="00747E4E"/>
    <w:rsid w:val="00747EA7"/>
    <w:rsid w:val="00750003"/>
    <w:rsid w:val="0075015C"/>
    <w:rsid w:val="007503DC"/>
    <w:rsid w:val="007503E4"/>
    <w:rsid w:val="007503F5"/>
    <w:rsid w:val="00750473"/>
    <w:rsid w:val="00750537"/>
    <w:rsid w:val="00750679"/>
    <w:rsid w:val="00750BC4"/>
    <w:rsid w:val="00750E6E"/>
    <w:rsid w:val="00750EEA"/>
    <w:rsid w:val="0075103E"/>
    <w:rsid w:val="0075136E"/>
    <w:rsid w:val="007514BC"/>
    <w:rsid w:val="00751E2D"/>
    <w:rsid w:val="00751F29"/>
    <w:rsid w:val="00752085"/>
    <w:rsid w:val="00752231"/>
    <w:rsid w:val="007525AE"/>
    <w:rsid w:val="00752949"/>
    <w:rsid w:val="00752B9B"/>
    <w:rsid w:val="00752DB4"/>
    <w:rsid w:val="00752E87"/>
    <w:rsid w:val="00752F55"/>
    <w:rsid w:val="00752FAF"/>
    <w:rsid w:val="007530E5"/>
    <w:rsid w:val="007531FD"/>
    <w:rsid w:val="0075331F"/>
    <w:rsid w:val="007533A9"/>
    <w:rsid w:val="007534FB"/>
    <w:rsid w:val="0075354D"/>
    <w:rsid w:val="007535AD"/>
    <w:rsid w:val="00753809"/>
    <w:rsid w:val="00753BE8"/>
    <w:rsid w:val="00753BFA"/>
    <w:rsid w:val="00753C0C"/>
    <w:rsid w:val="00753CBE"/>
    <w:rsid w:val="0075433B"/>
    <w:rsid w:val="00754372"/>
    <w:rsid w:val="007546B2"/>
    <w:rsid w:val="00754863"/>
    <w:rsid w:val="00754971"/>
    <w:rsid w:val="00754AF4"/>
    <w:rsid w:val="00754CB2"/>
    <w:rsid w:val="00754CFC"/>
    <w:rsid w:val="00754D41"/>
    <w:rsid w:val="00754DA5"/>
    <w:rsid w:val="0075508E"/>
    <w:rsid w:val="0075516B"/>
    <w:rsid w:val="0075534F"/>
    <w:rsid w:val="007559CE"/>
    <w:rsid w:val="00755A0C"/>
    <w:rsid w:val="00755A97"/>
    <w:rsid w:val="00755BF9"/>
    <w:rsid w:val="00756345"/>
    <w:rsid w:val="00756355"/>
    <w:rsid w:val="00756845"/>
    <w:rsid w:val="00756CFA"/>
    <w:rsid w:val="00756EF1"/>
    <w:rsid w:val="00756F23"/>
    <w:rsid w:val="00756F27"/>
    <w:rsid w:val="00757091"/>
    <w:rsid w:val="007571D2"/>
    <w:rsid w:val="0075723F"/>
    <w:rsid w:val="007573D3"/>
    <w:rsid w:val="00757509"/>
    <w:rsid w:val="00757639"/>
    <w:rsid w:val="007578EB"/>
    <w:rsid w:val="00757BD3"/>
    <w:rsid w:val="00760067"/>
    <w:rsid w:val="007602B6"/>
    <w:rsid w:val="007603E9"/>
    <w:rsid w:val="007603FD"/>
    <w:rsid w:val="00760418"/>
    <w:rsid w:val="00760759"/>
    <w:rsid w:val="0076076E"/>
    <w:rsid w:val="00760837"/>
    <w:rsid w:val="007609CB"/>
    <w:rsid w:val="00760B45"/>
    <w:rsid w:val="00760E9E"/>
    <w:rsid w:val="00760F9C"/>
    <w:rsid w:val="00761135"/>
    <w:rsid w:val="00761D6C"/>
    <w:rsid w:val="00761E89"/>
    <w:rsid w:val="00761EC6"/>
    <w:rsid w:val="00762285"/>
    <w:rsid w:val="007623EE"/>
    <w:rsid w:val="00762894"/>
    <w:rsid w:val="0076293A"/>
    <w:rsid w:val="00762EDA"/>
    <w:rsid w:val="007631C3"/>
    <w:rsid w:val="007631F2"/>
    <w:rsid w:val="00763443"/>
    <w:rsid w:val="007634E1"/>
    <w:rsid w:val="007635D7"/>
    <w:rsid w:val="007638C7"/>
    <w:rsid w:val="007639F7"/>
    <w:rsid w:val="00763C4D"/>
    <w:rsid w:val="00763D7A"/>
    <w:rsid w:val="00763DBC"/>
    <w:rsid w:val="00763F81"/>
    <w:rsid w:val="00763FD1"/>
    <w:rsid w:val="0076420C"/>
    <w:rsid w:val="0076452A"/>
    <w:rsid w:val="00764588"/>
    <w:rsid w:val="007647C7"/>
    <w:rsid w:val="007649A7"/>
    <w:rsid w:val="00764A21"/>
    <w:rsid w:val="00764E62"/>
    <w:rsid w:val="00764F08"/>
    <w:rsid w:val="00764F16"/>
    <w:rsid w:val="00765376"/>
    <w:rsid w:val="00765454"/>
    <w:rsid w:val="0076564D"/>
    <w:rsid w:val="0076588F"/>
    <w:rsid w:val="007658F8"/>
    <w:rsid w:val="00765A56"/>
    <w:rsid w:val="00765D9D"/>
    <w:rsid w:val="00765E90"/>
    <w:rsid w:val="00765FA7"/>
    <w:rsid w:val="007661ED"/>
    <w:rsid w:val="007661EE"/>
    <w:rsid w:val="0076636C"/>
    <w:rsid w:val="00766778"/>
    <w:rsid w:val="007667DC"/>
    <w:rsid w:val="0076687A"/>
    <w:rsid w:val="007669BF"/>
    <w:rsid w:val="00766C08"/>
    <w:rsid w:val="00766CD8"/>
    <w:rsid w:val="00766EB7"/>
    <w:rsid w:val="0076741E"/>
    <w:rsid w:val="007674C7"/>
    <w:rsid w:val="007676B1"/>
    <w:rsid w:val="007676CF"/>
    <w:rsid w:val="0076782D"/>
    <w:rsid w:val="007678AF"/>
    <w:rsid w:val="00767922"/>
    <w:rsid w:val="00767D63"/>
    <w:rsid w:val="00767E5D"/>
    <w:rsid w:val="00767F23"/>
    <w:rsid w:val="00770056"/>
    <w:rsid w:val="007706AB"/>
    <w:rsid w:val="007706D5"/>
    <w:rsid w:val="0077081C"/>
    <w:rsid w:val="00770995"/>
    <w:rsid w:val="007709BB"/>
    <w:rsid w:val="00770BF4"/>
    <w:rsid w:val="00770D8D"/>
    <w:rsid w:val="00771033"/>
    <w:rsid w:val="007710AB"/>
    <w:rsid w:val="0077118B"/>
    <w:rsid w:val="007711E8"/>
    <w:rsid w:val="007712D0"/>
    <w:rsid w:val="00771321"/>
    <w:rsid w:val="0077136C"/>
    <w:rsid w:val="00771494"/>
    <w:rsid w:val="00771611"/>
    <w:rsid w:val="007716C5"/>
    <w:rsid w:val="007718B0"/>
    <w:rsid w:val="00771B4D"/>
    <w:rsid w:val="00771CC1"/>
    <w:rsid w:val="00771DC7"/>
    <w:rsid w:val="00771F37"/>
    <w:rsid w:val="00771F8C"/>
    <w:rsid w:val="0077257B"/>
    <w:rsid w:val="007726DD"/>
    <w:rsid w:val="00772A6C"/>
    <w:rsid w:val="00772ABD"/>
    <w:rsid w:val="00772C22"/>
    <w:rsid w:val="00772D23"/>
    <w:rsid w:val="00772D36"/>
    <w:rsid w:val="00772F7C"/>
    <w:rsid w:val="007730F1"/>
    <w:rsid w:val="007733CF"/>
    <w:rsid w:val="007736EE"/>
    <w:rsid w:val="00773729"/>
    <w:rsid w:val="00773754"/>
    <w:rsid w:val="00773819"/>
    <w:rsid w:val="00773845"/>
    <w:rsid w:val="00773875"/>
    <w:rsid w:val="00773A55"/>
    <w:rsid w:val="00773B34"/>
    <w:rsid w:val="00773BF9"/>
    <w:rsid w:val="00773D9B"/>
    <w:rsid w:val="00774155"/>
    <w:rsid w:val="007742C2"/>
    <w:rsid w:val="00774351"/>
    <w:rsid w:val="0077445A"/>
    <w:rsid w:val="00774572"/>
    <w:rsid w:val="00774640"/>
    <w:rsid w:val="007747FC"/>
    <w:rsid w:val="007748BD"/>
    <w:rsid w:val="00774CC5"/>
    <w:rsid w:val="00774CC6"/>
    <w:rsid w:val="00774DA4"/>
    <w:rsid w:val="00775038"/>
    <w:rsid w:val="007752DC"/>
    <w:rsid w:val="00775373"/>
    <w:rsid w:val="0077552D"/>
    <w:rsid w:val="007756E6"/>
    <w:rsid w:val="007756FE"/>
    <w:rsid w:val="00775947"/>
    <w:rsid w:val="0077599B"/>
    <w:rsid w:val="00775AD3"/>
    <w:rsid w:val="00775D12"/>
    <w:rsid w:val="00775D58"/>
    <w:rsid w:val="00775D77"/>
    <w:rsid w:val="00775DA7"/>
    <w:rsid w:val="007766DA"/>
    <w:rsid w:val="007767AF"/>
    <w:rsid w:val="007769D5"/>
    <w:rsid w:val="007769F0"/>
    <w:rsid w:val="00776A2F"/>
    <w:rsid w:val="00776A68"/>
    <w:rsid w:val="00776B7D"/>
    <w:rsid w:val="00776C67"/>
    <w:rsid w:val="00776E6A"/>
    <w:rsid w:val="00776EEA"/>
    <w:rsid w:val="00777380"/>
    <w:rsid w:val="007774F0"/>
    <w:rsid w:val="007775BC"/>
    <w:rsid w:val="00777920"/>
    <w:rsid w:val="00777929"/>
    <w:rsid w:val="00777ADA"/>
    <w:rsid w:val="007801DA"/>
    <w:rsid w:val="0078028C"/>
    <w:rsid w:val="007802CF"/>
    <w:rsid w:val="007803E8"/>
    <w:rsid w:val="00780406"/>
    <w:rsid w:val="00780814"/>
    <w:rsid w:val="007808C8"/>
    <w:rsid w:val="007808EC"/>
    <w:rsid w:val="007809C6"/>
    <w:rsid w:val="00780AC5"/>
    <w:rsid w:val="00780BE6"/>
    <w:rsid w:val="00780CF4"/>
    <w:rsid w:val="00780E4C"/>
    <w:rsid w:val="00780E5E"/>
    <w:rsid w:val="00780F03"/>
    <w:rsid w:val="0078110E"/>
    <w:rsid w:val="00781343"/>
    <w:rsid w:val="007813A5"/>
    <w:rsid w:val="00781487"/>
    <w:rsid w:val="007814CC"/>
    <w:rsid w:val="007816AF"/>
    <w:rsid w:val="00781814"/>
    <w:rsid w:val="0078187B"/>
    <w:rsid w:val="007818A9"/>
    <w:rsid w:val="0078192B"/>
    <w:rsid w:val="00781A02"/>
    <w:rsid w:val="00781B85"/>
    <w:rsid w:val="00781BDB"/>
    <w:rsid w:val="00781D2F"/>
    <w:rsid w:val="0078201B"/>
    <w:rsid w:val="0078238C"/>
    <w:rsid w:val="0078240A"/>
    <w:rsid w:val="00782864"/>
    <w:rsid w:val="007829D8"/>
    <w:rsid w:val="00782C56"/>
    <w:rsid w:val="00782E90"/>
    <w:rsid w:val="00783360"/>
    <w:rsid w:val="007833F0"/>
    <w:rsid w:val="007834F8"/>
    <w:rsid w:val="007838FA"/>
    <w:rsid w:val="0078391C"/>
    <w:rsid w:val="007839E7"/>
    <w:rsid w:val="00783CBE"/>
    <w:rsid w:val="00783E80"/>
    <w:rsid w:val="00783F74"/>
    <w:rsid w:val="0078403D"/>
    <w:rsid w:val="00784565"/>
    <w:rsid w:val="007845E4"/>
    <w:rsid w:val="00784604"/>
    <w:rsid w:val="00784774"/>
    <w:rsid w:val="00784867"/>
    <w:rsid w:val="0078486D"/>
    <w:rsid w:val="00784A4A"/>
    <w:rsid w:val="00784AA5"/>
    <w:rsid w:val="00784C91"/>
    <w:rsid w:val="00784DA3"/>
    <w:rsid w:val="00784F10"/>
    <w:rsid w:val="00784F6A"/>
    <w:rsid w:val="00785064"/>
    <w:rsid w:val="0078509E"/>
    <w:rsid w:val="00785193"/>
    <w:rsid w:val="0078526B"/>
    <w:rsid w:val="0078527D"/>
    <w:rsid w:val="00785617"/>
    <w:rsid w:val="00785A39"/>
    <w:rsid w:val="00785BF4"/>
    <w:rsid w:val="00786198"/>
    <w:rsid w:val="007861C3"/>
    <w:rsid w:val="00786534"/>
    <w:rsid w:val="00786636"/>
    <w:rsid w:val="00786798"/>
    <w:rsid w:val="00786830"/>
    <w:rsid w:val="007868E7"/>
    <w:rsid w:val="007869B5"/>
    <w:rsid w:val="00786D93"/>
    <w:rsid w:val="007870F8"/>
    <w:rsid w:val="00787155"/>
    <w:rsid w:val="00787340"/>
    <w:rsid w:val="00787930"/>
    <w:rsid w:val="00787A0A"/>
    <w:rsid w:val="00787A32"/>
    <w:rsid w:val="0079030F"/>
    <w:rsid w:val="007906A5"/>
    <w:rsid w:val="007908A5"/>
    <w:rsid w:val="00790919"/>
    <w:rsid w:val="00790B64"/>
    <w:rsid w:val="00790BCF"/>
    <w:rsid w:val="00790C4A"/>
    <w:rsid w:val="00790D0C"/>
    <w:rsid w:val="00790EB5"/>
    <w:rsid w:val="00791212"/>
    <w:rsid w:val="007913E8"/>
    <w:rsid w:val="00791437"/>
    <w:rsid w:val="00791524"/>
    <w:rsid w:val="007915FC"/>
    <w:rsid w:val="00791651"/>
    <w:rsid w:val="00791759"/>
    <w:rsid w:val="00791A18"/>
    <w:rsid w:val="00791A73"/>
    <w:rsid w:val="00791BCA"/>
    <w:rsid w:val="00791FC8"/>
    <w:rsid w:val="00792081"/>
    <w:rsid w:val="00792243"/>
    <w:rsid w:val="00792267"/>
    <w:rsid w:val="00792309"/>
    <w:rsid w:val="00792342"/>
    <w:rsid w:val="007923F0"/>
    <w:rsid w:val="007923FE"/>
    <w:rsid w:val="007928C4"/>
    <w:rsid w:val="00792995"/>
    <w:rsid w:val="00792BE0"/>
    <w:rsid w:val="00792E70"/>
    <w:rsid w:val="00792F58"/>
    <w:rsid w:val="00792F90"/>
    <w:rsid w:val="007930A5"/>
    <w:rsid w:val="007930FD"/>
    <w:rsid w:val="007932ED"/>
    <w:rsid w:val="00793302"/>
    <w:rsid w:val="0079351A"/>
    <w:rsid w:val="00793760"/>
    <w:rsid w:val="00793774"/>
    <w:rsid w:val="0079394C"/>
    <w:rsid w:val="00793AFE"/>
    <w:rsid w:val="00793B90"/>
    <w:rsid w:val="00793D05"/>
    <w:rsid w:val="00793E71"/>
    <w:rsid w:val="007941FC"/>
    <w:rsid w:val="0079436A"/>
    <w:rsid w:val="00794895"/>
    <w:rsid w:val="0079499F"/>
    <w:rsid w:val="00794AFC"/>
    <w:rsid w:val="00794C7E"/>
    <w:rsid w:val="00794D5C"/>
    <w:rsid w:val="00794DBF"/>
    <w:rsid w:val="00795066"/>
    <w:rsid w:val="007951AA"/>
    <w:rsid w:val="00795230"/>
    <w:rsid w:val="0079530B"/>
    <w:rsid w:val="0079534B"/>
    <w:rsid w:val="00795E8A"/>
    <w:rsid w:val="00795EE1"/>
    <w:rsid w:val="00795F19"/>
    <w:rsid w:val="007960B3"/>
    <w:rsid w:val="00796806"/>
    <w:rsid w:val="00796B8D"/>
    <w:rsid w:val="00796C92"/>
    <w:rsid w:val="007976A2"/>
    <w:rsid w:val="00797793"/>
    <w:rsid w:val="007978B8"/>
    <w:rsid w:val="007979EA"/>
    <w:rsid w:val="00797BA4"/>
    <w:rsid w:val="00797BBF"/>
    <w:rsid w:val="00797C32"/>
    <w:rsid w:val="00797C5E"/>
    <w:rsid w:val="007A01B6"/>
    <w:rsid w:val="007A09FE"/>
    <w:rsid w:val="007A0AE9"/>
    <w:rsid w:val="007A0B7C"/>
    <w:rsid w:val="007A0CDE"/>
    <w:rsid w:val="007A0D71"/>
    <w:rsid w:val="007A1058"/>
    <w:rsid w:val="007A10BF"/>
    <w:rsid w:val="007A10D1"/>
    <w:rsid w:val="007A138E"/>
    <w:rsid w:val="007A13CB"/>
    <w:rsid w:val="007A1548"/>
    <w:rsid w:val="007A17D3"/>
    <w:rsid w:val="007A189E"/>
    <w:rsid w:val="007A1B12"/>
    <w:rsid w:val="007A1C68"/>
    <w:rsid w:val="007A1C93"/>
    <w:rsid w:val="007A1F5F"/>
    <w:rsid w:val="007A2015"/>
    <w:rsid w:val="007A2027"/>
    <w:rsid w:val="007A2232"/>
    <w:rsid w:val="007A224D"/>
    <w:rsid w:val="007A227F"/>
    <w:rsid w:val="007A2297"/>
    <w:rsid w:val="007A27D6"/>
    <w:rsid w:val="007A2825"/>
    <w:rsid w:val="007A291C"/>
    <w:rsid w:val="007A2AB0"/>
    <w:rsid w:val="007A2CAE"/>
    <w:rsid w:val="007A2D4F"/>
    <w:rsid w:val="007A2E8D"/>
    <w:rsid w:val="007A2EC4"/>
    <w:rsid w:val="007A2ECC"/>
    <w:rsid w:val="007A2F33"/>
    <w:rsid w:val="007A3095"/>
    <w:rsid w:val="007A3239"/>
    <w:rsid w:val="007A3379"/>
    <w:rsid w:val="007A348A"/>
    <w:rsid w:val="007A36F3"/>
    <w:rsid w:val="007A3966"/>
    <w:rsid w:val="007A3A4D"/>
    <w:rsid w:val="007A3E56"/>
    <w:rsid w:val="007A3FB0"/>
    <w:rsid w:val="007A42B7"/>
    <w:rsid w:val="007A48CD"/>
    <w:rsid w:val="007A4A64"/>
    <w:rsid w:val="007A4A94"/>
    <w:rsid w:val="007A4E44"/>
    <w:rsid w:val="007A4F8A"/>
    <w:rsid w:val="007A523B"/>
    <w:rsid w:val="007A5440"/>
    <w:rsid w:val="007A5A10"/>
    <w:rsid w:val="007A5CE4"/>
    <w:rsid w:val="007A5E0F"/>
    <w:rsid w:val="007A5F24"/>
    <w:rsid w:val="007A5F9B"/>
    <w:rsid w:val="007A5F9E"/>
    <w:rsid w:val="007A5FEB"/>
    <w:rsid w:val="007A610A"/>
    <w:rsid w:val="007A63CD"/>
    <w:rsid w:val="007A64BA"/>
    <w:rsid w:val="007A6627"/>
    <w:rsid w:val="007A67DD"/>
    <w:rsid w:val="007A68D3"/>
    <w:rsid w:val="007A6952"/>
    <w:rsid w:val="007A6C11"/>
    <w:rsid w:val="007A6DC6"/>
    <w:rsid w:val="007A6EC6"/>
    <w:rsid w:val="007A70E5"/>
    <w:rsid w:val="007A70E7"/>
    <w:rsid w:val="007A73A3"/>
    <w:rsid w:val="007A75B9"/>
    <w:rsid w:val="007A76E7"/>
    <w:rsid w:val="007A78D1"/>
    <w:rsid w:val="007A79E9"/>
    <w:rsid w:val="007A7DED"/>
    <w:rsid w:val="007A7FCF"/>
    <w:rsid w:val="007A7FE5"/>
    <w:rsid w:val="007B002E"/>
    <w:rsid w:val="007B00AF"/>
    <w:rsid w:val="007B0657"/>
    <w:rsid w:val="007B086C"/>
    <w:rsid w:val="007B0954"/>
    <w:rsid w:val="007B0A67"/>
    <w:rsid w:val="007B0DB3"/>
    <w:rsid w:val="007B1073"/>
    <w:rsid w:val="007B129E"/>
    <w:rsid w:val="007B14AF"/>
    <w:rsid w:val="007B176C"/>
    <w:rsid w:val="007B1A3D"/>
    <w:rsid w:val="007B1AAD"/>
    <w:rsid w:val="007B1AD7"/>
    <w:rsid w:val="007B1DDD"/>
    <w:rsid w:val="007B1E9F"/>
    <w:rsid w:val="007B1ED1"/>
    <w:rsid w:val="007B2170"/>
    <w:rsid w:val="007B23C9"/>
    <w:rsid w:val="007B2582"/>
    <w:rsid w:val="007B26A0"/>
    <w:rsid w:val="007B2854"/>
    <w:rsid w:val="007B2C1C"/>
    <w:rsid w:val="007B2C6E"/>
    <w:rsid w:val="007B2DF8"/>
    <w:rsid w:val="007B3702"/>
    <w:rsid w:val="007B3709"/>
    <w:rsid w:val="007B3852"/>
    <w:rsid w:val="007B3932"/>
    <w:rsid w:val="007B3949"/>
    <w:rsid w:val="007B3A17"/>
    <w:rsid w:val="007B3B20"/>
    <w:rsid w:val="007B3BDB"/>
    <w:rsid w:val="007B3CE7"/>
    <w:rsid w:val="007B3D04"/>
    <w:rsid w:val="007B3D40"/>
    <w:rsid w:val="007B3F5C"/>
    <w:rsid w:val="007B4245"/>
    <w:rsid w:val="007B43E4"/>
    <w:rsid w:val="007B448E"/>
    <w:rsid w:val="007B4757"/>
    <w:rsid w:val="007B48A0"/>
    <w:rsid w:val="007B48E9"/>
    <w:rsid w:val="007B4B11"/>
    <w:rsid w:val="007B4B39"/>
    <w:rsid w:val="007B4F03"/>
    <w:rsid w:val="007B4F6A"/>
    <w:rsid w:val="007B4F97"/>
    <w:rsid w:val="007B536B"/>
    <w:rsid w:val="007B537F"/>
    <w:rsid w:val="007B5A52"/>
    <w:rsid w:val="007B5B0A"/>
    <w:rsid w:val="007B5D1F"/>
    <w:rsid w:val="007B5E79"/>
    <w:rsid w:val="007B5F1E"/>
    <w:rsid w:val="007B6332"/>
    <w:rsid w:val="007B63BF"/>
    <w:rsid w:val="007B64BE"/>
    <w:rsid w:val="007B6551"/>
    <w:rsid w:val="007B667F"/>
    <w:rsid w:val="007B6761"/>
    <w:rsid w:val="007B6BBA"/>
    <w:rsid w:val="007B6D9D"/>
    <w:rsid w:val="007B7106"/>
    <w:rsid w:val="007B71D4"/>
    <w:rsid w:val="007B73CC"/>
    <w:rsid w:val="007B74C1"/>
    <w:rsid w:val="007B75C4"/>
    <w:rsid w:val="007B787E"/>
    <w:rsid w:val="007B7B84"/>
    <w:rsid w:val="007B7BF5"/>
    <w:rsid w:val="007B7C01"/>
    <w:rsid w:val="007B7DF6"/>
    <w:rsid w:val="007B7E0D"/>
    <w:rsid w:val="007C027E"/>
    <w:rsid w:val="007C03E3"/>
    <w:rsid w:val="007C0586"/>
    <w:rsid w:val="007C05C7"/>
    <w:rsid w:val="007C06DF"/>
    <w:rsid w:val="007C0717"/>
    <w:rsid w:val="007C075D"/>
    <w:rsid w:val="007C0790"/>
    <w:rsid w:val="007C08AF"/>
    <w:rsid w:val="007C0D00"/>
    <w:rsid w:val="007C0ED9"/>
    <w:rsid w:val="007C1598"/>
    <w:rsid w:val="007C1761"/>
    <w:rsid w:val="007C1D23"/>
    <w:rsid w:val="007C1DFD"/>
    <w:rsid w:val="007C1F6D"/>
    <w:rsid w:val="007C2055"/>
    <w:rsid w:val="007C21F6"/>
    <w:rsid w:val="007C226C"/>
    <w:rsid w:val="007C2307"/>
    <w:rsid w:val="007C26C9"/>
    <w:rsid w:val="007C2871"/>
    <w:rsid w:val="007C2A06"/>
    <w:rsid w:val="007C2BCE"/>
    <w:rsid w:val="007C2CAC"/>
    <w:rsid w:val="007C2D93"/>
    <w:rsid w:val="007C2E67"/>
    <w:rsid w:val="007C2E89"/>
    <w:rsid w:val="007C304F"/>
    <w:rsid w:val="007C3072"/>
    <w:rsid w:val="007C3127"/>
    <w:rsid w:val="007C31F0"/>
    <w:rsid w:val="007C32AE"/>
    <w:rsid w:val="007C345D"/>
    <w:rsid w:val="007C356B"/>
    <w:rsid w:val="007C3839"/>
    <w:rsid w:val="007C3861"/>
    <w:rsid w:val="007C387F"/>
    <w:rsid w:val="007C38D7"/>
    <w:rsid w:val="007C3B3F"/>
    <w:rsid w:val="007C4254"/>
    <w:rsid w:val="007C4303"/>
    <w:rsid w:val="007C4315"/>
    <w:rsid w:val="007C444D"/>
    <w:rsid w:val="007C4465"/>
    <w:rsid w:val="007C44DD"/>
    <w:rsid w:val="007C477F"/>
    <w:rsid w:val="007C47CA"/>
    <w:rsid w:val="007C490E"/>
    <w:rsid w:val="007C49BD"/>
    <w:rsid w:val="007C4A8E"/>
    <w:rsid w:val="007C4C62"/>
    <w:rsid w:val="007C4CBC"/>
    <w:rsid w:val="007C4D21"/>
    <w:rsid w:val="007C514F"/>
    <w:rsid w:val="007C531D"/>
    <w:rsid w:val="007C54F6"/>
    <w:rsid w:val="007C5635"/>
    <w:rsid w:val="007C5D44"/>
    <w:rsid w:val="007C620D"/>
    <w:rsid w:val="007C649B"/>
    <w:rsid w:val="007C65DF"/>
    <w:rsid w:val="007C6642"/>
    <w:rsid w:val="007C69A5"/>
    <w:rsid w:val="007C6B71"/>
    <w:rsid w:val="007C6BF2"/>
    <w:rsid w:val="007C6E22"/>
    <w:rsid w:val="007C7029"/>
    <w:rsid w:val="007C715C"/>
    <w:rsid w:val="007C75EB"/>
    <w:rsid w:val="007C7CE3"/>
    <w:rsid w:val="007C7EC1"/>
    <w:rsid w:val="007C7F3D"/>
    <w:rsid w:val="007D03BB"/>
    <w:rsid w:val="007D045B"/>
    <w:rsid w:val="007D09B3"/>
    <w:rsid w:val="007D0ACC"/>
    <w:rsid w:val="007D0C03"/>
    <w:rsid w:val="007D0FC3"/>
    <w:rsid w:val="007D1359"/>
    <w:rsid w:val="007D137E"/>
    <w:rsid w:val="007D146D"/>
    <w:rsid w:val="007D1643"/>
    <w:rsid w:val="007D16F9"/>
    <w:rsid w:val="007D1B30"/>
    <w:rsid w:val="007D1C23"/>
    <w:rsid w:val="007D1C6F"/>
    <w:rsid w:val="007D1C8A"/>
    <w:rsid w:val="007D1C9C"/>
    <w:rsid w:val="007D1CCF"/>
    <w:rsid w:val="007D226B"/>
    <w:rsid w:val="007D2412"/>
    <w:rsid w:val="007D29C8"/>
    <w:rsid w:val="007D2B5E"/>
    <w:rsid w:val="007D301B"/>
    <w:rsid w:val="007D3221"/>
    <w:rsid w:val="007D3378"/>
    <w:rsid w:val="007D3550"/>
    <w:rsid w:val="007D355F"/>
    <w:rsid w:val="007D36C6"/>
    <w:rsid w:val="007D38D4"/>
    <w:rsid w:val="007D3C12"/>
    <w:rsid w:val="007D3EB3"/>
    <w:rsid w:val="007D3F96"/>
    <w:rsid w:val="007D3FE2"/>
    <w:rsid w:val="007D400E"/>
    <w:rsid w:val="007D4040"/>
    <w:rsid w:val="007D4157"/>
    <w:rsid w:val="007D4159"/>
    <w:rsid w:val="007D454E"/>
    <w:rsid w:val="007D4838"/>
    <w:rsid w:val="007D49C1"/>
    <w:rsid w:val="007D49FE"/>
    <w:rsid w:val="007D4DC8"/>
    <w:rsid w:val="007D4FE2"/>
    <w:rsid w:val="007D5194"/>
    <w:rsid w:val="007D51A8"/>
    <w:rsid w:val="007D523F"/>
    <w:rsid w:val="007D5569"/>
    <w:rsid w:val="007D56B5"/>
    <w:rsid w:val="007D5AB6"/>
    <w:rsid w:val="007D5CE9"/>
    <w:rsid w:val="007D5E67"/>
    <w:rsid w:val="007D626E"/>
    <w:rsid w:val="007D6618"/>
    <w:rsid w:val="007D6A25"/>
    <w:rsid w:val="007D6C29"/>
    <w:rsid w:val="007D6F69"/>
    <w:rsid w:val="007D7227"/>
    <w:rsid w:val="007D729A"/>
    <w:rsid w:val="007D7348"/>
    <w:rsid w:val="007D746D"/>
    <w:rsid w:val="007D750E"/>
    <w:rsid w:val="007D7A23"/>
    <w:rsid w:val="007D7BD0"/>
    <w:rsid w:val="007D7D38"/>
    <w:rsid w:val="007D7F46"/>
    <w:rsid w:val="007E0147"/>
    <w:rsid w:val="007E02C7"/>
    <w:rsid w:val="007E0832"/>
    <w:rsid w:val="007E0841"/>
    <w:rsid w:val="007E0A6E"/>
    <w:rsid w:val="007E0C42"/>
    <w:rsid w:val="007E0D9E"/>
    <w:rsid w:val="007E0F8D"/>
    <w:rsid w:val="007E1031"/>
    <w:rsid w:val="007E104C"/>
    <w:rsid w:val="007E12A6"/>
    <w:rsid w:val="007E12D3"/>
    <w:rsid w:val="007E1368"/>
    <w:rsid w:val="007E1492"/>
    <w:rsid w:val="007E1D15"/>
    <w:rsid w:val="007E1D1C"/>
    <w:rsid w:val="007E232C"/>
    <w:rsid w:val="007E24A2"/>
    <w:rsid w:val="007E24CF"/>
    <w:rsid w:val="007E25E6"/>
    <w:rsid w:val="007E26EE"/>
    <w:rsid w:val="007E2792"/>
    <w:rsid w:val="007E2838"/>
    <w:rsid w:val="007E28A0"/>
    <w:rsid w:val="007E2900"/>
    <w:rsid w:val="007E296F"/>
    <w:rsid w:val="007E2B9F"/>
    <w:rsid w:val="007E2CD0"/>
    <w:rsid w:val="007E2D53"/>
    <w:rsid w:val="007E2F97"/>
    <w:rsid w:val="007E3191"/>
    <w:rsid w:val="007E36C1"/>
    <w:rsid w:val="007E394E"/>
    <w:rsid w:val="007E3A07"/>
    <w:rsid w:val="007E3BCE"/>
    <w:rsid w:val="007E3E7A"/>
    <w:rsid w:val="007E3F70"/>
    <w:rsid w:val="007E3FAC"/>
    <w:rsid w:val="007E40CE"/>
    <w:rsid w:val="007E42C4"/>
    <w:rsid w:val="007E42EA"/>
    <w:rsid w:val="007E43A0"/>
    <w:rsid w:val="007E43D1"/>
    <w:rsid w:val="007E43D6"/>
    <w:rsid w:val="007E4473"/>
    <w:rsid w:val="007E4568"/>
    <w:rsid w:val="007E4599"/>
    <w:rsid w:val="007E4660"/>
    <w:rsid w:val="007E46A0"/>
    <w:rsid w:val="007E46DB"/>
    <w:rsid w:val="007E4709"/>
    <w:rsid w:val="007E4EBD"/>
    <w:rsid w:val="007E4ECA"/>
    <w:rsid w:val="007E50D7"/>
    <w:rsid w:val="007E59F2"/>
    <w:rsid w:val="007E5ACB"/>
    <w:rsid w:val="007E5C15"/>
    <w:rsid w:val="007E5CA4"/>
    <w:rsid w:val="007E5CE7"/>
    <w:rsid w:val="007E5FB7"/>
    <w:rsid w:val="007E6165"/>
    <w:rsid w:val="007E620F"/>
    <w:rsid w:val="007E6786"/>
    <w:rsid w:val="007E685F"/>
    <w:rsid w:val="007E68B0"/>
    <w:rsid w:val="007E68D1"/>
    <w:rsid w:val="007E6A98"/>
    <w:rsid w:val="007E6E56"/>
    <w:rsid w:val="007E6E9C"/>
    <w:rsid w:val="007E7142"/>
    <w:rsid w:val="007E7325"/>
    <w:rsid w:val="007E7332"/>
    <w:rsid w:val="007E7616"/>
    <w:rsid w:val="007E775E"/>
    <w:rsid w:val="007E7790"/>
    <w:rsid w:val="007E7861"/>
    <w:rsid w:val="007E79E7"/>
    <w:rsid w:val="007E7A11"/>
    <w:rsid w:val="007E7A6A"/>
    <w:rsid w:val="007E7D8D"/>
    <w:rsid w:val="007E7F01"/>
    <w:rsid w:val="007F02F7"/>
    <w:rsid w:val="007F03B8"/>
    <w:rsid w:val="007F064C"/>
    <w:rsid w:val="007F066A"/>
    <w:rsid w:val="007F07EB"/>
    <w:rsid w:val="007F097D"/>
    <w:rsid w:val="007F0982"/>
    <w:rsid w:val="007F0992"/>
    <w:rsid w:val="007F0AC7"/>
    <w:rsid w:val="007F0D06"/>
    <w:rsid w:val="007F0D45"/>
    <w:rsid w:val="007F0EE0"/>
    <w:rsid w:val="007F0F09"/>
    <w:rsid w:val="007F0F10"/>
    <w:rsid w:val="007F0FC6"/>
    <w:rsid w:val="007F10FC"/>
    <w:rsid w:val="007F1293"/>
    <w:rsid w:val="007F1412"/>
    <w:rsid w:val="007F1423"/>
    <w:rsid w:val="007F1604"/>
    <w:rsid w:val="007F18CA"/>
    <w:rsid w:val="007F18D2"/>
    <w:rsid w:val="007F1CF5"/>
    <w:rsid w:val="007F1E08"/>
    <w:rsid w:val="007F1F01"/>
    <w:rsid w:val="007F1F34"/>
    <w:rsid w:val="007F1F86"/>
    <w:rsid w:val="007F2102"/>
    <w:rsid w:val="007F22C9"/>
    <w:rsid w:val="007F2557"/>
    <w:rsid w:val="007F2578"/>
    <w:rsid w:val="007F27F4"/>
    <w:rsid w:val="007F2ADD"/>
    <w:rsid w:val="007F2B8E"/>
    <w:rsid w:val="007F2C3D"/>
    <w:rsid w:val="007F2C69"/>
    <w:rsid w:val="007F2D17"/>
    <w:rsid w:val="007F2D37"/>
    <w:rsid w:val="007F2D9C"/>
    <w:rsid w:val="007F2DFA"/>
    <w:rsid w:val="007F2F16"/>
    <w:rsid w:val="007F2FDC"/>
    <w:rsid w:val="007F30FA"/>
    <w:rsid w:val="007F3225"/>
    <w:rsid w:val="007F37AD"/>
    <w:rsid w:val="007F3C4F"/>
    <w:rsid w:val="007F3EF6"/>
    <w:rsid w:val="007F3FC7"/>
    <w:rsid w:val="007F4401"/>
    <w:rsid w:val="007F4428"/>
    <w:rsid w:val="007F476F"/>
    <w:rsid w:val="007F47C1"/>
    <w:rsid w:val="007F48BC"/>
    <w:rsid w:val="007F4A29"/>
    <w:rsid w:val="007F4E8E"/>
    <w:rsid w:val="007F5697"/>
    <w:rsid w:val="007F5881"/>
    <w:rsid w:val="007F5A07"/>
    <w:rsid w:val="007F5AF6"/>
    <w:rsid w:val="007F5B59"/>
    <w:rsid w:val="007F5CDF"/>
    <w:rsid w:val="007F5F03"/>
    <w:rsid w:val="007F60BD"/>
    <w:rsid w:val="007F610B"/>
    <w:rsid w:val="007F619E"/>
    <w:rsid w:val="007F63DA"/>
    <w:rsid w:val="007F654C"/>
    <w:rsid w:val="007F6914"/>
    <w:rsid w:val="007F6A65"/>
    <w:rsid w:val="007F6F76"/>
    <w:rsid w:val="007F71C7"/>
    <w:rsid w:val="007F720D"/>
    <w:rsid w:val="007F7269"/>
    <w:rsid w:val="007F7402"/>
    <w:rsid w:val="007F749F"/>
    <w:rsid w:val="007F77F5"/>
    <w:rsid w:val="007F78A5"/>
    <w:rsid w:val="007F790E"/>
    <w:rsid w:val="007F7A2E"/>
    <w:rsid w:val="007F7D3E"/>
    <w:rsid w:val="007F7E3C"/>
    <w:rsid w:val="008001CF"/>
    <w:rsid w:val="0080049B"/>
    <w:rsid w:val="00800522"/>
    <w:rsid w:val="00800727"/>
    <w:rsid w:val="00800C31"/>
    <w:rsid w:val="00800D34"/>
    <w:rsid w:val="00800E94"/>
    <w:rsid w:val="00800ED6"/>
    <w:rsid w:val="00800EDD"/>
    <w:rsid w:val="00800EF4"/>
    <w:rsid w:val="00800F84"/>
    <w:rsid w:val="0080109F"/>
    <w:rsid w:val="008012BC"/>
    <w:rsid w:val="00801308"/>
    <w:rsid w:val="0080147E"/>
    <w:rsid w:val="008014F3"/>
    <w:rsid w:val="00801617"/>
    <w:rsid w:val="008018C5"/>
    <w:rsid w:val="00801CE4"/>
    <w:rsid w:val="00801F39"/>
    <w:rsid w:val="00801F58"/>
    <w:rsid w:val="00801F77"/>
    <w:rsid w:val="00801FCF"/>
    <w:rsid w:val="008020D2"/>
    <w:rsid w:val="0080279D"/>
    <w:rsid w:val="00802B9D"/>
    <w:rsid w:val="00802D2C"/>
    <w:rsid w:val="00802DA8"/>
    <w:rsid w:val="00802DC1"/>
    <w:rsid w:val="00802FEC"/>
    <w:rsid w:val="00803013"/>
    <w:rsid w:val="008032B5"/>
    <w:rsid w:val="0080333D"/>
    <w:rsid w:val="0080340F"/>
    <w:rsid w:val="00803500"/>
    <w:rsid w:val="0080370C"/>
    <w:rsid w:val="00803D2C"/>
    <w:rsid w:val="00803D58"/>
    <w:rsid w:val="00803E9E"/>
    <w:rsid w:val="00803F83"/>
    <w:rsid w:val="008040EC"/>
    <w:rsid w:val="0080425B"/>
    <w:rsid w:val="0080444C"/>
    <w:rsid w:val="00804549"/>
    <w:rsid w:val="00804867"/>
    <w:rsid w:val="00804A0E"/>
    <w:rsid w:val="00804D52"/>
    <w:rsid w:val="00804D78"/>
    <w:rsid w:val="00804DD6"/>
    <w:rsid w:val="00805278"/>
    <w:rsid w:val="0080573D"/>
    <w:rsid w:val="00805819"/>
    <w:rsid w:val="00805845"/>
    <w:rsid w:val="008059D9"/>
    <w:rsid w:val="00805CEB"/>
    <w:rsid w:val="00806055"/>
    <w:rsid w:val="008061C6"/>
    <w:rsid w:val="0080638D"/>
    <w:rsid w:val="008067C5"/>
    <w:rsid w:val="008068D9"/>
    <w:rsid w:val="00806EBA"/>
    <w:rsid w:val="00806EEE"/>
    <w:rsid w:val="00806F2D"/>
    <w:rsid w:val="008071A4"/>
    <w:rsid w:val="00807219"/>
    <w:rsid w:val="00807497"/>
    <w:rsid w:val="008077A7"/>
    <w:rsid w:val="00807877"/>
    <w:rsid w:val="008078E0"/>
    <w:rsid w:val="00807910"/>
    <w:rsid w:val="0080799C"/>
    <w:rsid w:val="00807EB0"/>
    <w:rsid w:val="00807FBE"/>
    <w:rsid w:val="0081006C"/>
    <w:rsid w:val="008100A5"/>
    <w:rsid w:val="008100DC"/>
    <w:rsid w:val="008103AC"/>
    <w:rsid w:val="008107D7"/>
    <w:rsid w:val="00810947"/>
    <w:rsid w:val="00810C20"/>
    <w:rsid w:val="00810E61"/>
    <w:rsid w:val="00810EBA"/>
    <w:rsid w:val="00810EF0"/>
    <w:rsid w:val="00811037"/>
    <w:rsid w:val="008112F9"/>
    <w:rsid w:val="00811483"/>
    <w:rsid w:val="0081188E"/>
    <w:rsid w:val="00811D9A"/>
    <w:rsid w:val="00811FC2"/>
    <w:rsid w:val="00812228"/>
    <w:rsid w:val="0081228A"/>
    <w:rsid w:val="00812299"/>
    <w:rsid w:val="00812411"/>
    <w:rsid w:val="00812722"/>
    <w:rsid w:val="00812A60"/>
    <w:rsid w:val="00812ABA"/>
    <w:rsid w:val="00812AD9"/>
    <w:rsid w:val="00812DA9"/>
    <w:rsid w:val="00812E63"/>
    <w:rsid w:val="00812FBC"/>
    <w:rsid w:val="00812FCD"/>
    <w:rsid w:val="008130C9"/>
    <w:rsid w:val="008134FE"/>
    <w:rsid w:val="00813576"/>
    <w:rsid w:val="00813654"/>
    <w:rsid w:val="00813690"/>
    <w:rsid w:val="008137F1"/>
    <w:rsid w:val="00813856"/>
    <w:rsid w:val="008138BF"/>
    <w:rsid w:val="00813A3E"/>
    <w:rsid w:val="00813BC6"/>
    <w:rsid w:val="00813C18"/>
    <w:rsid w:val="00813CA7"/>
    <w:rsid w:val="00813F96"/>
    <w:rsid w:val="00814102"/>
    <w:rsid w:val="00814189"/>
    <w:rsid w:val="00814311"/>
    <w:rsid w:val="008143E9"/>
    <w:rsid w:val="00814508"/>
    <w:rsid w:val="00814522"/>
    <w:rsid w:val="00814628"/>
    <w:rsid w:val="00814780"/>
    <w:rsid w:val="0081489C"/>
    <w:rsid w:val="008148D8"/>
    <w:rsid w:val="008149CF"/>
    <w:rsid w:val="008149E9"/>
    <w:rsid w:val="00814C46"/>
    <w:rsid w:val="00814EFF"/>
    <w:rsid w:val="00814F19"/>
    <w:rsid w:val="008150D4"/>
    <w:rsid w:val="0081516D"/>
    <w:rsid w:val="0081533A"/>
    <w:rsid w:val="00815390"/>
    <w:rsid w:val="00815C84"/>
    <w:rsid w:val="00815CE4"/>
    <w:rsid w:val="00816138"/>
    <w:rsid w:val="008165FC"/>
    <w:rsid w:val="008166DC"/>
    <w:rsid w:val="008167A0"/>
    <w:rsid w:val="00816ADA"/>
    <w:rsid w:val="00816B41"/>
    <w:rsid w:val="00816DDE"/>
    <w:rsid w:val="008170FC"/>
    <w:rsid w:val="0081724F"/>
    <w:rsid w:val="008175FB"/>
    <w:rsid w:val="0081766C"/>
    <w:rsid w:val="0081791D"/>
    <w:rsid w:val="00817D43"/>
    <w:rsid w:val="008200E8"/>
    <w:rsid w:val="008201AA"/>
    <w:rsid w:val="00820392"/>
    <w:rsid w:val="00820586"/>
    <w:rsid w:val="00820787"/>
    <w:rsid w:val="008209A8"/>
    <w:rsid w:val="00820C1F"/>
    <w:rsid w:val="00820D3A"/>
    <w:rsid w:val="00820EFE"/>
    <w:rsid w:val="00820F03"/>
    <w:rsid w:val="00820F96"/>
    <w:rsid w:val="00821290"/>
    <w:rsid w:val="00821535"/>
    <w:rsid w:val="00821E88"/>
    <w:rsid w:val="00822338"/>
    <w:rsid w:val="008223B8"/>
    <w:rsid w:val="00822471"/>
    <w:rsid w:val="00822485"/>
    <w:rsid w:val="0082248A"/>
    <w:rsid w:val="008224B5"/>
    <w:rsid w:val="0082252D"/>
    <w:rsid w:val="0082279A"/>
    <w:rsid w:val="00822E4A"/>
    <w:rsid w:val="008232C4"/>
    <w:rsid w:val="008233C0"/>
    <w:rsid w:val="008233E1"/>
    <w:rsid w:val="008234DB"/>
    <w:rsid w:val="0082372B"/>
    <w:rsid w:val="00823826"/>
    <w:rsid w:val="008239F7"/>
    <w:rsid w:val="00823AEE"/>
    <w:rsid w:val="00823D99"/>
    <w:rsid w:val="00823FC9"/>
    <w:rsid w:val="00824272"/>
    <w:rsid w:val="00824649"/>
    <w:rsid w:val="00824657"/>
    <w:rsid w:val="008247CB"/>
    <w:rsid w:val="008249EF"/>
    <w:rsid w:val="00824E3F"/>
    <w:rsid w:val="00824EA6"/>
    <w:rsid w:val="00824F69"/>
    <w:rsid w:val="00824FEB"/>
    <w:rsid w:val="0082502A"/>
    <w:rsid w:val="0082525D"/>
    <w:rsid w:val="0082538A"/>
    <w:rsid w:val="0082542B"/>
    <w:rsid w:val="008256A5"/>
    <w:rsid w:val="008259E6"/>
    <w:rsid w:val="00825AFA"/>
    <w:rsid w:val="008260B5"/>
    <w:rsid w:val="008264A6"/>
    <w:rsid w:val="008264AE"/>
    <w:rsid w:val="0082662E"/>
    <w:rsid w:val="008267EB"/>
    <w:rsid w:val="00826890"/>
    <w:rsid w:val="00826B7E"/>
    <w:rsid w:val="00826C9B"/>
    <w:rsid w:val="00826F54"/>
    <w:rsid w:val="008272C2"/>
    <w:rsid w:val="00827450"/>
    <w:rsid w:val="008274CE"/>
    <w:rsid w:val="008274F7"/>
    <w:rsid w:val="00827517"/>
    <w:rsid w:val="008275ED"/>
    <w:rsid w:val="0082797D"/>
    <w:rsid w:val="00827A78"/>
    <w:rsid w:val="00827AC6"/>
    <w:rsid w:val="00827B2D"/>
    <w:rsid w:val="00827B93"/>
    <w:rsid w:val="00827BF7"/>
    <w:rsid w:val="00827D45"/>
    <w:rsid w:val="00830245"/>
    <w:rsid w:val="00830290"/>
    <w:rsid w:val="0083057B"/>
    <w:rsid w:val="008305AB"/>
    <w:rsid w:val="008308B6"/>
    <w:rsid w:val="008308F5"/>
    <w:rsid w:val="0083092A"/>
    <w:rsid w:val="00830A94"/>
    <w:rsid w:val="00830F5F"/>
    <w:rsid w:val="00831080"/>
    <w:rsid w:val="008310E4"/>
    <w:rsid w:val="00831157"/>
    <w:rsid w:val="00831358"/>
    <w:rsid w:val="008316E2"/>
    <w:rsid w:val="008318BD"/>
    <w:rsid w:val="00831DC6"/>
    <w:rsid w:val="00831F16"/>
    <w:rsid w:val="00832069"/>
    <w:rsid w:val="008322A6"/>
    <w:rsid w:val="008322A8"/>
    <w:rsid w:val="008326A4"/>
    <w:rsid w:val="00832733"/>
    <w:rsid w:val="00832821"/>
    <w:rsid w:val="00832826"/>
    <w:rsid w:val="008328E8"/>
    <w:rsid w:val="00832C7F"/>
    <w:rsid w:val="00832CB5"/>
    <w:rsid w:val="0083307C"/>
    <w:rsid w:val="0083311A"/>
    <w:rsid w:val="0083327E"/>
    <w:rsid w:val="0083337D"/>
    <w:rsid w:val="008333EF"/>
    <w:rsid w:val="00833405"/>
    <w:rsid w:val="00833407"/>
    <w:rsid w:val="00833518"/>
    <w:rsid w:val="00833615"/>
    <w:rsid w:val="0083382D"/>
    <w:rsid w:val="00833AB9"/>
    <w:rsid w:val="00833B5C"/>
    <w:rsid w:val="00833CC4"/>
    <w:rsid w:val="00834090"/>
    <w:rsid w:val="008340B5"/>
    <w:rsid w:val="00834104"/>
    <w:rsid w:val="0083412F"/>
    <w:rsid w:val="00834368"/>
    <w:rsid w:val="00834A6E"/>
    <w:rsid w:val="00834B4E"/>
    <w:rsid w:val="00835013"/>
    <w:rsid w:val="008351EF"/>
    <w:rsid w:val="008351F1"/>
    <w:rsid w:val="00835276"/>
    <w:rsid w:val="0083552A"/>
    <w:rsid w:val="00835BA2"/>
    <w:rsid w:val="00835C25"/>
    <w:rsid w:val="00835CA0"/>
    <w:rsid w:val="00835D12"/>
    <w:rsid w:val="008360C3"/>
    <w:rsid w:val="008362BC"/>
    <w:rsid w:val="008362EE"/>
    <w:rsid w:val="008363CC"/>
    <w:rsid w:val="00836487"/>
    <w:rsid w:val="008364CA"/>
    <w:rsid w:val="00836851"/>
    <w:rsid w:val="0083687F"/>
    <w:rsid w:val="00836A7E"/>
    <w:rsid w:val="00836B06"/>
    <w:rsid w:val="00836C80"/>
    <w:rsid w:val="00836CF2"/>
    <w:rsid w:val="00836F43"/>
    <w:rsid w:val="00836F83"/>
    <w:rsid w:val="008370A2"/>
    <w:rsid w:val="0083727E"/>
    <w:rsid w:val="00837382"/>
    <w:rsid w:val="00837435"/>
    <w:rsid w:val="00837446"/>
    <w:rsid w:val="0083749B"/>
    <w:rsid w:val="008376A5"/>
    <w:rsid w:val="0083785B"/>
    <w:rsid w:val="00837F1A"/>
    <w:rsid w:val="008404FD"/>
    <w:rsid w:val="00840513"/>
    <w:rsid w:val="00840586"/>
    <w:rsid w:val="0084061C"/>
    <w:rsid w:val="00840666"/>
    <w:rsid w:val="008406B1"/>
    <w:rsid w:val="008406FB"/>
    <w:rsid w:val="00840707"/>
    <w:rsid w:val="008408CA"/>
    <w:rsid w:val="00840B24"/>
    <w:rsid w:val="00840B6A"/>
    <w:rsid w:val="00840D79"/>
    <w:rsid w:val="00840E7B"/>
    <w:rsid w:val="00840F77"/>
    <w:rsid w:val="00840FA4"/>
    <w:rsid w:val="008412CC"/>
    <w:rsid w:val="0084149A"/>
    <w:rsid w:val="008416B8"/>
    <w:rsid w:val="008416E1"/>
    <w:rsid w:val="0084174A"/>
    <w:rsid w:val="00841A79"/>
    <w:rsid w:val="00841B8D"/>
    <w:rsid w:val="00841C79"/>
    <w:rsid w:val="0084234B"/>
    <w:rsid w:val="008425FE"/>
    <w:rsid w:val="0084276D"/>
    <w:rsid w:val="008428CC"/>
    <w:rsid w:val="00842A64"/>
    <w:rsid w:val="00842C17"/>
    <w:rsid w:val="00842DD4"/>
    <w:rsid w:val="00842DFE"/>
    <w:rsid w:val="00842EDD"/>
    <w:rsid w:val="008430B4"/>
    <w:rsid w:val="0084351F"/>
    <w:rsid w:val="0084363A"/>
    <w:rsid w:val="00843889"/>
    <w:rsid w:val="00843982"/>
    <w:rsid w:val="00843C14"/>
    <w:rsid w:val="00843C1B"/>
    <w:rsid w:val="00843C2A"/>
    <w:rsid w:val="00843C53"/>
    <w:rsid w:val="00843EB8"/>
    <w:rsid w:val="00843ED4"/>
    <w:rsid w:val="008440D5"/>
    <w:rsid w:val="0084423B"/>
    <w:rsid w:val="008445C2"/>
    <w:rsid w:val="008445FC"/>
    <w:rsid w:val="008449F3"/>
    <w:rsid w:val="00844C44"/>
    <w:rsid w:val="008450AB"/>
    <w:rsid w:val="00845241"/>
    <w:rsid w:val="0084525F"/>
    <w:rsid w:val="0084534A"/>
    <w:rsid w:val="00845382"/>
    <w:rsid w:val="0084539D"/>
    <w:rsid w:val="00845A37"/>
    <w:rsid w:val="00845AAA"/>
    <w:rsid w:val="00845DFA"/>
    <w:rsid w:val="00845FBA"/>
    <w:rsid w:val="008465A8"/>
    <w:rsid w:val="00846660"/>
    <w:rsid w:val="0084675B"/>
    <w:rsid w:val="008468FC"/>
    <w:rsid w:val="00846933"/>
    <w:rsid w:val="0084694A"/>
    <w:rsid w:val="00846CA6"/>
    <w:rsid w:val="00846D5C"/>
    <w:rsid w:val="008475DB"/>
    <w:rsid w:val="0084760E"/>
    <w:rsid w:val="0084764F"/>
    <w:rsid w:val="008477DA"/>
    <w:rsid w:val="00847821"/>
    <w:rsid w:val="00847A19"/>
    <w:rsid w:val="00847A9C"/>
    <w:rsid w:val="00847BEF"/>
    <w:rsid w:val="00847CE6"/>
    <w:rsid w:val="00847E5B"/>
    <w:rsid w:val="00847F2B"/>
    <w:rsid w:val="008503AE"/>
    <w:rsid w:val="008503B4"/>
    <w:rsid w:val="008504BA"/>
    <w:rsid w:val="0085079E"/>
    <w:rsid w:val="00850AA6"/>
    <w:rsid w:val="00850B39"/>
    <w:rsid w:val="00850BCA"/>
    <w:rsid w:val="00850C37"/>
    <w:rsid w:val="00850CE0"/>
    <w:rsid w:val="008510A5"/>
    <w:rsid w:val="00851102"/>
    <w:rsid w:val="00851204"/>
    <w:rsid w:val="0085124D"/>
    <w:rsid w:val="008512FB"/>
    <w:rsid w:val="0085170F"/>
    <w:rsid w:val="00851A14"/>
    <w:rsid w:val="00851AED"/>
    <w:rsid w:val="00851CEB"/>
    <w:rsid w:val="00851EB8"/>
    <w:rsid w:val="008522A3"/>
    <w:rsid w:val="008525BD"/>
    <w:rsid w:val="008528D1"/>
    <w:rsid w:val="00852AE5"/>
    <w:rsid w:val="00852C87"/>
    <w:rsid w:val="00852CFF"/>
    <w:rsid w:val="0085327A"/>
    <w:rsid w:val="00853A71"/>
    <w:rsid w:val="00853F50"/>
    <w:rsid w:val="00854322"/>
    <w:rsid w:val="0085453E"/>
    <w:rsid w:val="008545B7"/>
    <w:rsid w:val="00854692"/>
    <w:rsid w:val="00854F88"/>
    <w:rsid w:val="00855051"/>
    <w:rsid w:val="008551E0"/>
    <w:rsid w:val="00855218"/>
    <w:rsid w:val="008552CB"/>
    <w:rsid w:val="0085540F"/>
    <w:rsid w:val="008554AA"/>
    <w:rsid w:val="008554C6"/>
    <w:rsid w:val="00855784"/>
    <w:rsid w:val="0085597B"/>
    <w:rsid w:val="00855C27"/>
    <w:rsid w:val="00855DD9"/>
    <w:rsid w:val="00856067"/>
    <w:rsid w:val="00856132"/>
    <w:rsid w:val="008564E3"/>
    <w:rsid w:val="008566F4"/>
    <w:rsid w:val="00856985"/>
    <w:rsid w:val="0085698E"/>
    <w:rsid w:val="00856B1D"/>
    <w:rsid w:val="00856C9C"/>
    <w:rsid w:val="00856F36"/>
    <w:rsid w:val="00857370"/>
    <w:rsid w:val="00857550"/>
    <w:rsid w:val="0085756A"/>
    <w:rsid w:val="008575D6"/>
    <w:rsid w:val="00857641"/>
    <w:rsid w:val="00857736"/>
    <w:rsid w:val="0085777B"/>
    <w:rsid w:val="00857AC7"/>
    <w:rsid w:val="00857AED"/>
    <w:rsid w:val="00857E2E"/>
    <w:rsid w:val="00857FB2"/>
    <w:rsid w:val="008603B1"/>
    <w:rsid w:val="00860545"/>
    <w:rsid w:val="008606AA"/>
    <w:rsid w:val="0086072F"/>
    <w:rsid w:val="00860822"/>
    <w:rsid w:val="0086082E"/>
    <w:rsid w:val="00860A0C"/>
    <w:rsid w:val="00860B4B"/>
    <w:rsid w:val="00860EC5"/>
    <w:rsid w:val="00860EE9"/>
    <w:rsid w:val="00860F85"/>
    <w:rsid w:val="0086101C"/>
    <w:rsid w:val="0086113B"/>
    <w:rsid w:val="00861169"/>
    <w:rsid w:val="008618AC"/>
    <w:rsid w:val="00861983"/>
    <w:rsid w:val="00861AC4"/>
    <w:rsid w:val="00861D96"/>
    <w:rsid w:val="00861DCB"/>
    <w:rsid w:val="0086213D"/>
    <w:rsid w:val="008621B5"/>
    <w:rsid w:val="008621F6"/>
    <w:rsid w:val="00862430"/>
    <w:rsid w:val="00862477"/>
    <w:rsid w:val="00862611"/>
    <w:rsid w:val="00862730"/>
    <w:rsid w:val="008628B7"/>
    <w:rsid w:val="0086294B"/>
    <w:rsid w:val="008629AD"/>
    <w:rsid w:val="00862A83"/>
    <w:rsid w:val="00862CD1"/>
    <w:rsid w:val="00862EBE"/>
    <w:rsid w:val="00862F1D"/>
    <w:rsid w:val="00862F8D"/>
    <w:rsid w:val="00862FD0"/>
    <w:rsid w:val="008631B1"/>
    <w:rsid w:val="008631CB"/>
    <w:rsid w:val="0086322A"/>
    <w:rsid w:val="008633E2"/>
    <w:rsid w:val="008634CF"/>
    <w:rsid w:val="008638ED"/>
    <w:rsid w:val="008639A0"/>
    <w:rsid w:val="00863A27"/>
    <w:rsid w:val="00863AB3"/>
    <w:rsid w:val="00863CA8"/>
    <w:rsid w:val="00864042"/>
    <w:rsid w:val="00864120"/>
    <w:rsid w:val="00864171"/>
    <w:rsid w:val="0086465B"/>
    <w:rsid w:val="0086489B"/>
    <w:rsid w:val="008648DA"/>
    <w:rsid w:val="0086496B"/>
    <w:rsid w:val="00864C7A"/>
    <w:rsid w:val="00864DBC"/>
    <w:rsid w:val="00864F9E"/>
    <w:rsid w:val="00865009"/>
    <w:rsid w:val="00865099"/>
    <w:rsid w:val="008651E9"/>
    <w:rsid w:val="00865215"/>
    <w:rsid w:val="0086527D"/>
    <w:rsid w:val="00865445"/>
    <w:rsid w:val="008654FC"/>
    <w:rsid w:val="0086569F"/>
    <w:rsid w:val="00865D74"/>
    <w:rsid w:val="00866349"/>
    <w:rsid w:val="0086652E"/>
    <w:rsid w:val="0086679A"/>
    <w:rsid w:val="00867010"/>
    <w:rsid w:val="008670DA"/>
    <w:rsid w:val="00867242"/>
    <w:rsid w:val="00867336"/>
    <w:rsid w:val="008676AF"/>
    <w:rsid w:val="008677D4"/>
    <w:rsid w:val="00867853"/>
    <w:rsid w:val="00867920"/>
    <w:rsid w:val="00867A21"/>
    <w:rsid w:val="00867C19"/>
    <w:rsid w:val="00867C1C"/>
    <w:rsid w:val="00867D25"/>
    <w:rsid w:val="008700D2"/>
    <w:rsid w:val="00870145"/>
    <w:rsid w:val="0087027E"/>
    <w:rsid w:val="008707E4"/>
    <w:rsid w:val="008708C6"/>
    <w:rsid w:val="00870BA0"/>
    <w:rsid w:val="00870DA9"/>
    <w:rsid w:val="008713EB"/>
    <w:rsid w:val="0087145C"/>
    <w:rsid w:val="00871530"/>
    <w:rsid w:val="00871676"/>
    <w:rsid w:val="00871CC7"/>
    <w:rsid w:val="00871E23"/>
    <w:rsid w:val="00872299"/>
    <w:rsid w:val="0087252F"/>
    <w:rsid w:val="008727D1"/>
    <w:rsid w:val="00872860"/>
    <w:rsid w:val="00872990"/>
    <w:rsid w:val="00872B5B"/>
    <w:rsid w:val="00872E47"/>
    <w:rsid w:val="00872EB4"/>
    <w:rsid w:val="00872EBE"/>
    <w:rsid w:val="00872F7A"/>
    <w:rsid w:val="0087318E"/>
    <w:rsid w:val="00873650"/>
    <w:rsid w:val="008736CF"/>
    <w:rsid w:val="00873846"/>
    <w:rsid w:val="008738CB"/>
    <w:rsid w:val="0087396D"/>
    <w:rsid w:val="00873DD2"/>
    <w:rsid w:val="00874A72"/>
    <w:rsid w:val="00874AEA"/>
    <w:rsid w:val="00874C2C"/>
    <w:rsid w:val="00874CD8"/>
    <w:rsid w:val="00874EA5"/>
    <w:rsid w:val="008752D8"/>
    <w:rsid w:val="008754B8"/>
    <w:rsid w:val="008754ED"/>
    <w:rsid w:val="00875B40"/>
    <w:rsid w:val="00875BA9"/>
    <w:rsid w:val="00876206"/>
    <w:rsid w:val="008766CF"/>
    <w:rsid w:val="00876782"/>
    <w:rsid w:val="0087679E"/>
    <w:rsid w:val="00876815"/>
    <w:rsid w:val="00876A5D"/>
    <w:rsid w:val="00876AE1"/>
    <w:rsid w:val="00876B58"/>
    <w:rsid w:val="00876BC9"/>
    <w:rsid w:val="00876F16"/>
    <w:rsid w:val="00877044"/>
    <w:rsid w:val="008770E5"/>
    <w:rsid w:val="00877279"/>
    <w:rsid w:val="0087727B"/>
    <w:rsid w:val="00877450"/>
    <w:rsid w:val="008778AC"/>
    <w:rsid w:val="00877917"/>
    <w:rsid w:val="00877C00"/>
    <w:rsid w:val="00877F2F"/>
    <w:rsid w:val="00877FDE"/>
    <w:rsid w:val="0088013E"/>
    <w:rsid w:val="00880556"/>
    <w:rsid w:val="008808C3"/>
    <w:rsid w:val="00881030"/>
    <w:rsid w:val="00881038"/>
    <w:rsid w:val="0088106C"/>
    <w:rsid w:val="0088134C"/>
    <w:rsid w:val="00881517"/>
    <w:rsid w:val="00881849"/>
    <w:rsid w:val="0088194C"/>
    <w:rsid w:val="00881C44"/>
    <w:rsid w:val="00881CD1"/>
    <w:rsid w:val="00881E63"/>
    <w:rsid w:val="00882004"/>
    <w:rsid w:val="00882230"/>
    <w:rsid w:val="0088227C"/>
    <w:rsid w:val="0088258B"/>
    <w:rsid w:val="00882750"/>
    <w:rsid w:val="008829DE"/>
    <w:rsid w:val="00882B70"/>
    <w:rsid w:val="00882C51"/>
    <w:rsid w:val="00882DF9"/>
    <w:rsid w:val="00882F5A"/>
    <w:rsid w:val="0088340B"/>
    <w:rsid w:val="008836F1"/>
    <w:rsid w:val="00883809"/>
    <w:rsid w:val="008838F9"/>
    <w:rsid w:val="00883A6C"/>
    <w:rsid w:val="008840C5"/>
    <w:rsid w:val="00884476"/>
    <w:rsid w:val="00884484"/>
    <w:rsid w:val="00884662"/>
    <w:rsid w:val="008847A6"/>
    <w:rsid w:val="00884BC0"/>
    <w:rsid w:val="00884DDD"/>
    <w:rsid w:val="00884F78"/>
    <w:rsid w:val="0088512F"/>
    <w:rsid w:val="008851E2"/>
    <w:rsid w:val="00885594"/>
    <w:rsid w:val="0088563F"/>
    <w:rsid w:val="00885704"/>
    <w:rsid w:val="00885803"/>
    <w:rsid w:val="00885AEC"/>
    <w:rsid w:val="008860B5"/>
    <w:rsid w:val="008864F1"/>
    <w:rsid w:val="00886501"/>
    <w:rsid w:val="008865A6"/>
    <w:rsid w:val="00886661"/>
    <w:rsid w:val="008866B0"/>
    <w:rsid w:val="00886721"/>
    <w:rsid w:val="00886AF0"/>
    <w:rsid w:val="008870DF"/>
    <w:rsid w:val="00887A9D"/>
    <w:rsid w:val="00887F59"/>
    <w:rsid w:val="008901D6"/>
    <w:rsid w:val="00890890"/>
    <w:rsid w:val="008909F7"/>
    <w:rsid w:val="00890CF1"/>
    <w:rsid w:val="00890D88"/>
    <w:rsid w:val="00890DD4"/>
    <w:rsid w:val="00890DDA"/>
    <w:rsid w:val="0089101F"/>
    <w:rsid w:val="008911C1"/>
    <w:rsid w:val="0089127D"/>
    <w:rsid w:val="008912E1"/>
    <w:rsid w:val="00891417"/>
    <w:rsid w:val="0089149D"/>
    <w:rsid w:val="00891830"/>
    <w:rsid w:val="00891DA8"/>
    <w:rsid w:val="0089208C"/>
    <w:rsid w:val="00892114"/>
    <w:rsid w:val="008921E2"/>
    <w:rsid w:val="008921F7"/>
    <w:rsid w:val="00892756"/>
    <w:rsid w:val="00892866"/>
    <w:rsid w:val="0089294F"/>
    <w:rsid w:val="008929D0"/>
    <w:rsid w:val="00892B11"/>
    <w:rsid w:val="00892E1F"/>
    <w:rsid w:val="0089304C"/>
    <w:rsid w:val="00893235"/>
    <w:rsid w:val="00893598"/>
    <w:rsid w:val="00893846"/>
    <w:rsid w:val="00893C3B"/>
    <w:rsid w:val="00893FF9"/>
    <w:rsid w:val="00894131"/>
    <w:rsid w:val="008941A2"/>
    <w:rsid w:val="008947D0"/>
    <w:rsid w:val="008948DC"/>
    <w:rsid w:val="00894927"/>
    <w:rsid w:val="00894AD4"/>
    <w:rsid w:val="00894C17"/>
    <w:rsid w:val="00894DAC"/>
    <w:rsid w:val="008950BC"/>
    <w:rsid w:val="0089534C"/>
    <w:rsid w:val="008958F1"/>
    <w:rsid w:val="008959A1"/>
    <w:rsid w:val="00895A40"/>
    <w:rsid w:val="00895B49"/>
    <w:rsid w:val="00895CF0"/>
    <w:rsid w:val="00895D0F"/>
    <w:rsid w:val="00895F27"/>
    <w:rsid w:val="008960E1"/>
    <w:rsid w:val="0089628D"/>
    <w:rsid w:val="00896330"/>
    <w:rsid w:val="008964B3"/>
    <w:rsid w:val="008966B2"/>
    <w:rsid w:val="008966E2"/>
    <w:rsid w:val="00896AEB"/>
    <w:rsid w:val="00896B60"/>
    <w:rsid w:val="00896E6A"/>
    <w:rsid w:val="00896FE0"/>
    <w:rsid w:val="0089708F"/>
    <w:rsid w:val="00897123"/>
    <w:rsid w:val="0089713A"/>
    <w:rsid w:val="0089751B"/>
    <w:rsid w:val="008975EE"/>
    <w:rsid w:val="00897D19"/>
    <w:rsid w:val="00897D1F"/>
    <w:rsid w:val="008A0115"/>
    <w:rsid w:val="008A014A"/>
    <w:rsid w:val="008A02CB"/>
    <w:rsid w:val="008A048A"/>
    <w:rsid w:val="008A05C7"/>
    <w:rsid w:val="008A07AC"/>
    <w:rsid w:val="008A07E7"/>
    <w:rsid w:val="008A0A56"/>
    <w:rsid w:val="008A0A5A"/>
    <w:rsid w:val="008A0A96"/>
    <w:rsid w:val="008A0B01"/>
    <w:rsid w:val="008A0B3A"/>
    <w:rsid w:val="008A171C"/>
    <w:rsid w:val="008A1722"/>
    <w:rsid w:val="008A1818"/>
    <w:rsid w:val="008A1932"/>
    <w:rsid w:val="008A1934"/>
    <w:rsid w:val="008A1C5A"/>
    <w:rsid w:val="008A1E11"/>
    <w:rsid w:val="008A1F13"/>
    <w:rsid w:val="008A1F90"/>
    <w:rsid w:val="008A21EB"/>
    <w:rsid w:val="008A2285"/>
    <w:rsid w:val="008A2348"/>
    <w:rsid w:val="008A2388"/>
    <w:rsid w:val="008A23F5"/>
    <w:rsid w:val="008A261F"/>
    <w:rsid w:val="008A2785"/>
    <w:rsid w:val="008A2934"/>
    <w:rsid w:val="008A2C2D"/>
    <w:rsid w:val="008A2D88"/>
    <w:rsid w:val="008A2D8D"/>
    <w:rsid w:val="008A31EA"/>
    <w:rsid w:val="008A343E"/>
    <w:rsid w:val="008A3888"/>
    <w:rsid w:val="008A3A34"/>
    <w:rsid w:val="008A3A56"/>
    <w:rsid w:val="008A3A86"/>
    <w:rsid w:val="008A3C17"/>
    <w:rsid w:val="008A3F5E"/>
    <w:rsid w:val="008A40D3"/>
    <w:rsid w:val="008A438C"/>
    <w:rsid w:val="008A4513"/>
    <w:rsid w:val="008A4677"/>
    <w:rsid w:val="008A467D"/>
    <w:rsid w:val="008A4793"/>
    <w:rsid w:val="008A487A"/>
    <w:rsid w:val="008A4893"/>
    <w:rsid w:val="008A4B0B"/>
    <w:rsid w:val="008A4B8C"/>
    <w:rsid w:val="008A4BB0"/>
    <w:rsid w:val="008A4CDF"/>
    <w:rsid w:val="008A4D12"/>
    <w:rsid w:val="008A4D44"/>
    <w:rsid w:val="008A53A0"/>
    <w:rsid w:val="008A5459"/>
    <w:rsid w:val="008A547D"/>
    <w:rsid w:val="008A5560"/>
    <w:rsid w:val="008A567C"/>
    <w:rsid w:val="008A56A7"/>
    <w:rsid w:val="008A5911"/>
    <w:rsid w:val="008A5C79"/>
    <w:rsid w:val="008A5DB7"/>
    <w:rsid w:val="008A5DFA"/>
    <w:rsid w:val="008A5F1A"/>
    <w:rsid w:val="008A5FFA"/>
    <w:rsid w:val="008A6035"/>
    <w:rsid w:val="008A6173"/>
    <w:rsid w:val="008A62DD"/>
    <w:rsid w:val="008A659D"/>
    <w:rsid w:val="008A6631"/>
    <w:rsid w:val="008A6718"/>
    <w:rsid w:val="008A6889"/>
    <w:rsid w:val="008A6902"/>
    <w:rsid w:val="008A69C4"/>
    <w:rsid w:val="008A6E3D"/>
    <w:rsid w:val="008A6EB7"/>
    <w:rsid w:val="008A6F0E"/>
    <w:rsid w:val="008A7065"/>
    <w:rsid w:val="008A7234"/>
    <w:rsid w:val="008A74EE"/>
    <w:rsid w:val="008A756D"/>
    <w:rsid w:val="008A763D"/>
    <w:rsid w:val="008A7705"/>
    <w:rsid w:val="008A78E0"/>
    <w:rsid w:val="008A7C49"/>
    <w:rsid w:val="008A7E1E"/>
    <w:rsid w:val="008A7E22"/>
    <w:rsid w:val="008A7EC4"/>
    <w:rsid w:val="008A7F46"/>
    <w:rsid w:val="008B001E"/>
    <w:rsid w:val="008B0189"/>
    <w:rsid w:val="008B0272"/>
    <w:rsid w:val="008B06EF"/>
    <w:rsid w:val="008B0895"/>
    <w:rsid w:val="008B0EAE"/>
    <w:rsid w:val="008B0EEF"/>
    <w:rsid w:val="008B1141"/>
    <w:rsid w:val="008B15D0"/>
    <w:rsid w:val="008B181B"/>
    <w:rsid w:val="008B1A96"/>
    <w:rsid w:val="008B1E27"/>
    <w:rsid w:val="008B1EBF"/>
    <w:rsid w:val="008B214A"/>
    <w:rsid w:val="008B2157"/>
    <w:rsid w:val="008B2216"/>
    <w:rsid w:val="008B2234"/>
    <w:rsid w:val="008B22BD"/>
    <w:rsid w:val="008B25B0"/>
    <w:rsid w:val="008B25DD"/>
    <w:rsid w:val="008B28D0"/>
    <w:rsid w:val="008B2D39"/>
    <w:rsid w:val="008B2FA1"/>
    <w:rsid w:val="008B3438"/>
    <w:rsid w:val="008B3569"/>
    <w:rsid w:val="008B39A9"/>
    <w:rsid w:val="008B3B5A"/>
    <w:rsid w:val="008B3E8F"/>
    <w:rsid w:val="008B3FAB"/>
    <w:rsid w:val="008B420F"/>
    <w:rsid w:val="008B42F9"/>
    <w:rsid w:val="008B447C"/>
    <w:rsid w:val="008B45C8"/>
    <w:rsid w:val="008B4838"/>
    <w:rsid w:val="008B4A95"/>
    <w:rsid w:val="008B4DC0"/>
    <w:rsid w:val="008B4FE3"/>
    <w:rsid w:val="008B5003"/>
    <w:rsid w:val="008B56CC"/>
    <w:rsid w:val="008B5861"/>
    <w:rsid w:val="008B5910"/>
    <w:rsid w:val="008B59B9"/>
    <w:rsid w:val="008B5DBB"/>
    <w:rsid w:val="008B630C"/>
    <w:rsid w:val="008B6398"/>
    <w:rsid w:val="008B63E0"/>
    <w:rsid w:val="008B690D"/>
    <w:rsid w:val="008B6959"/>
    <w:rsid w:val="008B6AED"/>
    <w:rsid w:val="008B6B0C"/>
    <w:rsid w:val="008B716C"/>
    <w:rsid w:val="008B71A3"/>
    <w:rsid w:val="008B72AF"/>
    <w:rsid w:val="008B7311"/>
    <w:rsid w:val="008B7471"/>
    <w:rsid w:val="008B78A3"/>
    <w:rsid w:val="008B79A0"/>
    <w:rsid w:val="008B7A21"/>
    <w:rsid w:val="008B7B6F"/>
    <w:rsid w:val="008B7E1D"/>
    <w:rsid w:val="008B7E55"/>
    <w:rsid w:val="008B7EA7"/>
    <w:rsid w:val="008B7EA9"/>
    <w:rsid w:val="008C0033"/>
    <w:rsid w:val="008C00D8"/>
    <w:rsid w:val="008C01AB"/>
    <w:rsid w:val="008C01AC"/>
    <w:rsid w:val="008C01DE"/>
    <w:rsid w:val="008C02AF"/>
    <w:rsid w:val="008C02D4"/>
    <w:rsid w:val="008C07A9"/>
    <w:rsid w:val="008C07C2"/>
    <w:rsid w:val="008C0E68"/>
    <w:rsid w:val="008C0F46"/>
    <w:rsid w:val="008C14F2"/>
    <w:rsid w:val="008C18BB"/>
    <w:rsid w:val="008C1915"/>
    <w:rsid w:val="008C1D0D"/>
    <w:rsid w:val="008C1FDD"/>
    <w:rsid w:val="008C2221"/>
    <w:rsid w:val="008C2323"/>
    <w:rsid w:val="008C2446"/>
    <w:rsid w:val="008C27E2"/>
    <w:rsid w:val="008C293A"/>
    <w:rsid w:val="008C2C66"/>
    <w:rsid w:val="008C2D0B"/>
    <w:rsid w:val="008C2D38"/>
    <w:rsid w:val="008C2F7C"/>
    <w:rsid w:val="008C2FBC"/>
    <w:rsid w:val="008C30EB"/>
    <w:rsid w:val="008C31AA"/>
    <w:rsid w:val="008C322F"/>
    <w:rsid w:val="008C32FF"/>
    <w:rsid w:val="008C3338"/>
    <w:rsid w:val="008C356A"/>
    <w:rsid w:val="008C3588"/>
    <w:rsid w:val="008C35FE"/>
    <w:rsid w:val="008C36A2"/>
    <w:rsid w:val="008C38D5"/>
    <w:rsid w:val="008C38F4"/>
    <w:rsid w:val="008C3A44"/>
    <w:rsid w:val="008C3ADD"/>
    <w:rsid w:val="008C3CFE"/>
    <w:rsid w:val="008C3D60"/>
    <w:rsid w:val="008C3E67"/>
    <w:rsid w:val="008C3F0D"/>
    <w:rsid w:val="008C4075"/>
    <w:rsid w:val="008C4329"/>
    <w:rsid w:val="008C4505"/>
    <w:rsid w:val="008C45AB"/>
    <w:rsid w:val="008C4702"/>
    <w:rsid w:val="008C4761"/>
    <w:rsid w:val="008C4765"/>
    <w:rsid w:val="008C4B7E"/>
    <w:rsid w:val="008C4CFB"/>
    <w:rsid w:val="008C4D82"/>
    <w:rsid w:val="008C4EC8"/>
    <w:rsid w:val="008C4EDF"/>
    <w:rsid w:val="008C5225"/>
    <w:rsid w:val="008C5307"/>
    <w:rsid w:val="008C5465"/>
    <w:rsid w:val="008C55FA"/>
    <w:rsid w:val="008C5687"/>
    <w:rsid w:val="008C5726"/>
    <w:rsid w:val="008C574F"/>
    <w:rsid w:val="008C5B39"/>
    <w:rsid w:val="008C5B51"/>
    <w:rsid w:val="008C5DBA"/>
    <w:rsid w:val="008C613A"/>
    <w:rsid w:val="008C6240"/>
    <w:rsid w:val="008C640E"/>
    <w:rsid w:val="008C6437"/>
    <w:rsid w:val="008C6456"/>
    <w:rsid w:val="008C6696"/>
    <w:rsid w:val="008C6710"/>
    <w:rsid w:val="008C6955"/>
    <w:rsid w:val="008C6ACA"/>
    <w:rsid w:val="008C6D07"/>
    <w:rsid w:val="008C6EAB"/>
    <w:rsid w:val="008C7016"/>
    <w:rsid w:val="008C70AB"/>
    <w:rsid w:val="008C72CC"/>
    <w:rsid w:val="008C731F"/>
    <w:rsid w:val="008C7346"/>
    <w:rsid w:val="008C742F"/>
    <w:rsid w:val="008C758F"/>
    <w:rsid w:val="008C7A3A"/>
    <w:rsid w:val="008C7B19"/>
    <w:rsid w:val="008C7B65"/>
    <w:rsid w:val="008C7C4A"/>
    <w:rsid w:val="008C7EA4"/>
    <w:rsid w:val="008C7FF0"/>
    <w:rsid w:val="008D03E5"/>
    <w:rsid w:val="008D053F"/>
    <w:rsid w:val="008D0883"/>
    <w:rsid w:val="008D08FF"/>
    <w:rsid w:val="008D0A74"/>
    <w:rsid w:val="008D0BB1"/>
    <w:rsid w:val="008D0DE2"/>
    <w:rsid w:val="008D1113"/>
    <w:rsid w:val="008D19D1"/>
    <w:rsid w:val="008D1BA5"/>
    <w:rsid w:val="008D1FE9"/>
    <w:rsid w:val="008D20C1"/>
    <w:rsid w:val="008D2262"/>
    <w:rsid w:val="008D2295"/>
    <w:rsid w:val="008D28D5"/>
    <w:rsid w:val="008D2C72"/>
    <w:rsid w:val="008D2D70"/>
    <w:rsid w:val="008D2E70"/>
    <w:rsid w:val="008D2FC1"/>
    <w:rsid w:val="008D30DE"/>
    <w:rsid w:val="008D3142"/>
    <w:rsid w:val="008D31C5"/>
    <w:rsid w:val="008D31DC"/>
    <w:rsid w:val="008D34BC"/>
    <w:rsid w:val="008D3535"/>
    <w:rsid w:val="008D35A1"/>
    <w:rsid w:val="008D3B1A"/>
    <w:rsid w:val="008D3C9E"/>
    <w:rsid w:val="008D3D04"/>
    <w:rsid w:val="008D3D0C"/>
    <w:rsid w:val="008D4064"/>
    <w:rsid w:val="008D4187"/>
    <w:rsid w:val="008D4327"/>
    <w:rsid w:val="008D470B"/>
    <w:rsid w:val="008D4892"/>
    <w:rsid w:val="008D491A"/>
    <w:rsid w:val="008D4941"/>
    <w:rsid w:val="008D49A9"/>
    <w:rsid w:val="008D49F5"/>
    <w:rsid w:val="008D4C10"/>
    <w:rsid w:val="008D500B"/>
    <w:rsid w:val="008D50F4"/>
    <w:rsid w:val="008D5210"/>
    <w:rsid w:val="008D54D0"/>
    <w:rsid w:val="008D553F"/>
    <w:rsid w:val="008D56BF"/>
    <w:rsid w:val="008D5ACF"/>
    <w:rsid w:val="008D5D66"/>
    <w:rsid w:val="008D5D98"/>
    <w:rsid w:val="008D5E2F"/>
    <w:rsid w:val="008D62DE"/>
    <w:rsid w:val="008D634C"/>
    <w:rsid w:val="008D6AC5"/>
    <w:rsid w:val="008D6BC4"/>
    <w:rsid w:val="008D7B60"/>
    <w:rsid w:val="008D7EED"/>
    <w:rsid w:val="008E035D"/>
    <w:rsid w:val="008E0D24"/>
    <w:rsid w:val="008E0D9A"/>
    <w:rsid w:val="008E1427"/>
    <w:rsid w:val="008E1711"/>
    <w:rsid w:val="008E18B7"/>
    <w:rsid w:val="008E18C7"/>
    <w:rsid w:val="008E1CD6"/>
    <w:rsid w:val="008E1D1B"/>
    <w:rsid w:val="008E1DA7"/>
    <w:rsid w:val="008E1E34"/>
    <w:rsid w:val="008E1F32"/>
    <w:rsid w:val="008E2076"/>
    <w:rsid w:val="008E21D7"/>
    <w:rsid w:val="008E228F"/>
    <w:rsid w:val="008E2310"/>
    <w:rsid w:val="008E2929"/>
    <w:rsid w:val="008E2B65"/>
    <w:rsid w:val="008E2BF1"/>
    <w:rsid w:val="008E30DB"/>
    <w:rsid w:val="008E30DC"/>
    <w:rsid w:val="008E34CB"/>
    <w:rsid w:val="008E36B7"/>
    <w:rsid w:val="008E3B66"/>
    <w:rsid w:val="008E3C7C"/>
    <w:rsid w:val="008E3D97"/>
    <w:rsid w:val="008E420D"/>
    <w:rsid w:val="008E47CA"/>
    <w:rsid w:val="008E4AC8"/>
    <w:rsid w:val="008E4BB1"/>
    <w:rsid w:val="008E4EE0"/>
    <w:rsid w:val="008E5000"/>
    <w:rsid w:val="008E50DC"/>
    <w:rsid w:val="008E51A9"/>
    <w:rsid w:val="008E54D5"/>
    <w:rsid w:val="008E5619"/>
    <w:rsid w:val="008E56E3"/>
    <w:rsid w:val="008E56FE"/>
    <w:rsid w:val="008E595D"/>
    <w:rsid w:val="008E63D6"/>
    <w:rsid w:val="008E6428"/>
    <w:rsid w:val="008E644A"/>
    <w:rsid w:val="008E6499"/>
    <w:rsid w:val="008E65EF"/>
    <w:rsid w:val="008E6708"/>
    <w:rsid w:val="008E6873"/>
    <w:rsid w:val="008E7340"/>
    <w:rsid w:val="008E7633"/>
    <w:rsid w:val="008E775B"/>
    <w:rsid w:val="008E78DA"/>
    <w:rsid w:val="008E7B81"/>
    <w:rsid w:val="008E7FCB"/>
    <w:rsid w:val="008F0061"/>
    <w:rsid w:val="008F0130"/>
    <w:rsid w:val="008F0185"/>
    <w:rsid w:val="008F01DD"/>
    <w:rsid w:val="008F04CF"/>
    <w:rsid w:val="008F052F"/>
    <w:rsid w:val="008F06DC"/>
    <w:rsid w:val="008F0750"/>
    <w:rsid w:val="008F07A6"/>
    <w:rsid w:val="008F0CE7"/>
    <w:rsid w:val="008F1545"/>
    <w:rsid w:val="008F15F6"/>
    <w:rsid w:val="008F1633"/>
    <w:rsid w:val="008F16AD"/>
    <w:rsid w:val="008F16B0"/>
    <w:rsid w:val="008F1771"/>
    <w:rsid w:val="008F177B"/>
    <w:rsid w:val="008F17FA"/>
    <w:rsid w:val="008F193F"/>
    <w:rsid w:val="008F1B62"/>
    <w:rsid w:val="008F1E73"/>
    <w:rsid w:val="008F2047"/>
    <w:rsid w:val="008F2161"/>
    <w:rsid w:val="008F2233"/>
    <w:rsid w:val="008F227C"/>
    <w:rsid w:val="008F2296"/>
    <w:rsid w:val="008F22A1"/>
    <w:rsid w:val="008F23A2"/>
    <w:rsid w:val="008F2576"/>
    <w:rsid w:val="008F2684"/>
    <w:rsid w:val="008F2956"/>
    <w:rsid w:val="008F2BC8"/>
    <w:rsid w:val="008F2C1F"/>
    <w:rsid w:val="008F2CC4"/>
    <w:rsid w:val="008F2E33"/>
    <w:rsid w:val="008F31D6"/>
    <w:rsid w:val="008F31EF"/>
    <w:rsid w:val="008F33B5"/>
    <w:rsid w:val="008F34CF"/>
    <w:rsid w:val="008F34DD"/>
    <w:rsid w:val="008F3646"/>
    <w:rsid w:val="008F369B"/>
    <w:rsid w:val="008F376B"/>
    <w:rsid w:val="008F37CB"/>
    <w:rsid w:val="008F3959"/>
    <w:rsid w:val="008F39B8"/>
    <w:rsid w:val="008F3B38"/>
    <w:rsid w:val="008F3DC6"/>
    <w:rsid w:val="008F3E8B"/>
    <w:rsid w:val="008F4158"/>
    <w:rsid w:val="008F4287"/>
    <w:rsid w:val="008F48DC"/>
    <w:rsid w:val="008F4AE2"/>
    <w:rsid w:val="008F4D22"/>
    <w:rsid w:val="008F4F66"/>
    <w:rsid w:val="008F5099"/>
    <w:rsid w:val="008F5191"/>
    <w:rsid w:val="008F57C9"/>
    <w:rsid w:val="008F5886"/>
    <w:rsid w:val="008F5AAB"/>
    <w:rsid w:val="008F5C9D"/>
    <w:rsid w:val="008F5D33"/>
    <w:rsid w:val="008F62CC"/>
    <w:rsid w:val="008F650F"/>
    <w:rsid w:val="008F67BF"/>
    <w:rsid w:val="008F6937"/>
    <w:rsid w:val="008F698E"/>
    <w:rsid w:val="008F6AB2"/>
    <w:rsid w:val="008F6DF5"/>
    <w:rsid w:val="008F6E60"/>
    <w:rsid w:val="008F727E"/>
    <w:rsid w:val="008F7384"/>
    <w:rsid w:val="008F73F2"/>
    <w:rsid w:val="008F74D7"/>
    <w:rsid w:val="008F74EB"/>
    <w:rsid w:val="008F756B"/>
    <w:rsid w:val="008F7570"/>
    <w:rsid w:val="008F7655"/>
    <w:rsid w:val="008F7700"/>
    <w:rsid w:val="008F77BB"/>
    <w:rsid w:val="008F7B5B"/>
    <w:rsid w:val="008F7B93"/>
    <w:rsid w:val="008F7C7A"/>
    <w:rsid w:val="008F7DC2"/>
    <w:rsid w:val="008F7DD3"/>
    <w:rsid w:val="008F7E37"/>
    <w:rsid w:val="008F7E4B"/>
    <w:rsid w:val="008F7F5E"/>
    <w:rsid w:val="0090005E"/>
    <w:rsid w:val="00900073"/>
    <w:rsid w:val="0090019B"/>
    <w:rsid w:val="009002A0"/>
    <w:rsid w:val="00900589"/>
    <w:rsid w:val="009006B7"/>
    <w:rsid w:val="009006DE"/>
    <w:rsid w:val="00900817"/>
    <w:rsid w:val="009008CC"/>
    <w:rsid w:val="00900935"/>
    <w:rsid w:val="00900A6C"/>
    <w:rsid w:val="00900ABC"/>
    <w:rsid w:val="00900BCD"/>
    <w:rsid w:val="00900E57"/>
    <w:rsid w:val="00900E9F"/>
    <w:rsid w:val="00900F24"/>
    <w:rsid w:val="00901162"/>
    <w:rsid w:val="0090136F"/>
    <w:rsid w:val="009013ED"/>
    <w:rsid w:val="00901424"/>
    <w:rsid w:val="009014D1"/>
    <w:rsid w:val="0090159E"/>
    <w:rsid w:val="0090183A"/>
    <w:rsid w:val="00901906"/>
    <w:rsid w:val="00901937"/>
    <w:rsid w:val="00901AD2"/>
    <w:rsid w:val="00901BD6"/>
    <w:rsid w:val="009020ED"/>
    <w:rsid w:val="00902183"/>
    <w:rsid w:val="009022B5"/>
    <w:rsid w:val="009022CF"/>
    <w:rsid w:val="009024AA"/>
    <w:rsid w:val="00902771"/>
    <w:rsid w:val="00902A6A"/>
    <w:rsid w:val="00902BD3"/>
    <w:rsid w:val="00902F60"/>
    <w:rsid w:val="0090304F"/>
    <w:rsid w:val="0090319A"/>
    <w:rsid w:val="009031AE"/>
    <w:rsid w:val="00903354"/>
    <w:rsid w:val="009035E8"/>
    <w:rsid w:val="0090366A"/>
    <w:rsid w:val="00903A4F"/>
    <w:rsid w:val="00903B68"/>
    <w:rsid w:val="00903E00"/>
    <w:rsid w:val="00903E9A"/>
    <w:rsid w:val="00903EF7"/>
    <w:rsid w:val="009040F9"/>
    <w:rsid w:val="009041D1"/>
    <w:rsid w:val="00904283"/>
    <w:rsid w:val="00904347"/>
    <w:rsid w:val="009043C2"/>
    <w:rsid w:val="00904505"/>
    <w:rsid w:val="0090453B"/>
    <w:rsid w:val="0090490B"/>
    <w:rsid w:val="009049F6"/>
    <w:rsid w:val="00904BCF"/>
    <w:rsid w:val="00904DC9"/>
    <w:rsid w:val="00904F80"/>
    <w:rsid w:val="0090515B"/>
    <w:rsid w:val="009056FF"/>
    <w:rsid w:val="00905BAC"/>
    <w:rsid w:val="00905CE5"/>
    <w:rsid w:val="00905D2A"/>
    <w:rsid w:val="00906204"/>
    <w:rsid w:val="0090625D"/>
    <w:rsid w:val="0090643E"/>
    <w:rsid w:val="00906459"/>
    <w:rsid w:val="00906753"/>
    <w:rsid w:val="00906924"/>
    <w:rsid w:val="00906CD7"/>
    <w:rsid w:val="00906D15"/>
    <w:rsid w:val="00906D7B"/>
    <w:rsid w:val="00906EEE"/>
    <w:rsid w:val="00907034"/>
    <w:rsid w:val="009070C2"/>
    <w:rsid w:val="009071D4"/>
    <w:rsid w:val="0090735D"/>
    <w:rsid w:val="00907496"/>
    <w:rsid w:val="0090753A"/>
    <w:rsid w:val="0090757D"/>
    <w:rsid w:val="00907685"/>
    <w:rsid w:val="00907916"/>
    <w:rsid w:val="00907A7E"/>
    <w:rsid w:val="00907F88"/>
    <w:rsid w:val="009100AA"/>
    <w:rsid w:val="009100E7"/>
    <w:rsid w:val="00910110"/>
    <w:rsid w:val="00910189"/>
    <w:rsid w:val="00910343"/>
    <w:rsid w:val="009104FA"/>
    <w:rsid w:val="0091064A"/>
    <w:rsid w:val="0091088C"/>
    <w:rsid w:val="009108A0"/>
    <w:rsid w:val="00910938"/>
    <w:rsid w:val="00910A63"/>
    <w:rsid w:val="00910BD8"/>
    <w:rsid w:val="00910E3A"/>
    <w:rsid w:val="009110A4"/>
    <w:rsid w:val="0091119C"/>
    <w:rsid w:val="0091125A"/>
    <w:rsid w:val="009113A9"/>
    <w:rsid w:val="009115EA"/>
    <w:rsid w:val="009118C3"/>
    <w:rsid w:val="00911994"/>
    <w:rsid w:val="009119A6"/>
    <w:rsid w:val="00911CCD"/>
    <w:rsid w:val="00911CF8"/>
    <w:rsid w:val="00911D26"/>
    <w:rsid w:val="00911F3A"/>
    <w:rsid w:val="00911FD1"/>
    <w:rsid w:val="009125EC"/>
    <w:rsid w:val="00912654"/>
    <w:rsid w:val="00912866"/>
    <w:rsid w:val="00912FAB"/>
    <w:rsid w:val="0091331F"/>
    <w:rsid w:val="00913710"/>
    <w:rsid w:val="00913B82"/>
    <w:rsid w:val="00913D42"/>
    <w:rsid w:val="00913D59"/>
    <w:rsid w:val="00914243"/>
    <w:rsid w:val="0091452E"/>
    <w:rsid w:val="009145DE"/>
    <w:rsid w:val="00914723"/>
    <w:rsid w:val="009148CD"/>
    <w:rsid w:val="00914DB3"/>
    <w:rsid w:val="00915064"/>
    <w:rsid w:val="009151BD"/>
    <w:rsid w:val="009152B6"/>
    <w:rsid w:val="009157B7"/>
    <w:rsid w:val="00915825"/>
    <w:rsid w:val="00915C1D"/>
    <w:rsid w:val="00915CE6"/>
    <w:rsid w:val="00915D31"/>
    <w:rsid w:val="00916121"/>
    <w:rsid w:val="0091612A"/>
    <w:rsid w:val="00916425"/>
    <w:rsid w:val="009167E3"/>
    <w:rsid w:val="009171EB"/>
    <w:rsid w:val="009172F5"/>
    <w:rsid w:val="0091740D"/>
    <w:rsid w:val="0091751C"/>
    <w:rsid w:val="0091792F"/>
    <w:rsid w:val="00917C2B"/>
    <w:rsid w:val="00917E5F"/>
    <w:rsid w:val="009201BB"/>
    <w:rsid w:val="00920283"/>
    <w:rsid w:val="0092043F"/>
    <w:rsid w:val="00920D2C"/>
    <w:rsid w:val="009210B5"/>
    <w:rsid w:val="009212E2"/>
    <w:rsid w:val="009215C3"/>
    <w:rsid w:val="00921625"/>
    <w:rsid w:val="0092196F"/>
    <w:rsid w:val="00921994"/>
    <w:rsid w:val="009219F6"/>
    <w:rsid w:val="00921A89"/>
    <w:rsid w:val="00921E64"/>
    <w:rsid w:val="00921E92"/>
    <w:rsid w:val="0092217F"/>
    <w:rsid w:val="0092229E"/>
    <w:rsid w:val="00922639"/>
    <w:rsid w:val="00922891"/>
    <w:rsid w:val="009228C1"/>
    <w:rsid w:val="0092292B"/>
    <w:rsid w:val="0092293A"/>
    <w:rsid w:val="00922B9F"/>
    <w:rsid w:val="00922C6D"/>
    <w:rsid w:val="009236D8"/>
    <w:rsid w:val="0092387A"/>
    <w:rsid w:val="009238C0"/>
    <w:rsid w:val="00923AA7"/>
    <w:rsid w:val="00923E08"/>
    <w:rsid w:val="00923E75"/>
    <w:rsid w:val="00923EE2"/>
    <w:rsid w:val="00923F0B"/>
    <w:rsid w:val="00923F0E"/>
    <w:rsid w:val="009241B0"/>
    <w:rsid w:val="00924315"/>
    <w:rsid w:val="00924731"/>
    <w:rsid w:val="00924834"/>
    <w:rsid w:val="0092489C"/>
    <w:rsid w:val="00924945"/>
    <w:rsid w:val="00924989"/>
    <w:rsid w:val="00924B08"/>
    <w:rsid w:val="00924B09"/>
    <w:rsid w:val="00924B56"/>
    <w:rsid w:val="00924F67"/>
    <w:rsid w:val="0092517C"/>
    <w:rsid w:val="009251E5"/>
    <w:rsid w:val="00925719"/>
    <w:rsid w:val="00925791"/>
    <w:rsid w:val="0092579B"/>
    <w:rsid w:val="009257EE"/>
    <w:rsid w:val="00925806"/>
    <w:rsid w:val="009259B2"/>
    <w:rsid w:val="00925C2A"/>
    <w:rsid w:val="00925FD0"/>
    <w:rsid w:val="00926451"/>
    <w:rsid w:val="009268CB"/>
    <w:rsid w:val="00926E55"/>
    <w:rsid w:val="00927013"/>
    <w:rsid w:val="00927578"/>
    <w:rsid w:val="0092763D"/>
    <w:rsid w:val="00927649"/>
    <w:rsid w:val="0092764C"/>
    <w:rsid w:val="00927671"/>
    <w:rsid w:val="009276EB"/>
    <w:rsid w:val="00927BF7"/>
    <w:rsid w:val="00927D87"/>
    <w:rsid w:val="00927FF3"/>
    <w:rsid w:val="00930953"/>
    <w:rsid w:val="00930973"/>
    <w:rsid w:val="00930A98"/>
    <w:rsid w:val="00930DD1"/>
    <w:rsid w:val="00931149"/>
    <w:rsid w:val="009312B2"/>
    <w:rsid w:val="009312E0"/>
    <w:rsid w:val="0093131F"/>
    <w:rsid w:val="0093153B"/>
    <w:rsid w:val="00931874"/>
    <w:rsid w:val="00931BC0"/>
    <w:rsid w:val="00931CB5"/>
    <w:rsid w:val="00931CFF"/>
    <w:rsid w:val="00931E1E"/>
    <w:rsid w:val="00932378"/>
    <w:rsid w:val="0093280E"/>
    <w:rsid w:val="00932A8B"/>
    <w:rsid w:val="00932F68"/>
    <w:rsid w:val="00933087"/>
    <w:rsid w:val="009330DE"/>
    <w:rsid w:val="0093349E"/>
    <w:rsid w:val="009337A2"/>
    <w:rsid w:val="00933EB8"/>
    <w:rsid w:val="00934088"/>
    <w:rsid w:val="009342E9"/>
    <w:rsid w:val="009344D6"/>
    <w:rsid w:val="0093476C"/>
    <w:rsid w:val="0093483C"/>
    <w:rsid w:val="00934B30"/>
    <w:rsid w:val="00934B93"/>
    <w:rsid w:val="00934BEE"/>
    <w:rsid w:val="00934C9D"/>
    <w:rsid w:val="009350F1"/>
    <w:rsid w:val="00935247"/>
    <w:rsid w:val="00935573"/>
    <w:rsid w:val="009358DD"/>
    <w:rsid w:val="009359AB"/>
    <w:rsid w:val="00935AC1"/>
    <w:rsid w:val="00935FE1"/>
    <w:rsid w:val="009362E0"/>
    <w:rsid w:val="009364ED"/>
    <w:rsid w:val="00936B14"/>
    <w:rsid w:val="00936D19"/>
    <w:rsid w:val="00936E52"/>
    <w:rsid w:val="00936E78"/>
    <w:rsid w:val="00936EAE"/>
    <w:rsid w:val="009370AF"/>
    <w:rsid w:val="00937259"/>
    <w:rsid w:val="00937417"/>
    <w:rsid w:val="0093748F"/>
    <w:rsid w:val="0093778B"/>
    <w:rsid w:val="009377D9"/>
    <w:rsid w:val="009377EA"/>
    <w:rsid w:val="00937874"/>
    <w:rsid w:val="009378C0"/>
    <w:rsid w:val="00937C47"/>
    <w:rsid w:val="00937C4D"/>
    <w:rsid w:val="00937D06"/>
    <w:rsid w:val="00937EE2"/>
    <w:rsid w:val="00940354"/>
    <w:rsid w:val="00940404"/>
    <w:rsid w:val="009404B0"/>
    <w:rsid w:val="00940B1F"/>
    <w:rsid w:val="009411C7"/>
    <w:rsid w:val="00941492"/>
    <w:rsid w:val="00941781"/>
    <w:rsid w:val="00941A58"/>
    <w:rsid w:val="009424A7"/>
    <w:rsid w:val="00942766"/>
    <w:rsid w:val="0094294B"/>
    <w:rsid w:val="009429AA"/>
    <w:rsid w:val="00942CC5"/>
    <w:rsid w:val="00942CFD"/>
    <w:rsid w:val="00942D05"/>
    <w:rsid w:val="00942E31"/>
    <w:rsid w:val="00943535"/>
    <w:rsid w:val="00943689"/>
    <w:rsid w:val="0094383C"/>
    <w:rsid w:val="009439B2"/>
    <w:rsid w:val="00943A05"/>
    <w:rsid w:val="00943A8A"/>
    <w:rsid w:val="00943AF1"/>
    <w:rsid w:val="00943C43"/>
    <w:rsid w:val="00944248"/>
    <w:rsid w:val="009442F9"/>
    <w:rsid w:val="00944A04"/>
    <w:rsid w:val="00945101"/>
    <w:rsid w:val="009452E3"/>
    <w:rsid w:val="0094545F"/>
    <w:rsid w:val="009455B2"/>
    <w:rsid w:val="009457DD"/>
    <w:rsid w:val="00945960"/>
    <w:rsid w:val="00945EA7"/>
    <w:rsid w:val="00945EB1"/>
    <w:rsid w:val="00946004"/>
    <w:rsid w:val="009460C9"/>
    <w:rsid w:val="009462FB"/>
    <w:rsid w:val="00946336"/>
    <w:rsid w:val="00946406"/>
    <w:rsid w:val="009464B5"/>
    <w:rsid w:val="009466D6"/>
    <w:rsid w:val="00946AAA"/>
    <w:rsid w:val="00946AD3"/>
    <w:rsid w:val="00946C43"/>
    <w:rsid w:val="00946C93"/>
    <w:rsid w:val="00946CFB"/>
    <w:rsid w:val="00946D05"/>
    <w:rsid w:val="00946EB6"/>
    <w:rsid w:val="00946FE2"/>
    <w:rsid w:val="0094717D"/>
    <w:rsid w:val="00947228"/>
    <w:rsid w:val="00947417"/>
    <w:rsid w:val="009477D6"/>
    <w:rsid w:val="0094787C"/>
    <w:rsid w:val="009479F3"/>
    <w:rsid w:val="009501BD"/>
    <w:rsid w:val="0095041D"/>
    <w:rsid w:val="009504C0"/>
    <w:rsid w:val="0095053A"/>
    <w:rsid w:val="00950832"/>
    <w:rsid w:val="00950BD4"/>
    <w:rsid w:val="00950CE0"/>
    <w:rsid w:val="009515FE"/>
    <w:rsid w:val="00951870"/>
    <w:rsid w:val="009518DC"/>
    <w:rsid w:val="009519FF"/>
    <w:rsid w:val="00951A42"/>
    <w:rsid w:val="00952259"/>
    <w:rsid w:val="00952613"/>
    <w:rsid w:val="00952AD8"/>
    <w:rsid w:val="00952E04"/>
    <w:rsid w:val="00952E1A"/>
    <w:rsid w:val="00952F6A"/>
    <w:rsid w:val="00953508"/>
    <w:rsid w:val="0095374A"/>
    <w:rsid w:val="009539E4"/>
    <w:rsid w:val="00953A18"/>
    <w:rsid w:val="00953C09"/>
    <w:rsid w:val="00953C61"/>
    <w:rsid w:val="00953F1A"/>
    <w:rsid w:val="00953FA7"/>
    <w:rsid w:val="00954217"/>
    <w:rsid w:val="009544C6"/>
    <w:rsid w:val="00954556"/>
    <w:rsid w:val="0095491B"/>
    <w:rsid w:val="00954930"/>
    <w:rsid w:val="00954D94"/>
    <w:rsid w:val="00955443"/>
    <w:rsid w:val="009555CC"/>
    <w:rsid w:val="00955607"/>
    <w:rsid w:val="0095566C"/>
    <w:rsid w:val="009558E8"/>
    <w:rsid w:val="00955BC0"/>
    <w:rsid w:val="00955D29"/>
    <w:rsid w:val="00955EA1"/>
    <w:rsid w:val="00955FE8"/>
    <w:rsid w:val="00955FFA"/>
    <w:rsid w:val="0095689B"/>
    <w:rsid w:val="009569FA"/>
    <w:rsid w:val="00956A9A"/>
    <w:rsid w:val="00956B5A"/>
    <w:rsid w:val="00956B77"/>
    <w:rsid w:val="00956D46"/>
    <w:rsid w:val="00956D60"/>
    <w:rsid w:val="00956DDF"/>
    <w:rsid w:val="00956F23"/>
    <w:rsid w:val="0095712C"/>
    <w:rsid w:val="009576B9"/>
    <w:rsid w:val="009579F9"/>
    <w:rsid w:val="00957A52"/>
    <w:rsid w:val="00957C3B"/>
    <w:rsid w:val="00957C97"/>
    <w:rsid w:val="00957CE0"/>
    <w:rsid w:val="00957D3A"/>
    <w:rsid w:val="00957EE1"/>
    <w:rsid w:val="00957F9B"/>
    <w:rsid w:val="009601CF"/>
    <w:rsid w:val="009604CD"/>
    <w:rsid w:val="00960564"/>
    <w:rsid w:val="00960575"/>
    <w:rsid w:val="009605EA"/>
    <w:rsid w:val="009608C1"/>
    <w:rsid w:val="00960BA9"/>
    <w:rsid w:val="00960CA8"/>
    <w:rsid w:val="00960DB0"/>
    <w:rsid w:val="00960E59"/>
    <w:rsid w:val="00960EFC"/>
    <w:rsid w:val="0096115D"/>
    <w:rsid w:val="0096117B"/>
    <w:rsid w:val="00961412"/>
    <w:rsid w:val="0096165A"/>
    <w:rsid w:val="00961AE6"/>
    <w:rsid w:val="00961B07"/>
    <w:rsid w:val="00961CE4"/>
    <w:rsid w:val="00961DB8"/>
    <w:rsid w:val="00962092"/>
    <w:rsid w:val="009621FD"/>
    <w:rsid w:val="009624DD"/>
    <w:rsid w:val="00962633"/>
    <w:rsid w:val="00962F01"/>
    <w:rsid w:val="00962F6A"/>
    <w:rsid w:val="00963199"/>
    <w:rsid w:val="009632EB"/>
    <w:rsid w:val="009632F6"/>
    <w:rsid w:val="009635D0"/>
    <w:rsid w:val="00963750"/>
    <w:rsid w:val="009639A5"/>
    <w:rsid w:val="00963C5F"/>
    <w:rsid w:val="00963DAE"/>
    <w:rsid w:val="00963E9F"/>
    <w:rsid w:val="00964124"/>
    <w:rsid w:val="00964406"/>
    <w:rsid w:val="00964429"/>
    <w:rsid w:val="009644B9"/>
    <w:rsid w:val="009645B5"/>
    <w:rsid w:val="009645E3"/>
    <w:rsid w:val="009646D6"/>
    <w:rsid w:val="00964730"/>
    <w:rsid w:val="00964AA0"/>
    <w:rsid w:val="00964C17"/>
    <w:rsid w:val="00964CEC"/>
    <w:rsid w:val="00964EA3"/>
    <w:rsid w:val="00964F23"/>
    <w:rsid w:val="00965165"/>
    <w:rsid w:val="00965228"/>
    <w:rsid w:val="00965858"/>
    <w:rsid w:val="00965A7A"/>
    <w:rsid w:val="00965C9E"/>
    <w:rsid w:val="00966119"/>
    <w:rsid w:val="00966183"/>
    <w:rsid w:val="009661D5"/>
    <w:rsid w:val="00966208"/>
    <w:rsid w:val="009664DF"/>
    <w:rsid w:val="009665C9"/>
    <w:rsid w:val="00966643"/>
    <w:rsid w:val="009668E3"/>
    <w:rsid w:val="00966CD7"/>
    <w:rsid w:val="00966D04"/>
    <w:rsid w:val="00966E82"/>
    <w:rsid w:val="0096715B"/>
    <w:rsid w:val="009671CF"/>
    <w:rsid w:val="0096728D"/>
    <w:rsid w:val="00967331"/>
    <w:rsid w:val="009673A8"/>
    <w:rsid w:val="00967474"/>
    <w:rsid w:val="009675EC"/>
    <w:rsid w:val="00967F20"/>
    <w:rsid w:val="00970264"/>
    <w:rsid w:val="00970265"/>
    <w:rsid w:val="009702D5"/>
    <w:rsid w:val="00970417"/>
    <w:rsid w:val="00970C8D"/>
    <w:rsid w:val="00970DF5"/>
    <w:rsid w:val="00970E42"/>
    <w:rsid w:val="0097131B"/>
    <w:rsid w:val="0097157F"/>
    <w:rsid w:val="009716D3"/>
    <w:rsid w:val="009717B8"/>
    <w:rsid w:val="00971B8C"/>
    <w:rsid w:val="00971C34"/>
    <w:rsid w:val="00971D6F"/>
    <w:rsid w:val="00971EE2"/>
    <w:rsid w:val="00971EF6"/>
    <w:rsid w:val="00972297"/>
    <w:rsid w:val="00972398"/>
    <w:rsid w:val="00972632"/>
    <w:rsid w:val="0097285F"/>
    <w:rsid w:val="00972B49"/>
    <w:rsid w:val="00972CA3"/>
    <w:rsid w:val="00972DD1"/>
    <w:rsid w:val="00972E38"/>
    <w:rsid w:val="00973072"/>
    <w:rsid w:val="009730F1"/>
    <w:rsid w:val="0097344D"/>
    <w:rsid w:val="00973A98"/>
    <w:rsid w:val="00973D21"/>
    <w:rsid w:val="00973D33"/>
    <w:rsid w:val="00973E26"/>
    <w:rsid w:val="00973FA2"/>
    <w:rsid w:val="009740D6"/>
    <w:rsid w:val="00974184"/>
    <w:rsid w:val="00974191"/>
    <w:rsid w:val="00974435"/>
    <w:rsid w:val="00974477"/>
    <w:rsid w:val="009746CE"/>
    <w:rsid w:val="00974742"/>
    <w:rsid w:val="00974A85"/>
    <w:rsid w:val="00974B2D"/>
    <w:rsid w:val="00974C2D"/>
    <w:rsid w:val="00974DD7"/>
    <w:rsid w:val="00974ED5"/>
    <w:rsid w:val="00975072"/>
    <w:rsid w:val="009750AF"/>
    <w:rsid w:val="0097515E"/>
    <w:rsid w:val="009751D8"/>
    <w:rsid w:val="00975352"/>
    <w:rsid w:val="00975468"/>
    <w:rsid w:val="009757D7"/>
    <w:rsid w:val="00975CE1"/>
    <w:rsid w:val="00975EF0"/>
    <w:rsid w:val="00975F5A"/>
    <w:rsid w:val="00976126"/>
    <w:rsid w:val="00976199"/>
    <w:rsid w:val="009761D4"/>
    <w:rsid w:val="00976375"/>
    <w:rsid w:val="009764AF"/>
    <w:rsid w:val="009765DA"/>
    <w:rsid w:val="0097670F"/>
    <w:rsid w:val="0097697F"/>
    <w:rsid w:val="00976AC4"/>
    <w:rsid w:val="00976B32"/>
    <w:rsid w:val="00976BA3"/>
    <w:rsid w:val="00976D39"/>
    <w:rsid w:val="00976F38"/>
    <w:rsid w:val="00976FCB"/>
    <w:rsid w:val="0097706F"/>
    <w:rsid w:val="0097733C"/>
    <w:rsid w:val="009776D8"/>
    <w:rsid w:val="00977903"/>
    <w:rsid w:val="0097795D"/>
    <w:rsid w:val="00977A60"/>
    <w:rsid w:val="00977AC7"/>
    <w:rsid w:val="00977DEB"/>
    <w:rsid w:val="00980108"/>
    <w:rsid w:val="0098016E"/>
    <w:rsid w:val="00980245"/>
    <w:rsid w:val="0098038B"/>
    <w:rsid w:val="009803FC"/>
    <w:rsid w:val="009809DF"/>
    <w:rsid w:val="00980E4C"/>
    <w:rsid w:val="00980F33"/>
    <w:rsid w:val="00980FCD"/>
    <w:rsid w:val="009812E7"/>
    <w:rsid w:val="009813C0"/>
    <w:rsid w:val="00981624"/>
    <w:rsid w:val="009818BA"/>
    <w:rsid w:val="009819B7"/>
    <w:rsid w:val="00981C40"/>
    <w:rsid w:val="00981FAE"/>
    <w:rsid w:val="0098213C"/>
    <w:rsid w:val="009824DA"/>
    <w:rsid w:val="00982555"/>
    <w:rsid w:val="00982C39"/>
    <w:rsid w:val="00982D7C"/>
    <w:rsid w:val="00982DBE"/>
    <w:rsid w:val="00982F77"/>
    <w:rsid w:val="00982FDB"/>
    <w:rsid w:val="00982FDC"/>
    <w:rsid w:val="009835A3"/>
    <w:rsid w:val="009836CC"/>
    <w:rsid w:val="009837F3"/>
    <w:rsid w:val="00983870"/>
    <w:rsid w:val="00983897"/>
    <w:rsid w:val="00983ACA"/>
    <w:rsid w:val="00983C67"/>
    <w:rsid w:val="00983D43"/>
    <w:rsid w:val="00983EC5"/>
    <w:rsid w:val="00983EDB"/>
    <w:rsid w:val="0098400F"/>
    <w:rsid w:val="00984234"/>
    <w:rsid w:val="009842D2"/>
    <w:rsid w:val="009843D5"/>
    <w:rsid w:val="009844A5"/>
    <w:rsid w:val="00984510"/>
    <w:rsid w:val="00984835"/>
    <w:rsid w:val="009849C6"/>
    <w:rsid w:val="00984BDB"/>
    <w:rsid w:val="00984CFF"/>
    <w:rsid w:val="00984DA3"/>
    <w:rsid w:val="00984E24"/>
    <w:rsid w:val="00984E2E"/>
    <w:rsid w:val="00984ECD"/>
    <w:rsid w:val="00985756"/>
    <w:rsid w:val="0098595D"/>
    <w:rsid w:val="00985975"/>
    <w:rsid w:val="00985AA5"/>
    <w:rsid w:val="00985AE7"/>
    <w:rsid w:val="00985CB1"/>
    <w:rsid w:val="00985E29"/>
    <w:rsid w:val="0098606E"/>
    <w:rsid w:val="00986481"/>
    <w:rsid w:val="009865B8"/>
    <w:rsid w:val="00986698"/>
    <w:rsid w:val="009867BC"/>
    <w:rsid w:val="0098689A"/>
    <w:rsid w:val="00986970"/>
    <w:rsid w:val="00986EB2"/>
    <w:rsid w:val="00986F14"/>
    <w:rsid w:val="00987086"/>
    <w:rsid w:val="0098708F"/>
    <w:rsid w:val="009870A2"/>
    <w:rsid w:val="00987116"/>
    <w:rsid w:val="009871EC"/>
    <w:rsid w:val="00987469"/>
    <w:rsid w:val="00987536"/>
    <w:rsid w:val="00987677"/>
    <w:rsid w:val="009876A9"/>
    <w:rsid w:val="009876D4"/>
    <w:rsid w:val="0098785F"/>
    <w:rsid w:val="00987B48"/>
    <w:rsid w:val="00987B51"/>
    <w:rsid w:val="00987C52"/>
    <w:rsid w:val="00987D4C"/>
    <w:rsid w:val="00987D68"/>
    <w:rsid w:val="00987DA6"/>
    <w:rsid w:val="00987E47"/>
    <w:rsid w:val="00990026"/>
    <w:rsid w:val="0099004F"/>
    <w:rsid w:val="00990073"/>
    <w:rsid w:val="009900DC"/>
    <w:rsid w:val="00990242"/>
    <w:rsid w:val="009903EE"/>
    <w:rsid w:val="0099065F"/>
    <w:rsid w:val="00990686"/>
    <w:rsid w:val="009906D8"/>
    <w:rsid w:val="00990A68"/>
    <w:rsid w:val="00990AC5"/>
    <w:rsid w:val="00990C2D"/>
    <w:rsid w:val="00990D24"/>
    <w:rsid w:val="00990D57"/>
    <w:rsid w:val="00990DF7"/>
    <w:rsid w:val="0099114B"/>
    <w:rsid w:val="009911C3"/>
    <w:rsid w:val="0099134C"/>
    <w:rsid w:val="00991531"/>
    <w:rsid w:val="009916F9"/>
    <w:rsid w:val="0099180A"/>
    <w:rsid w:val="0099183B"/>
    <w:rsid w:val="00991976"/>
    <w:rsid w:val="009919FD"/>
    <w:rsid w:val="00991A55"/>
    <w:rsid w:val="00991E38"/>
    <w:rsid w:val="00992071"/>
    <w:rsid w:val="0099256C"/>
    <w:rsid w:val="00992674"/>
    <w:rsid w:val="00992786"/>
    <w:rsid w:val="00992863"/>
    <w:rsid w:val="00992B2D"/>
    <w:rsid w:val="00992C67"/>
    <w:rsid w:val="00992E38"/>
    <w:rsid w:val="00993301"/>
    <w:rsid w:val="0099335B"/>
    <w:rsid w:val="009934C9"/>
    <w:rsid w:val="009936D7"/>
    <w:rsid w:val="00993717"/>
    <w:rsid w:val="009939F5"/>
    <w:rsid w:val="00993A98"/>
    <w:rsid w:val="00993A9C"/>
    <w:rsid w:val="00993F97"/>
    <w:rsid w:val="009948C1"/>
    <w:rsid w:val="0099493C"/>
    <w:rsid w:val="009949B3"/>
    <w:rsid w:val="009949E4"/>
    <w:rsid w:val="00994A53"/>
    <w:rsid w:val="00994B9E"/>
    <w:rsid w:val="00994BF1"/>
    <w:rsid w:val="00994C9B"/>
    <w:rsid w:val="00994EF6"/>
    <w:rsid w:val="00994F27"/>
    <w:rsid w:val="00994FF4"/>
    <w:rsid w:val="00995070"/>
    <w:rsid w:val="009955BC"/>
    <w:rsid w:val="009955D0"/>
    <w:rsid w:val="00995B85"/>
    <w:rsid w:val="00995C6A"/>
    <w:rsid w:val="00995C93"/>
    <w:rsid w:val="00995FD9"/>
    <w:rsid w:val="00996025"/>
    <w:rsid w:val="009960B8"/>
    <w:rsid w:val="00996216"/>
    <w:rsid w:val="00996287"/>
    <w:rsid w:val="009963AB"/>
    <w:rsid w:val="00996574"/>
    <w:rsid w:val="009965CA"/>
    <w:rsid w:val="009966AB"/>
    <w:rsid w:val="009968A3"/>
    <w:rsid w:val="00996989"/>
    <w:rsid w:val="00996A86"/>
    <w:rsid w:val="00996AD9"/>
    <w:rsid w:val="00996C1B"/>
    <w:rsid w:val="00996D74"/>
    <w:rsid w:val="009972C3"/>
    <w:rsid w:val="00997368"/>
    <w:rsid w:val="00997370"/>
    <w:rsid w:val="0099764D"/>
    <w:rsid w:val="00997898"/>
    <w:rsid w:val="009978BD"/>
    <w:rsid w:val="009979F1"/>
    <w:rsid w:val="00997A06"/>
    <w:rsid w:val="00997B03"/>
    <w:rsid w:val="00997BA9"/>
    <w:rsid w:val="00997E55"/>
    <w:rsid w:val="00997E65"/>
    <w:rsid w:val="00997F3D"/>
    <w:rsid w:val="009A01AA"/>
    <w:rsid w:val="009A03CB"/>
    <w:rsid w:val="009A0494"/>
    <w:rsid w:val="009A04B9"/>
    <w:rsid w:val="009A0535"/>
    <w:rsid w:val="009A05E5"/>
    <w:rsid w:val="009A05F1"/>
    <w:rsid w:val="009A07DA"/>
    <w:rsid w:val="009A081D"/>
    <w:rsid w:val="009A0844"/>
    <w:rsid w:val="009A0B04"/>
    <w:rsid w:val="009A0B8C"/>
    <w:rsid w:val="009A0C3D"/>
    <w:rsid w:val="009A0E3F"/>
    <w:rsid w:val="009A0EE8"/>
    <w:rsid w:val="009A0FF8"/>
    <w:rsid w:val="009A1516"/>
    <w:rsid w:val="009A15DD"/>
    <w:rsid w:val="009A1604"/>
    <w:rsid w:val="009A17CB"/>
    <w:rsid w:val="009A18A7"/>
    <w:rsid w:val="009A1C38"/>
    <w:rsid w:val="009A1D82"/>
    <w:rsid w:val="009A1DD4"/>
    <w:rsid w:val="009A1DE9"/>
    <w:rsid w:val="009A2203"/>
    <w:rsid w:val="009A2B02"/>
    <w:rsid w:val="009A2B78"/>
    <w:rsid w:val="009A2D3D"/>
    <w:rsid w:val="009A2D88"/>
    <w:rsid w:val="009A2DF1"/>
    <w:rsid w:val="009A2E6B"/>
    <w:rsid w:val="009A31FC"/>
    <w:rsid w:val="009A3299"/>
    <w:rsid w:val="009A32B2"/>
    <w:rsid w:val="009A349D"/>
    <w:rsid w:val="009A3594"/>
    <w:rsid w:val="009A3622"/>
    <w:rsid w:val="009A39DA"/>
    <w:rsid w:val="009A3C95"/>
    <w:rsid w:val="009A3F0E"/>
    <w:rsid w:val="009A4529"/>
    <w:rsid w:val="009A46D2"/>
    <w:rsid w:val="009A46FE"/>
    <w:rsid w:val="009A4B31"/>
    <w:rsid w:val="009A4C06"/>
    <w:rsid w:val="009A4CF4"/>
    <w:rsid w:val="009A5083"/>
    <w:rsid w:val="009A50A8"/>
    <w:rsid w:val="009A51A5"/>
    <w:rsid w:val="009A52E0"/>
    <w:rsid w:val="009A573D"/>
    <w:rsid w:val="009A5791"/>
    <w:rsid w:val="009A5820"/>
    <w:rsid w:val="009A586D"/>
    <w:rsid w:val="009A588E"/>
    <w:rsid w:val="009A5D25"/>
    <w:rsid w:val="009A5D79"/>
    <w:rsid w:val="009A5FDE"/>
    <w:rsid w:val="009A6072"/>
    <w:rsid w:val="009A61B3"/>
    <w:rsid w:val="009A61FE"/>
    <w:rsid w:val="009A68F0"/>
    <w:rsid w:val="009A6B2E"/>
    <w:rsid w:val="009A6C31"/>
    <w:rsid w:val="009A6CAE"/>
    <w:rsid w:val="009A70D2"/>
    <w:rsid w:val="009A782F"/>
    <w:rsid w:val="009A7B52"/>
    <w:rsid w:val="009A7C08"/>
    <w:rsid w:val="009A7F3F"/>
    <w:rsid w:val="009B00B6"/>
    <w:rsid w:val="009B01E8"/>
    <w:rsid w:val="009B0429"/>
    <w:rsid w:val="009B0997"/>
    <w:rsid w:val="009B0B0F"/>
    <w:rsid w:val="009B0E27"/>
    <w:rsid w:val="009B122A"/>
    <w:rsid w:val="009B1291"/>
    <w:rsid w:val="009B12E0"/>
    <w:rsid w:val="009B13E1"/>
    <w:rsid w:val="009B1507"/>
    <w:rsid w:val="009B171F"/>
    <w:rsid w:val="009B1F9A"/>
    <w:rsid w:val="009B1FE0"/>
    <w:rsid w:val="009B2381"/>
    <w:rsid w:val="009B2479"/>
    <w:rsid w:val="009B265A"/>
    <w:rsid w:val="009B28B3"/>
    <w:rsid w:val="009B2B92"/>
    <w:rsid w:val="009B2CCB"/>
    <w:rsid w:val="009B2CEB"/>
    <w:rsid w:val="009B2DBB"/>
    <w:rsid w:val="009B3398"/>
    <w:rsid w:val="009B339E"/>
    <w:rsid w:val="009B34C8"/>
    <w:rsid w:val="009B3BA6"/>
    <w:rsid w:val="009B3DA5"/>
    <w:rsid w:val="009B3DF6"/>
    <w:rsid w:val="009B3FC8"/>
    <w:rsid w:val="009B42D4"/>
    <w:rsid w:val="009B4453"/>
    <w:rsid w:val="009B45BD"/>
    <w:rsid w:val="009B46C4"/>
    <w:rsid w:val="009B46E0"/>
    <w:rsid w:val="009B493A"/>
    <w:rsid w:val="009B49A2"/>
    <w:rsid w:val="009B49AA"/>
    <w:rsid w:val="009B49CB"/>
    <w:rsid w:val="009B49E1"/>
    <w:rsid w:val="009B4A88"/>
    <w:rsid w:val="009B4B85"/>
    <w:rsid w:val="009B4C82"/>
    <w:rsid w:val="009B4E7B"/>
    <w:rsid w:val="009B540A"/>
    <w:rsid w:val="009B5555"/>
    <w:rsid w:val="009B558C"/>
    <w:rsid w:val="009B5AA5"/>
    <w:rsid w:val="009B5B76"/>
    <w:rsid w:val="009B5BAF"/>
    <w:rsid w:val="009B5C9A"/>
    <w:rsid w:val="009B5F94"/>
    <w:rsid w:val="009B5FAE"/>
    <w:rsid w:val="009B63ED"/>
    <w:rsid w:val="009B641E"/>
    <w:rsid w:val="009B64EA"/>
    <w:rsid w:val="009B6831"/>
    <w:rsid w:val="009B6D68"/>
    <w:rsid w:val="009B6F7E"/>
    <w:rsid w:val="009B714A"/>
    <w:rsid w:val="009B748D"/>
    <w:rsid w:val="009B7551"/>
    <w:rsid w:val="009B7771"/>
    <w:rsid w:val="009B7800"/>
    <w:rsid w:val="009B7825"/>
    <w:rsid w:val="009B79F6"/>
    <w:rsid w:val="009B7C5D"/>
    <w:rsid w:val="009C008B"/>
    <w:rsid w:val="009C010E"/>
    <w:rsid w:val="009C0164"/>
    <w:rsid w:val="009C0404"/>
    <w:rsid w:val="009C0831"/>
    <w:rsid w:val="009C0946"/>
    <w:rsid w:val="009C0985"/>
    <w:rsid w:val="009C0ACF"/>
    <w:rsid w:val="009C0CBA"/>
    <w:rsid w:val="009C0E8C"/>
    <w:rsid w:val="009C0F25"/>
    <w:rsid w:val="009C0F6E"/>
    <w:rsid w:val="009C1298"/>
    <w:rsid w:val="009C1394"/>
    <w:rsid w:val="009C1412"/>
    <w:rsid w:val="009C1528"/>
    <w:rsid w:val="009C16D6"/>
    <w:rsid w:val="009C196E"/>
    <w:rsid w:val="009C1B64"/>
    <w:rsid w:val="009C1DBB"/>
    <w:rsid w:val="009C1EBF"/>
    <w:rsid w:val="009C1FA0"/>
    <w:rsid w:val="009C209B"/>
    <w:rsid w:val="009C21CF"/>
    <w:rsid w:val="009C25A9"/>
    <w:rsid w:val="009C2789"/>
    <w:rsid w:val="009C2869"/>
    <w:rsid w:val="009C2919"/>
    <w:rsid w:val="009C2A71"/>
    <w:rsid w:val="009C2A96"/>
    <w:rsid w:val="009C2E38"/>
    <w:rsid w:val="009C2FD7"/>
    <w:rsid w:val="009C307C"/>
    <w:rsid w:val="009C308F"/>
    <w:rsid w:val="009C3179"/>
    <w:rsid w:val="009C31B8"/>
    <w:rsid w:val="009C3304"/>
    <w:rsid w:val="009C3643"/>
    <w:rsid w:val="009C3682"/>
    <w:rsid w:val="009C38AF"/>
    <w:rsid w:val="009C38B1"/>
    <w:rsid w:val="009C3A86"/>
    <w:rsid w:val="009C3F44"/>
    <w:rsid w:val="009C3FCC"/>
    <w:rsid w:val="009C4058"/>
    <w:rsid w:val="009C47BC"/>
    <w:rsid w:val="009C4991"/>
    <w:rsid w:val="009C4A75"/>
    <w:rsid w:val="009C513C"/>
    <w:rsid w:val="009C5217"/>
    <w:rsid w:val="009C5379"/>
    <w:rsid w:val="009C54A7"/>
    <w:rsid w:val="009C54F2"/>
    <w:rsid w:val="009C5556"/>
    <w:rsid w:val="009C5584"/>
    <w:rsid w:val="009C5591"/>
    <w:rsid w:val="009C5B32"/>
    <w:rsid w:val="009C5C22"/>
    <w:rsid w:val="009C5C80"/>
    <w:rsid w:val="009C5D22"/>
    <w:rsid w:val="009C5F03"/>
    <w:rsid w:val="009C5F24"/>
    <w:rsid w:val="009C601F"/>
    <w:rsid w:val="009C6031"/>
    <w:rsid w:val="009C62AA"/>
    <w:rsid w:val="009C64CF"/>
    <w:rsid w:val="009C66E6"/>
    <w:rsid w:val="009C679C"/>
    <w:rsid w:val="009C6856"/>
    <w:rsid w:val="009C6891"/>
    <w:rsid w:val="009C692A"/>
    <w:rsid w:val="009C6A43"/>
    <w:rsid w:val="009C6B0A"/>
    <w:rsid w:val="009C6DA6"/>
    <w:rsid w:val="009C6E5B"/>
    <w:rsid w:val="009C707E"/>
    <w:rsid w:val="009C7236"/>
    <w:rsid w:val="009C7336"/>
    <w:rsid w:val="009C7395"/>
    <w:rsid w:val="009C73F6"/>
    <w:rsid w:val="009C74D3"/>
    <w:rsid w:val="009C75B9"/>
    <w:rsid w:val="009C768E"/>
    <w:rsid w:val="009C772A"/>
    <w:rsid w:val="009C7814"/>
    <w:rsid w:val="009C7C0A"/>
    <w:rsid w:val="009C7CA3"/>
    <w:rsid w:val="009C7CBE"/>
    <w:rsid w:val="009C7FE3"/>
    <w:rsid w:val="009D03FD"/>
    <w:rsid w:val="009D0466"/>
    <w:rsid w:val="009D0638"/>
    <w:rsid w:val="009D0792"/>
    <w:rsid w:val="009D0B73"/>
    <w:rsid w:val="009D0FF6"/>
    <w:rsid w:val="009D1017"/>
    <w:rsid w:val="009D13F0"/>
    <w:rsid w:val="009D186E"/>
    <w:rsid w:val="009D1CB0"/>
    <w:rsid w:val="009D1D55"/>
    <w:rsid w:val="009D2233"/>
    <w:rsid w:val="009D25CB"/>
    <w:rsid w:val="009D2679"/>
    <w:rsid w:val="009D2966"/>
    <w:rsid w:val="009D32DD"/>
    <w:rsid w:val="009D33AD"/>
    <w:rsid w:val="009D33BE"/>
    <w:rsid w:val="009D34AB"/>
    <w:rsid w:val="009D3764"/>
    <w:rsid w:val="009D3775"/>
    <w:rsid w:val="009D3AAC"/>
    <w:rsid w:val="009D3AAD"/>
    <w:rsid w:val="009D3C6E"/>
    <w:rsid w:val="009D3CEA"/>
    <w:rsid w:val="009D3D45"/>
    <w:rsid w:val="009D3DAC"/>
    <w:rsid w:val="009D4266"/>
    <w:rsid w:val="009D42B6"/>
    <w:rsid w:val="009D432F"/>
    <w:rsid w:val="009D4353"/>
    <w:rsid w:val="009D4414"/>
    <w:rsid w:val="009D46AA"/>
    <w:rsid w:val="009D47EE"/>
    <w:rsid w:val="009D482F"/>
    <w:rsid w:val="009D48A8"/>
    <w:rsid w:val="009D4A76"/>
    <w:rsid w:val="009D4C09"/>
    <w:rsid w:val="009D4C51"/>
    <w:rsid w:val="009D4C5D"/>
    <w:rsid w:val="009D57B6"/>
    <w:rsid w:val="009D5B1E"/>
    <w:rsid w:val="009D5C2C"/>
    <w:rsid w:val="009D5C95"/>
    <w:rsid w:val="009D5E7A"/>
    <w:rsid w:val="009D6030"/>
    <w:rsid w:val="009D6191"/>
    <w:rsid w:val="009D6228"/>
    <w:rsid w:val="009D628D"/>
    <w:rsid w:val="009D6660"/>
    <w:rsid w:val="009D6A6E"/>
    <w:rsid w:val="009D6B43"/>
    <w:rsid w:val="009D6D3E"/>
    <w:rsid w:val="009D6F2A"/>
    <w:rsid w:val="009D714F"/>
    <w:rsid w:val="009D7210"/>
    <w:rsid w:val="009D7243"/>
    <w:rsid w:val="009D7281"/>
    <w:rsid w:val="009D72BD"/>
    <w:rsid w:val="009D730A"/>
    <w:rsid w:val="009D7382"/>
    <w:rsid w:val="009D745A"/>
    <w:rsid w:val="009D74AD"/>
    <w:rsid w:val="009D7521"/>
    <w:rsid w:val="009D79DC"/>
    <w:rsid w:val="009D7A70"/>
    <w:rsid w:val="009D7C0A"/>
    <w:rsid w:val="009D7DE2"/>
    <w:rsid w:val="009E0115"/>
    <w:rsid w:val="009E0527"/>
    <w:rsid w:val="009E05C6"/>
    <w:rsid w:val="009E080A"/>
    <w:rsid w:val="009E08F6"/>
    <w:rsid w:val="009E0926"/>
    <w:rsid w:val="009E0B77"/>
    <w:rsid w:val="009E11CA"/>
    <w:rsid w:val="009E126B"/>
    <w:rsid w:val="009E12C2"/>
    <w:rsid w:val="009E1319"/>
    <w:rsid w:val="009E1415"/>
    <w:rsid w:val="009E178C"/>
    <w:rsid w:val="009E1898"/>
    <w:rsid w:val="009E1A5D"/>
    <w:rsid w:val="009E1A7D"/>
    <w:rsid w:val="009E1AE8"/>
    <w:rsid w:val="009E1CB6"/>
    <w:rsid w:val="009E1CEF"/>
    <w:rsid w:val="009E1DCB"/>
    <w:rsid w:val="009E1DE8"/>
    <w:rsid w:val="009E20E8"/>
    <w:rsid w:val="009E211B"/>
    <w:rsid w:val="009E2160"/>
    <w:rsid w:val="009E221F"/>
    <w:rsid w:val="009E22BB"/>
    <w:rsid w:val="009E236E"/>
    <w:rsid w:val="009E2644"/>
    <w:rsid w:val="009E26DE"/>
    <w:rsid w:val="009E293E"/>
    <w:rsid w:val="009E2A53"/>
    <w:rsid w:val="009E2D03"/>
    <w:rsid w:val="009E2F7B"/>
    <w:rsid w:val="009E3037"/>
    <w:rsid w:val="009E3190"/>
    <w:rsid w:val="009E31C1"/>
    <w:rsid w:val="009E31D9"/>
    <w:rsid w:val="009E31E5"/>
    <w:rsid w:val="009E33C7"/>
    <w:rsid w:val="009E357A"/>
    <w:rsid w:val="009E35D0"/>
    <w:rsid w:val="009E35E1"/>
    <w:rsid w:val="009E3A9C"/>
    <w:rsid w:val="009E3C30"/>
    <w:rsid w:val="009E3DA4"/>
    <w:rsid w:val="009E3E38"/>
    <w:rsid w:val="009E4002"/>
    <w:rsid w:val="009E47EF"/>
    <w:rsid w:val="009E480F"/>
    <w:rsid w:val="009E4828"/>
    <w:rsid w:val="009E4951"/>
    <w:rsid w:val="009E4A49"/>
    <w:rsid w:val="009E4B48"/>
    <w:rsid w:val="009E4BF4"/>
    <w:rsid w:val="009E4CD2"/>
    <w:rsid w:val="009E4EAF"/>
    <w:rsid w:val="009E4F5A"/>
    <w:rsid w:val="009E509D"/>
    <w:rsid w:val="009E533A"/>
    <w:rsid w:val="009E53C2"/>
    <w:rsid w:val="009E54CA"/>
    <w:rsid w:val="009E55AD"/>
    <w:rsid w:val="009E57BA"/>
    <w:rsid w:val="009E5803"/>
    <w:rsid w:val="009E5969"/>
    <w:rsid w:val="009E5FC0"/>
    <w:rsid w:val="009E6077"/>
    <w:rsid w:val="009E62BD"/>
    <w:rsid w:val="009E62C7"/>
    <w:rsid w:val="009E62E5"/>
    <w:rsid w:val="009E63D7"/>
    <w:rsid w:val="009E644A"/>
    <w:rsid w:val="009E65E1"/>
    <w:rsid w:val="009E68DF"/>
    <w:rsid w:val="009E6A0E"/>
    <w:rsid w:val="009E6A99"/>
    <w:rsid w:val="009E6CB0"/>
    <w:rsid w:val="009E6E1D"/>
    <w:rsid w:val="009E7190"/>
    <w:rsid w:val="009E71F3"/>
    <w:rsid w:val="009E72C3"/>
    <w:rsid w:val="009E7471"/>
    <w:rsid w:val="009E77EE"/>
    <w:rsid w:val="009E79A4"/>
    <w:rsid w:val="009E7E61"/>
    <w:rsid w:val="009F0152"/>
    <w:rsid w:val="009F0197"/>
    <w:rsid w:val="009F0292"/>
    <w:rsid w:val="009F03BC"/>
    <w:rsid w:val="009F0409"/>
    <w:rsid w:val="009F0539"/>
    <w:rsid w:val="009F0702"/>
    <w:rsid w:val="009F07F1"/>
    <w:rsid w:val="009F087C"/>
    <w:rsid w:val="009F08C0"/>
    <w:rsid w:val="009F0985"/>
    <w:rsid w:val="009F0AC4"/>
    <w:rsid w:val="009F0B04"/>
    <w:rsid w:val="009F0B41"/>
    <w:rsid w:val="009F0B6C"/>
    <w:rsid w:val="009F0BD5"/>
    <w:rsid w:val="009F0BDE"/>
    <w:rsid w:val="009F0DE8"/>
    <w:rsid w:val="009F0E05"/>
    <w:rsid w:val="009F0E4C"/>
    <w:rsid w:val="009F1692"/>
    <w:rsid w:val="009F186D"/>
    <w:rsid w:val="009F188F"/>
    <w:rsid w:val="009F1A84"/>
    <w:rsid w:val="009F1ECB"/>
    <w:rsid w:val="009F1F01"/>
    <w:rsid w:val="009F207C"/>
    <w:rsid w:val="009F21CD"/>
    <w:rsid w:val="009F22A8"/>
    <w:rsid w:val="009F22DC"/>
    <w:rsid w:val="009F23C9"/>
    <w:rsid w:val="009F2537"/>
    <w:rsid w:val="009F2B6F"/>
    <w:rsid w:val="009F2D71"/>
    <w:rsid w:val="009F2E2F"/>
    <w:rsid w:val="009F2FA0"/>
    <w:rsid w:val="009F32C5"/>
    <w:rsid w:val="009F3554"/>
    <w:rsid w:val="009F3627"/>
    <w:rsid w:val="009F3729"/>
    <w:rsid w:val="009F3B64"/>
    <w:rsid w:val="009F3F4B"/>
    <w:rsid w:val="009F40A1"/>
    <w:rsid w:val="009F41A5"/>
    <w:rsid w:val="009F41DF"/>
    <w:rsid w:val="009F4302"/>
    <w:rsid w:val="009F43B1"/>
    <w:rsid w:val="009F43FA"/>
    <w:rsid w:val="009F4B1E"/>
    <w:rsid w:val="009F4C66"/>
    <w:rsid w:val="009F4CDE"/>
    <w:rsid w:val="009F4D4C"/>
    <w:rsid w:val="009F4DB1"/>
    <w:rsid w:val="009F5105"/>
    <w:rsid w:val="009F5464"/>
    <w:rsid w:val="009F547A"/>
    <w:rsid w:val="009F548E"/>
    <w:rsid w:val="009F54DA"/>
    <w:rsid w:val="009F5733"/>
    <w:rsid w:val="009F5CF2"/>
    <w:rsid w:val="009F5F85"/>
    <w:rsid w:val="009F6240"/>
    <w:rsid w:val="009F6391"/>
    <w:rsid w:val="009F6685"/>
    <w:rsid w:val="009F68B1"/>
    <w:rsid w:val="009F69D5"/>
    <w:rsid w:val="009F6B1F"/>
    <w:rsid w:val="009F6B33"/>
    <w:rsid w:val="009F6BA7"/>
    <w:rsid w:val="009F6BFA"/>
    <w:rsid w:val="009F6CC2"/>
    <w:rsid w:val="009F6DA2"/>
    <w:rsid w:val="009F6E8C"/>
    <w:rsid w:val="009F717C"/>
    <w:rsid w:val="009F718C"/>
    <w:rsid w:val="009F7327"/>
    <w:rsid w:val="009F7816"/>
    <w:rsid w:val="009F78EA"/>
    <w:rsid w:val="009F7A00"/>
    <w:rsid w:val="009F7B15"/>
    <w:rsid w:val="009F7D1E"/>
    <w:rsid w:val="009F7E1D"/>
    <w:rsid w:val="009F7EA4"/>
    <w:rsid w:val="00A00280"/>
    <w:rsid w:val="00A002E6"/>
    <w:rsid w:val="00A006A1"/>
    <w:rsid w:val="00A006D0"/>
    <w:rsid w:val="00A00CE6"/>
    <w:rsid w:val="00A00E01"/>
    <w:rsid w:val="00A00E48"/>
    <w:rsid w:val="00A00E62"/>
    <w:rsid w:val="00A00FCD"/>
    <w:rsid w:val="00A0104C"/>
    <w:rsid w:val="00A0108B"/>
    <w:rsid w:val="00A01278"/>
    <w:rsid w:val="00A016C3"/>
    <w:rsid w:val="00A01796"/>
    <w:rsid w:val="00A017E4"/>
    <w:rsid w:val="00A01868"/>
    <w:rsid w:val="00A01881"/>
    <w:rsid w:val="00A01E67"/>
    <w:rsid w:val="00A01F7B"/>
    <w:rsid w:val="00A02102"/>
    <w:rsid w:val="00A0216B"/>
    <w:rsid w:val="00A0242B"/>
    <w:rsid w:val="00A02453"/>
    <w:rsid w:val="00A024F0"/>
    <w:rsid w:val="00A02809"/>
    <w:rsid w:val="00A02881"/>
    <w:rsid w:val="00A02919"/>
    <w:rsid w:val="00A029AE"/>
    <w:rsid w:val="00A02B0D"/>
    <w:rsid w:val="00A02BA8"/>
    <w:rsid w:val="00A02BC2"/>
    <w:rsid w:val="00A02F98"/>
    <w:rsid w:val="00A02FFF"/>
    <w:rsid w:val="00A03057"/>
    <w:rsid w:val="00A0308B"/>
    <w:rsid w:val="00A030A3"/>
    <w:rsid w:val="00A03131"/>
    <w:rsid w:val="00A03176"/>
    <w:rsid w:val="00A03184"/>
    <w:rsid w:val="00A031AC"/>
    <w:rsid w:val="00A031BE"/>
    <w:rsid w:val="00A033A4"/>
    <w:rsid w:val="00A03912"/>
    <w:rsid w:val="00A0392B"/>
    <w:rsid w:val="00A03A24"/>
    <w:rsid w:val="00A03A61"/>
    <w:rsid w:val="00A03BD1"/>
    <w:rsid w:val="00A03DB2"/>
    <w:rsid w:val="00A04033"/>
    <w:rsid w:val="00A0414E"/>
    <w:rsid w:val="00A04227"/>
    <w:rsid w:val="00A04329"/>
    <w:rsid w:val="00A04336"/>
    <w:rsid w:val="00A04450"/>
    <w:rsid w:val="00A04568"/>
    <w:rsid w:val="00A04BA6"/>
    <w:rsid w:val="00A04D46"/>
    <w:rsid w:val="00A04DAD"/>
    <w:rsid w:val="00A050C2"/>
    <w:rsid w:val="00A05570"/>
    <w:rsid w:val="00A05BA7"/>
    <w:rsid w:val="00A05D4C"/>
    <w:rsid w:val="00A05E5A"/>
    <w:rsid w:val="00A05F92"/>
    <w:rsid w:val="00A062E9"/>
    <w:rsid w:val="00A0636B"/>
    <w:rsid w:val="00A0638F"/>
    <w:rsid w:val="00A064CB"/>
    <w:rsid w:val="00A06588"/>
    <w:rsid w:val="00A06637"/>
    <w:rsid w:val="00A0677A"/>
    <w:rsid w:val="00A067E5"/>
    <w:rsid w:val="00A06C51"/>
    <w:rsid w:val="00A06D63"/>
    <w:rsid w:val="00A06FDD"/>
    <w:rsid w:val="00A071CF"/>
    <w:rsid w:val="00A0723C"/>
    <w:rsid w:val="00A07266"/>
    <w:rsid w:val="00A072D9"/>
    <w:rsid w:val="00A07388"/>
    <w:rsid w:val="00A073EF"/>
    <w:rsid w:val="00A07585"/>
    <w:rsid w:val="00A075B8"/>
    <w:rsid w:val="00A076E1"/>
    <w:rsid w:val="00A07839"/>
    <w:rsid w:val="00A07A9F"/>
    <w:rsid w:val="00A07F6D"/>
    <w:rsid w:val="00A10164"/>
    <w:rsid w:val="00A106DD"/>
    <w:rsid w:val="00A1081E"/>
    <w:rsid w:val="00A10A29"/>
    <w:rsid w:val="00A10B92"/>
    <w:rsid w:val="00A113BF"/>
    <w:rsid w:val="00A115A9"/>
    <w:rsid w:val="00A1164A"/>
    <w:rsid w:val="00A11681"/>
    <w:rsid w:val="00A1195A"/>
    <w:rsid w:val="00A119EB"/>
    <w:rsid w:val="00A11A3E"/>
    <w:rsid w:val="00A11A64"/>
    <w:rsid w:val="00A11A85"/>
    <w:rsid w:val="00A11B4B"/>
    <w:rsid w:val="00A11D6A"/>
    <w:rsid w:val="00A11ECD"/>
    <w:rsid w:val="00A11ED6"/>
    <w:rsid w:val="00A1207D"/>
    <w:rsid w:val="00A120E8"/>
    <w:rsid w:val="00A1216B"/>
    <w:rsid w:val="00A122D5"/>
    <w:rsid w:val="00A125F7"/>
    <w:rsid w:val="00A12621"/>
    <w:rsid w:val="00A12776"/>
    <w:rsid w:val="00A127DA"/>
    <w:rsid w:val="00A127F3"/>
    <w:rsid w:val="00A12A82"/>
    <w:rsid w:val="00A12B3D"/>
    <w:rsid w:val="00A12C29"/>
    <w:rsid w:val="00A12E53"/>
    <w:rsid w:val="00A13212"/>
    <w:rsid w:val="00A132B6"/>
    <w:rsid w:val="00A134F5"/>
    <w:rsid w:val="00A13511"/>
    <w:rsid w:val="00A1369C"/>
    <w:rsid w:val="00A1370C"/>
    <w:rsid w:val="00A138B6"/>
    <w:rsid w:val="00A139C5"/>
    <w:rsid w:val="00A13D45"/>
    <w:rsid w:val="00A140EB"/>
    <w:rsid w:val="00A145C1"/>
    <w:rsid w:val="00A146AB"/>
    <w:rsid w:val="00A146C0"/>
    <w:rsid w:val="00A147F8"/>
    <w:rsid w:val="00A14CAA"/>
    <w:rsid w:val="00A14D87"/>
    <w:rsid w:val="00A14E66"/>
    <w:rsid w:val="00A15256"/>
    <w:rsid w:val="00A153CE"/>
    <w:rsid w:val="00A155E4"/>
    <w:rsid w:val="00A15959"/>
    <w:rsid w:val="00A15B11"/>
    <w:rsid w:val="00A15D09"/>
    <w:rsid w:val="00A15D90"/>
    <w:rsid w:val="00A15FA5"/>
    <w:rsid w:val="00A161F9"/>
    <w:rsid w:val="00A16431"/>
    <w:rsid w:val="00A1643B"/>
    <w:rsid w:val="00A164DC"/>
    <w:rsid w:val="00A16570"/>
    <w:rsid w:val="00A165D1"/>
    <w:rsid w:val="00A166C4"/>
    <w:rsid w:val="00A16829"/>
    <w:rsid w:val="00A16A77"/>
    <w:rsid w:val="00A16B39"/>
    <w:rsid w:val="00A16BE4"/>
    <w:rsid w:val="00A16EA5"/>
    <w:rsid w:val="00A170CF"/>
    <w:rsid w:val="00A1715D"/>
    <w:rsid w:val="00A174C5"/>
    <w:rsid w:val="00A1774F"/>
    <w:rsid w:val="00A17933"/>
    <w:rsid w:val="00A17B1A"/>
    <w:rsid w:val="00A17CCD"/>
    <w:rsid w:val="00A20174"/>
    <w:rsid w:val="00A204CA"/>
    <w:rsid w:val="00A20575"/>
    <w:rsid w:val="00A205B9"/>
    <w:rsid w:val="00A20C7C"/>
    <w:rsid w:val="00A20D2D"/>
    <w:rsid w:val="00A20D3F"/>
    <w:rsid w:val="00A20EAE"/>
    <w:rsid w:val="00A2121C"/>
    <w:rsid w:val="00A2186B"/>
    <w:rsid w:val="00A2186F"/>
    <w:rsid w:val="00A21879"/>
    <w:rsid w:val="00A218EE"/>
    <w:rsid w:val="00A21986"/>
    <w:rsid w:val="00A21A79"/>
    <w:rsid w:val="00A21B31"/>
    <w:rsid w:val="00A2233F"/>
    <w:rsid w:val="00A22488"/>
    <w:rsid w:val="00A224DB"/>
    <w:rsid w:val="00A227CA"/>
    <w:rsid w:val="00A2284D"/>
    <w:rsid w:val="00A22905"/>
    <w:rsid w:val="00A22C55"/>
    <w:rsid w:val="00A22E16"/>
    <w:rsid w:val="00A22F1E"/>
    <w:rsid w:val="00A22FB9"/>
    <w:rsid w:val="00A230CD"/>
    <w:rsid w:val="00A23277"/>
    <w:rsid w:val="00A23376"/>
    <w:rsid w:val="00A2349E"/>
    <w:rsid w:val="00A235FC"/>
    <w:rsid w:val="00A240E5"/>
    <w:rsid w:val="00A24198"/>
    <w:rsid w:val="00A243D8"/>
    <w:rsid w:val="00A2450F"/>
    <w:rsid w:val="00A2456D"/>
    <w:rsid w:val="00A2489E"/>
    <w:rsid w:val="00A249C0"/>
    <w:rsid w:val="00A24AFE"/>
    <w:rsid w:val="00A24C03"/>
    <w:rsid w:val="00A24D95"/>
    <w:rsid w:val="00A25608"/>
    <w:rsid w:val="00A25812"/>
    <w:rsid w:val="00A2587C"/>
    <w:rsid w:val="00A258E9"/>
    <w:rsid w:val="00A25F06"/>
    <w:rsid w:val="00A25F55"/>
    <w:rsid w:val="00A25FA5"/>
    <w:rsid w:val="00A262DC"/>
    <w:rsid w:val="00A26487"/>
    <w:rsid w:val="00A26B37"/>
    <w:rsid w:val="00A272AA"/>
    <w:rsid w:val="00A275B1"/>
    <w:rsid w:val="00A27637"/>
    <w:rsid w:val="00A277D2"/>
    <w:rsid w:val="00A27BB7"/>
    <w:rsid w:val="00A3030A"/>
    <w:rsid w:val="00A3034C"/>
    <w:rsid w:val="00A30450"/>
    <w:rsid w:val="00A3070B"/>
    <w:rsid w:val="00A308D6"/>
    <w:rsid w:val="00A30C1F"/>
    <w:rsid w:val="00A30CE4"/>
    <w:rsid w:val="00A30DF0"/>
    <w:rsid w:val="00A30EE2"/>
    <w:rsid w:val="00A31115"/>
    <w:rsid w:val="00A3123B"/>
    <w:rsid w:val="00A31244"/>
    <w:rsid w:val="00A31455"/>
    <w:rsid w:val="00A31596"/>
    <w:rsid w:val="00A31697"/>
    <w:rsid w:val="00A316E1"/>
    <w:rsid w:val="00A31B99"/>
    <w:rsid w:val="00A31D08"/>
    <w:rsid w:val="00A31DF2"/>
    <w:rsid w:val="00A3200A"/>
    <w:rsid w:val="00A328EE"/>
    <w:rsid w:val="00A3298E"/>
    <w:rsid w:val="00A329D8"/>
    <w:rsid w:val="00A32A4D"/>
    <w:rsid w:val="00A32B1B"/>
    <w:rsid w:val="00A32B36"/>
    <w:rsid w:val="00A32C2E"/>
    <w:rsid w:val="00A32E3C"/>
    <w:rsid w:val="00A32EB0"/>
    <w:rsid w:val="00A330B5"/>
    <w:rsid w:val="00A330F9"/>
    <w:rsid w:val="00A33122"/>
    <w:rsid w:val="00A3365B"/>
    <w:rsid w:val="00A33AC6"/>
    <w:rsid w:val="00A33BB4"/>
    <w:rsid w:val="00A3401C"/>
    <w:rsid w:val="00A3417F"/>
    <w:rsid w:val="00A3436C"/>
    <w:rsid w:val="00A349DC"/>
    <w:rsid w:val="00A34C22"/>
    <w:rsid w:val="00A34CC1"/>
    <w:rsid w:val="00A34D59"/>
    <w:rsid w:val="00A34D70"/>
    <w:rsid w:val="00A34E14"/>
    <w:rsid w:val="00A34E7E"/>
    <w:rsid w:val="00A34F68"/>
    <w:rsid w:val="00A3503C"/>
    <w:rsid w:val="00A3510C"/>
    <w:rsid w:val="00A352BF"/>
    <w:rsid w:val="00A35526"/>
    <w:rsid w:val="00A35A82"/>
    <w:rsid w:val="00A35CB8"/>
    <w:rsid w:val="00A35E16"/>
    <w:rsid w:val="00A3638A"/>
    <w:rsid w:val="00A363A5"/>
    <w:rsid w:val="00A365BB"/>
    <w:rsid w:val="00A36824"/>
    <w:rsid w:val="00A368A2"/>
    <w:rsid w:val="00A36BF0"/>
    <w:rsid w:val="00A36DB6"/>
    <w:rsid w:val="00A36F07"/>
    <w:rsid w:val="00A3706F"/>
    <w:rsid w:val="00A3718D"/>
    <w:rsid w:val="00A371E4"/>
    <w:rsid w:val="00A373E1"/>
    <w:rsid w:val="00A3745A"/>
    <w:rsid w:val="00A37752"/>
    <w:rsid w:val="00A379A3"/>
    <w:rsid w:val="00A37C21"/>
    <w:rsid w:val="00A37F79"/>
    <w:rsid w:val="00A400AE"/>
    <w:rsid w:val="00A4022F"/>
    <w:rsid w:val="00A40236"/>
    <w:rsid w:val="00A40423"/>
    <w:rsid w:val="00A408B0"/>
    <w:rsid w:val="00A40914"/>
    <w:rsid w:val="00A40CA0"/>
    <w:rsid w:val="00A40EAC"/>
    <w:rsid w:val="00A41031"/>
    <w:rsid w:val="00A410A4"/>
    <w:rsid w:val="00A411E0"/>
    <w:rsid w:val="00A41282"/>
    <w:rsid w:val="00A413BA"/>
    <w:rsid w:val="00A41861"/>
    <w:rsid w:val="00A41910"/>
    <w:rsid w:val="00A41AA0"/>
    <w:rsid w:val="00A41D89"/>
    <w:rsid w:val="00A41DF5"/>
    <w:rsid w:val="00A41E09"/>
    <w:rsid w:val="00A4218A"/>
    <w:rsid w:val="00A4252B"/>
    <w:rsid w:val="00A42621"/>
    <w:rsid w:val="00A427E1"/>
    <w:rsid w:val="00A42C5C"/>
    <w:rsid w:val="00A42F42"/>
    <w:rsid w:val="00A43072"/>
    <w:rsid w:val="00A43158"/>
    <w:rsid w:val="00A43581"/>
    <w:rsid w:val="00A43898"/>
    <w:rsid w:val="00A43AA7"/>
    <w:rsid w:val="00A43DF2"/>
    <w:rsid w:val="00A43F27"/>
    <w:rsid w:val="00A43FE1"/>
    <w:rsid w:val="00A441DE"/>
    <w:rsid w:val="00A441F6"/>
    <w:rsid w:val="00A44208"/>
    <w:rsid w:val="00A44471"/>
    <w:rsid w:val="00A444C4"/>
    <w:rsid w:val="00A44586"/>
    <w:rsid w:val="00A4486B"/>
    <w:rsid w:val="00A44CB3"/>
    <w:rsid w:val="00A44D68"/>
    <w:rsid w:val="00A45294"/>
    <w:rsid w:val="00A45931"/>
    <w:rsid w:val="00A45938"/>
    <w:rsid w:val="00A45B3F"/>
    <w:rsid w:val="00A45B61"/>
    <w:rsid w:val="00A45C25"/>
    <w:rsid w:val="00A45CAA"/>
    <w:rsid w:val="00A45D8D"/>
    <w:rsid w:val="00A45F25"/>
    <w:rsid w:val="00A46077"/>
    <w:rsid w:val="00A461D4"/>
    <w:rsid w:val="00A4626A"/>
    <w:rsid w:val="00A46684"/>
    <w:rsid w:val="00A467B7"/>
    <w:rsid w:val="00A468AA"/>
    <w:rsid w:val="00A470C3"/>
    <w:rsid w:val="00A4738B"/>
    <w:rsid w:val="00A4763C"/>
    <w:rsid w:val="00A47727"/>
    <w:rsid w:val="00A47770"/>
    <w:rsid w:val="00A477FA"/>
    <w:rsid w:val="00A47E90"/>
    <w:rsid w:val="00A47EEA"/>
    <w:rsid w:val="00A502CF"/>
    <w:rsid w:val="00A502D6"/>
    <w:rsid w:val="00A503C4"/>
    <w:rsid w:val="00A503DE"/>
    <w:rsid w:val="00A50826"/>
    <w:rsid w:val="00A50A07"/>
    <w:rsid w:val="00A50C36"/>
    <w:rsid w:val="00A50EE6"/>
    <w:rsid w:val="00A50FE2"/>
    <w:rsid w:val="00A51129"/>
    <w:rsid w:val="00A51378"/>
    <w:rsid w:val="00A515A6"/>
    <w:rsid w:val="00A51642"/>
    <w:rsid w:val="00A51704"/>
    <w:rsid w:val="00A519DC"/>
    <w:rsid w:val="00A51AEA"/>
    <w:rsid w:val="00A51F86"/>
    <w:rsid w:val="00A5223B"/>
    <w:rsid w:val="00A5230D"/>
    <w:rsid w:val="00A5265C"/>
    <w:rsid w:val="00A52742"/>
    <w:rsid w:val="00A5288B"/>
    <w:rsid w:val="00A528CC"/>
    <w:rsid w:val="00A52DC5"/>
    <w:rsid w:val="00A52E51"/>
    <w:rsid w:val="00A52FAD"/>
    <w:rsid w:val="00A53002"/>
    <w:rsid w:val="00A53077"/>
    <w:rsid w:val="00A53565"/>
    <w:rsid w:val="00A535C1"/>
    <w:rsid w:val="00A536C2"/>
    <w:rsid w:val="00A53A49"/>
    <w:rsid w:val="00A53AB6"/>
    <w:rsid w:val="00A53DAA"/>
    <w:rsid w:val="00A53E7C"/>
    <w:rsid w:val="00A541DC"/>
    <w:rsid w:val="00A54493"/>
    <w:rsid w:val="00A547F7"/>
    <w:rsid w:val="00A54880"/>
    <w:rsid w:val="00A548EF"/>
    <w:rsid w:val="00A54E9C"/>
    <w:rsid w:val="00A54ED8"/>
    <w:rsid w:val="00A54FCB"/>
    <w:rsid w:val="00A55145"/>
    <w:rsid w:val="00A5518E"/>
    <w:rsid w:val="00A55331"/>
    <w:rsid w:val="00A55432"/>
    <w:rsid w:val="00A55439"/>
    <w:rsid w:val="00A55E39"/>
    <w:rsid w:val="00A56639"/>
    <w:rsid w:val="00A5664E"/>
    <w:rsid w:val="00A566A3"/>
    <w:rsid w:val="00A566BA"/>
    <w:rsid w:val="00A56A7D"/>
    <w:rsid w:val="00A56D90"/>
    <w:rsid w:val="00A56DEA"/>
    <w:rsid w:val="00A56EED"/>
    <w:rsid w:val="00A56FDD"/>
    <w:rsid w:val="00A573AC"/>
    <w:rsid w:val="00A5751B"/>
    <w:rsid w:val="00A5763C"/>
    <w:rsid w:val="00A577F5"/>
    <w:rsid w:val="00A57887"/>
    <w:rsid w:val="00A57D37"/>
    <w:rsid w:val="00A57E20"/>
    <w:rsid w:val="00A60144"/>
    <w:rsid w:val="00A60320"/>
    <w:rsid w:val="00A603E6"/>
    <w:rsid w:val="00A60577"/>
    <w:rsid w:val="00A60853"/>
    <w:rsid w:val="00A6090A"/>
    <w:rsid w:val="00A60B3F"/>
    <w:rsid w:val="00A611AC"/>
    <w:rsid w:val="00A612FE"/>
    <w:rsid w:val="00A615D6"/>
    <w:rsid w:val="00A61A88"/>
    <w:rsid w:val="00A61AA6"/>
    <w:rsid w:val="00A61BAE"/>
    <w:rsid w:val="00A61F98"/>
    <w:rsid w:val="00A6203C"/>
    <w:rsid w:val="00A62129"/>
    <w:rsid w:val="00A622BD"/>
    <w:rsid w:val="00A622F5"/>
    <w:rsid w:val="00A6230F"/>
    <w:rsid w:val="00A62356"/>
    <w:rsid w:val="00A623D1"/>
    <w:rsid w:val="00A62A8F"/>
    <w:rsid w:val="00A63058"/>
    <w:rsid w:val="00A63145"/>
    <w:rsid w:val="00A633F5"/>
    <w:rsid w:val="00A634F1"/>
    <w:rsid w:val="00A6373A"/>
    <w:rsid w:val="00A63D0D"/>
    <w:rsid w:val="00A63E4A"/>
    <w:rsid w:val="00A63E55"/>
    <w:rsid w:val="00A63F9F"/>
    <w:rsid w:val="00A64096"/>
    <w:rsid w:val="00A6432D"/>
    <w:rsid w:val="00A64380"/>
    <w:rsid w:val="00A64527"/>
    <w:rsid w:val="00A6455F"/>
    <w:rsid w:val="00A64625"/>
    <w:rsid w:val="00A6466B"/>
    <w:rsid w:val="00A64AD3"/>
    <w:rsid w:val="00A64E5D"/>
    <w:rsid w:val="00A64FF6"/>
    <w:rsid w:val="00A65178"/>
    <w:rsid w:val="00A655ED"/>
    <w:rsid w:val="00A65786"/>
    <w:rsid w:val="00A658F8"/>
    <w:rsid w:val="00A6599D"/>
    <w:rsid w:val="00A65B62"/>
    <w:rsid w:val="00A662BD"/>
    <w:rsid w:val="00A662CD"/>
    <w:rsid w:val="00A663B5"/>
    <w:rsid w:val="00A66481"/>
    <w:rsid w:val="00A66954"/>
    <w:rsid w:val="00A66BF4"/>
    <w:rsid w:val="00A66D0A"/>
    <w:rsid w:val="00A66DD1"/>
    <w:rsid w:val="00A66FF9"/>
    <w:rsid w:val="00A6734C"/>
    <w:rsid w:val="00A674AD"/>
    <w:rsid w:val="00A676FE"/>
    <w:rsid w:val="00A67879"/>
    <w:rsid w:val="00A67A56"/>
    <w:rsid w:val="00A67B1D"/>
    <w:rsid w:val="00A67C09"/>
    <w:rsid w:val="00A67D8A"/>
    <w:rsid w:val="00A67EA9"/>
    <w:rsid w:val="00A700BE"/>
    <w:rsid w:val="00A701A1"/>
    <w:rsid w:val="00A70261"/>
    <w:rsid w:val="00A702BE"/>
    <w:rsid w:val="00A705E2"/>
    <w:rsid w:val="00A70B88"/>
    <w:rsid w:val="00A70C4D"/>
    <w:rsid w:val="00A70CFD"/>
    <w:rsid w:val="00A70E8B"/>
    <w:rsid w:val="00A70F68"/>
    <w:rsid w:val="00A7101C"/>
    <w:rsid w:val="00A71112"/>
    <w:rsid w:val="00A711FE"/>
    <w:rsid w:val="00A71335"/>
    <w:rsid w:val="00A7136D"/>
    <w:rsid w:val="00A71386"/>
    <w:rsid w:val="00A71A5E"/>
    <w:rsid w:val="00A71F98"/>
    <w:rsid w:val="00A721C1"/>
    <w:rsid w:val="00A722A5"/>
    <w:rsid w:val="00A7271E"/>
    <w:rsid w:val="00A72B8C"/>
    <w:rsid w:val="00A72E40"/>
    <w:rsid w:val="00A72EFC"/>
    <w:rsid w:val="00A72F06"/>
    <w:rsid w:val="00A732A6"/>
    <w:rsid w:val="00A732CE"/>
    <w:rsid w:val="00A7335D"/>
    <w:rsid w:val="00A733EF"/>
    <w:rsid w:val="00A737B1"/>
    <w:rsid w:val="00A73A85"/>
    <w:rsid w:val="00A73F7A"/>
    <w:rsid w:val="00A7415F"/>
    <w:rsid w:val="00A745B0"/>
    <w:rsid w:val="00A74713"/>
    <w:rsid w:val="00A74741"/>
    <w:rsid w:val="00A748CB"/>
    <w:rsid w:val="00A74945"/>
    <w:rsid w:val="00A74AA8"/>
    <w:rsid w:val="00A74D8B"/>
    <w:rsid w:val="00A74DCC"/>
    <w:rsid w:val="00A7512C"/>
    <w:rsid w:val="00A7553A"/>
    <w:rsid w:val="00A755FB"/>
    <w:rsid w:val="00A757B2"/>
    <w:rsid w:val="00A75973"/>
    <w:rsid w:val="00A75A5B"/>
    <w:rsid w:val="00A75A6D"/>
    <w:rsid w:val="00A75C47"/>
    <w:rsid w:val="00A75E33"/>
    <w:rsid w:val="00A75E67"/>
    <w:rsid w:val="00A75F4D"/>
    <w:rsid w:val="00A762A2"/>
    <w:rsid w:val="00A7646F"/>
    <w:rsid w:val="00A7649A"/>
    <w:rsid w:val="00A764A9"/>
    <w:rsid w:val="00A765BE"/>
    <w:rsid w:val="00A765D2"/>
    <w:rsid w:val="00A76A80"/>
    <w:rsid w:val="00A76C73"/>
    <w:rsid w:val="00A76D1C"/>
    <w:rsid w:val="00A76D85"/>
    <w:rsid w:val="00A77010"/>
    <w:rsid w:val="00A771CF"/>
    <w:rsid w:val="00A77516"/>
    <w:rsid w:val="00A7756D"/>
    <w:rsid w:val="00A77663"/>
    <w:rsid w:val="00A77B3F"/>
    <w:rsid w:val="00A77E9D"/>
    <w:rsid w:val="00A80158"/>
    <w:rsid w:val="00A802DD"/>
    <w:rsid w:val="00A80329"/>
    <w:rsid w:val="00A805E7"/>
    <w:rsid w:val="00A806E6"/>
    <w:rsid w:val="00A809AC"/>
    <w:rsid w:val="00A80E76"/>
    <w:rsid w:val="00A80FF6"/>
    <w:rsid w:val="00A810B0"/>
    <w:rsid w:val="00A8129A"/>
    <w:rsid w:val="00A812DB"/>
    <w:rsid w:val="00A8131D"/>
    <w:rsid w:val="00A813A7"/>
    <w:rsid w:val="00A81514"/>
    <w:rsid w:val="00A81650"/>
    <w:rsid w:val="00A816D8"/>
    <w:rsid w:val="00A81A25"/>
    <w:rsid w:val="00A81ACE"/>
    <w:rsid w:val="00A81CA4"/>
    <w:rsid w:val="00A81DEF"/>
    <w:rsid w:val="00A821F2"/>
    <w:rsid w:val="00A8229E"/>
    <w:rsid w:val="00A822E9"/>
    <w:rsid w:val="00A823B6"/>
    <w:rsid w:val="00A823DB"/>
    <w:rsid w:val="00A824A4"/>
    <w:rsid w:val="00A8264C"/>
    <w:rsid w:val="00A827B6"/>
    <w:rsid w:val="00A828F1"/>
    <w:rsid w:val="00A82953"/>
    <w:rsid w:val="00A82A0F"/>
    <w:rsid w:val="00A82C27"/>
    <w:rsid w:val="00A82CBF"/>
    <w:rsid w:val="00A82F91"/>
    <w:rsid w:val="00A83242"/>
    <w:rsid w:val="00A8327A"/>
    <w:rsid w:val="00A832F7"/>
    <w:rsid w:val="00A832FE"/>
    <w:rsid w:val="00A8350F"/>
    <w:rsid w:val="00A835F9"/>
    <w:rsid w:val="00A83794"/>
    <w:rsid w:val="00A83805"/>
    <w:rsid w:val="00A83F11"/>
    <w:rsid w:val="00A84048"/>
    <w:rsid w:val="00A84093"/>
    <w:rsid w:val="00A841CC"/>
    <w:rsid w:val="00A84239"/>
    <w:rsid w:val="00A84362"/>
    <w:rsid w:val="00A84B7B"/>
    <w:rsid w:val="00A84B93"/>
    <w:rsid w:val="00A84BE6"/>
    <w:rsid w:val="00A851AA"/>
    <w:rsid w:val="00A85249"/>
    <w:rsid w:val="00A852F2"/>
    <w:rsid w:val="00A858C9"/>
    <w:rsid w:val="00A858F4"/>
    <w:rsid w:val="00A8599D"/>
    <w:rsid w:val="00A85BA7"/>
    <w:rsid w:val="00A85C23"/>
    <w:rsid w:val="00A85F39"/>
    <w:rsid w:val="00A8618C"/>
    <w:rsid w:val="00A86265"/>
    <w:rsid w:val="00A862E4"/>
    <w:rsid w:val="00A863AC"/>
    <w:rsid w:val="00A863C8"/>
    <w:rsid w:val="00A866A1"/>
    <w:rsid w:val="00A8681D"/>
    <w:rsid w:val="00A869D8"/>
    <w:rsid w:val="00A86C45"/>
    <w:rsid w:val="00A86F63"/>
    <w:rsid w:val="00A87016"/>
    <w:rsid w:val="00A8703A"/>
    <w:rsid w:val="00A871ED"/>
    <w:rsid w:val="00A8721E"/>
    <w:rsid w:val="00A8740C"/>
    <w:rsid w:val="00A87552"/>
    <w:rsid w:val="00A876D8"/>
    <w:rsid w:val="00A8791E"/>
    <w:rsid w:val="00A87931"/>
    <w:rsid w:val="00A87A9D"/>
    <w:rsid w:val="00A87BC1"/>
    <w:rsid w:val="00A87DFD"/>
    <w:rsid w:val="00A87F3F"/>
    <w:rsid w:val="00A87F6E"/>
    <w:rsid w:val="00A90114"/>
    <w:rsid w:val="00A904E5"/>
    <w:rsid w:val="00A90703"/>
    <w:rsid w:val="00A90A25"/>
    <w:rsid w:val="00A90C8B"/>
    <w:rsid w:val="00A90D6C"/>
    <w:rsid w:val="00A90F27"/>
    <w:rsid w:val="00A90F52"/>
    <w:rsid w:val="00A90FEC"/>
    <w:rsid w:val="00A90FFB"/>
    <w:rsid w:val="00A910C9"/>
    <w:rsid w:val="00A912A1"/>
    <w:rsid w:val="00A913FF"/>
    <w:rsid w:val="00A91597"/>
    <w:rsid w:val="00A916AC"/>
    <w:rsid w:val="00A91863"/>
    <w:rsid w:val="00A91B5E"/>
    <w:rsid w:val="00A91F97"/>
    <w:rsid w:val="00A920BC"/>
    <w:rsid w:val="00A922B1"/>
    <w:rsid w:val="00A9236F"/>
    <w:rsid w:val="00A9270B"/>
    <w:rsid w:val="00A9279D"/>
    <w:rsid w:val="00A927A0"/>
    <w:rsid w:val="00A92863"/>
    <w:rsid w:val="00A92A6D"/>
    <w:rsid w:val="00A92CC7"/>
    <w:rsid w:val="00A93040"/>
    <w:rsid w:val="00A931A8"/>
    <w:rsid w:val="00A93328"/>
    <w:rsid w:val="00A93411"/>
    <w:rsid w:val="00A934E0"/>
    <w:rsid w:val="00A93541"/>
    <w:rsid w:val="00A93673"/>
    <w:rsid w:val="00A939B5"/>
    <w:rsid w:val="00A939EE"/>
    <w:rsid w:val="00A93C46"/>
    <w:rsid w:val="00A93CB8"/>
    <w:rsid w:val="00A941F3"/>
    <w:rsid w:val="00A94330"/>
    <w:rsid w:val="00A94963"/>
    <w:rsid w:val="00A94A55"/>
    <w:rsid w:val="00A94C1E"/>
    <w:rsid w:val="00A94C2C"/>
    <w:rsid w:val="00A94D87"/>
    <w:rsid w:val="00A94E09"/>
    <w:rsid w:val="00A94EF7"/>
    <w:rsid w:val="00A95146"/>
    <w:rsid w:val="00A95223"/>
    <w:rsid w:val="00A95355"/>
    <w:rsid w:val="00A954B9"/>
    <w:rsid w:val="00A95571"/>
    <w:rsid w:val="00A955EE"/>
    <w:rsid w:val="00A957DB"/>
    <w:rsid w:val="00A959E5"/>
    <w:rsid w:val="00A95BB6"/>
    <w:rsid w:val="00A95BE2"/>
    <w:rsid w:val="00A95F22"/>
    <w:rsid w:val="00A95FFB"/>
    <w:rsid w:val="00A96057"/>
    <w:rsid w:val="00A963D4"/>
    <w:rsid w:val="00A964F6"/>
    <w:rsid w:val="00A96662"/>
    <w:rsid w:val="00A96732"/>
    <w:rsid w:val="00A969A2"/>
    <w:rsid w:val="00A96B59"/>
    <w:rsid w:val="00A96E62"/>
    <w:rsid w:val="00A96E7E"/>
    <w:rsid w:val="00A96FE1"/>
    <w:rsid w:val="00A97118"/>
    <w:rsid w:val="00A97161"/>
    <w:rsid w:val="00A972A3"/>
    <w:rsid w:val="00A972C3"/>
    <w:rsid w:val="00A97371"/>
    <w:rsid w:val="00A973E2"/>
    <w:rsid w:val="00A97492"/>
    <w:rsid w:val="00A975A9"/>
    <w:rsid w:val="00A975D9"/>
    <w:rsid w:val="00A976C9"/>
    <w:rsid w:val="00A978BE"/>
    <w:rsid w:val="00AA0266"/>
    <w:rsid w:val="00AA061E"/>
    <w:rsid w:val="00AA06E2"/>
    <w:rsid w:val="00AA0722"/>
    <w:rsid w:val="00AA09E4"/>
    <w:rsid w:val="00AA0A3E"/>
    <w:rsid w:val="00AA0C25"/>
    <w:rsid w:val="00AA104B"/>
    <w:rsid w:val="00AA11FE"/>
    <w:rsid w:val="00AA1326"/>
    <w:rsid w:val="00AA15E9"/>
    <w:rsid w:val="00AA18C9"/>
    <w:rsid w:val="00AA1C7D"/>
    <w:rsid w:val="00AA1F6D"/>
    <w:rsid w:val="00AA1FC9"/>
    <w:rsid w:val="00AA216B"/>
    <w:rsid w:val="00AA2283"/>
    <w:rsid w:val="00AA2314"/>
    <w:rsid w:val="00AA24A8"/>
    <w:rsid w:val="00AA2505"/>
    <w:rsid w:val="00AA266D"/>
    <w:rsid w:val="00AA2862"/>
    <w:rsid w:val="00AA2BCD"/>
    <w:rsid w:val="00AA2DAF"/>
    <w:rsid w:val="00AA2E68"/>
    <w:rsid w:val="00AA2E76"/>
    <w:rsid w:val="00AA2F36"/>
    <w:rsid w:val="00AA30D2"/>
    <w:rsid w:val="00AA30D7"/>
    <w:rsid w:val="00AA31D2"/>
    <w:rsid w:val="00AA33A7"/>
    <w:rsid w:val="00AA33FC"/>
    <w:rsid w:val="00AA3454"/>
    <w:rsid w:val="00AA346E"/>
    <w:rsid w:val="00AA34A2"/>
    <w:rsid w:val="00AA372D"/>
    <w:rsid w:val="00AA396C"/>
    <w:rsid w:val="00AA398B"/>
    <w:rsid w:val="00AA3C30"/>
    <w:rsid w:val="00AA3E1C"/>
    <w:rsid w:val="00AA4126"/>
    <w:rsid w:val="00AA4132"/>
    <w:rsid w:val="00AA427E"/>
    <w:rsid w:val="00AA43B6"/>
    <w:rsid w:val="00AA4689"/>
    <w:rsid w:val="00AA4C9F"/>
    <w:rsid w:val="00AA4D44"/>
    <w:rsid w:val="00AA4E3A"/>
    <w:rsid w:val="00AA50C6"/>
    <w:rsid w:val="00AA524B"/>
    <w:rsid w:val="00AA52FD"/>
    <w:rsid w:val="00AA5470"/>
    <w:rsid w:val="00AA562F"/>
    <w:rsid w:val="00AA5819"/>
    <w:rsid w:val="00AA6021"/>
    <w:rsid w:val="00AA609D"/>
    <w:rsid w:val="00AA6305"/>
    <w:rsid w:val="00AA642B"/>
    <w:rsid w:val="00AA69FE"/>
    <w:rsid w:val="00AA6A9F"/>
    <w:rsid w:val="00AA6EFB"/>
    <w:rsid w:val="00AA71AC"/>
    <w:rsid w:val="00AA723A"/>
    <w:rsid w:val="00AA72E5"/>
    <w:rsid w:val="00AA7437"/>
    <w:rsid w:val="00AA767B"/>
    <w:rsid w:val="00AA773E"/>
    <w:rsid w:val="00AA792C"/>
    <w:rsid w:val="00AA7BD9"/>
    <w:rsid w:val="00AA7EF9"/>
    <w:rsid w:val="00AA7F1C"/>
    <w:rsid w:val="00AB0055"/>
    <w:rsid w:val="00AB0117"/>
    <w:rsid w:val="00AB03F6"/>
    <w:rsid w:val="00AB050A"/>
    <w:rsid w:val="00AB0743"/>
    <w:rsid w:val="00AB0822"/>
    <w:rsid w:val="00AB0B56"/>
    <w:rsid w:val="00AB0EA6"/>
    <w:rsid w:val="00AB0ECD"/>
    <w:rsid w:val="00AB135B"/>
    <w:rsid w:val="00AB1365"/>
    <w:rsid w:val="00AB1546"/>
    <w:rsid w:val="00AB169F"/>
    <w:rsid w:val="00AB192F"/>
    <w:rsid w:val="00AB1A1E"/>
    <w:rsid w:val="00AB1FFE"/>
    <w:rsid w:val="00AB224E"/>
    <w:rsid w:val="00AB25F0"/>
    <w:rsid w:val="00AB28F0"/>
    <w:rsid w:val="00AB2918"/>
    <w:rsid w:val="00AB2A63"/>
    <w:rsid w:val="00AB2B95"/>
    <w:rsid w:val="00AB2D37"/>
    <w:rsid w:val="00AB2D7A"/>
    <w:rsid w:val="00AB2F41"/>
    <w:rsid w:val="00AB307C"/>
    <w:rsid w:val="00AB387B"/>
    <w:rsid w:val="00AB3DC1"/>
    <w:rsid w:val="00AB405F"/>
    <w:rsid w:val="00AB40B3"/>
    <w:rsid w:val="00AB41CC"/>
    <w:rsid w:val="00AB41F4"/>
    <w:rsid w:val="00AB4340"/>
    <w:rsid w:val="00AB44D9"/>
    <w:rsid w:val="00AB463A"/>
    <w:rsid w:val="00AB4B3B"/>
    <w:rsid w:val="00AB4BE2"/>
    <w:rsid w:val="00AB4C73"/>
    <w:rsid w:val="00AB4CD6"/>
    <w:rsid w:val="00AB4D1F"/>
    <w:rsid w:val="00AB4F9B"/>
    <w:rsid w:val="00AB518D"/>
    <w:rsid w:val="00AB5204"/>
    <w:rsid w:val="00AB530E"/>
    <w:rsid w:val="00AB579F"/>
    <w:rsid w:val="00AB57AA"/>
    <w:rsid w:val="00AB57C2"/>
    <w:rsid w:val="00AB5943"/>
    <w:rsid w:val="00AB5D0E"/>
    <w:rsid w:val="00AB5D20"/>
    <w:rsid w:val="00AB5E2C"/>
    <w:rsid w:val="00AB5EB2"/>
    <w:rsid w:val="00AB622F"/>
    <w:rsid w:val="00AB6254"/>
    <w:rsid w:val="00AB64D5"/>
    <w:rsid w:val="00AB6AE4"/>
    <w:rsid w:val="00AB6DF0"/>
    <w:rsid w:val="00AB7012"/>
    <w:rsid w:val="00AB7056"/>
    <w:rsid w:val="00AB7165"/>
    <w:rsid w:val="00AB72D9"/>
    <w:rsid w:val="00AB74BB"/>
    <w:rsid w:val="00AB7622"/>
    <w:rsid w:val="00AB7839"/>
    <w:rsid w:val="00AB78C5"/>
    <w:rsid w:val="00AB7B0E"/>
    <w:rsid w:val="00AC0012"/>
    <w:rsid w:val="00AC00AF"/>
    <w:rsid w:val="00AC0100"/>
    <w:rsid w:val="00AC0192"/>
    <w:rsid w:val="00AC02A7"/>
    <w:rsid w:val="00AC03D5"/>
    <w:rsid w:val="00AC0417"/>
    <w:rsid w:val="00AC0528"/>
    <w:rsid w:val="00AC05D4"/>
    <w:rsid w:val="00AC076A"/>
    <w:rsid w:val="00AC0CDC"/>
    <w:rsid w:val="00AC0E76"/>
    <w:rsid w:val="00AC0EF7"/>
    <w:rsid w:val="00AC111D"/>
    <w:rsid w:val="00AC128F"/>
    <w:rsid w:val="00AC12A7"/>
    <w:rsid w:val="00AC13DE"/>
    <w:rsid w:val="00AC16F7"/>
    <w:rsid w:val="00AC174D"/>
    <w:rsid w:val="00AC1825"/>
    <w:rsid w:val="00AC1B67"/>
    <w:rsid w:val="00AC1D79"/>
    <w:rsid w:val="00AC1EE6"/>
    <w:rsid w:val="00AC2378"/>
    <w:rsid w:val="00AC2493"/>
    <w:rsid w:val="00AC2549"/>
    <w:rsid w:val="00AC2551"/>
    <w:rsid w:val="00AC28BE"/>
    <w:rsid w:val="00AC2C04"/>
    <w:rsid w:val="00AC2D32"/>
    <w:rsid w:val="00AC2E47"/>
    <w:rsid w:val="00AC2E4D"/>
    <w:rsid w:val="00AC30B9"/>
    <w:rsid w:val="00AC30D5"/>
    <w:rsid w:val="00AC3330"/>
    <w:rsid w:val="00AC362D"/>
    <w:rsid w:val="00AC3BAE"/>
    <w:rsid w:val="00AC3C0F"/>
    <w:rsid w:val="00AC3C49"/>
    <w:rsid w:val="00AC4246"/>
    <w:rsid w:val="00AC42F3"/>
    <w:rsid w:val="00AC46AE"/>
    <w:rsid w:val="00AC491E"/>
    <w:rsid w:val="00AC4AC7"/>
    <w:rsid w:val="00AC4B67"/>
    <w:rsid w:val="00AC4E6C"/>
    <w:rsid w:val="00AC5182"/>
    <w:rsid w:val="00AC55AC"/>
    <w:rsid w:val="00AC5A29"/>
    <w:rsid w:val="00AC5B5C"/>
    <w:rsid w:val="00AC5B6F"/>
    <w:rsid w:val="00AC5C14"/>
    <w:rsid w:val="00AC6142"/>
    <w:rsid w:val="00AC6319"/>
    <w:rsid w:val="00AC63FB"/>
    <w:rsid w:val="00AC6535"/>
    <w:rsid w:val="00AC6579"/>
    <w:rsid w:val="00AC6583"/>
    <w:rsid w:val="00AC6620"/>
    <w:rsid w:val="00AC6801"/>
    <w:rsid w:val="00AC6955"/>
    <w:rsid w:val="00AC6B16"/>
    <w:rsid w:val="00AC6B82"/>
    <w:rsid w:val="00AC6BF0"/>
    <w:rsid w:val="00AC6C78"/>
    <w:rsid w:val="00AC6DD3"/>
    <w:rsid w:val="00AC7138"/>
    <w:rsid w:val="00AC7297"/>
    <w:rsid w:val="00AC72A6"/>
    <w:rsid w:val="00AC75EF"/>
    <w:rsid w:val="00AC7832"/>
    <w:rsid w:val="00AC78EB"/>
    <w:rsid w:val="00AC79C7"/>
    <w:rsid w:val="00AC7BCB"/>
    <w:rsid w:val="00AC7C18"/>
    <w:rsid w:val="00AC7D04"/>
    <w:rsid w:val="00AC7D41"/>
    <w:rsid w:val="00AC7E25"/>
    <w:rsid w:val="00AC7F28"/>
    <w:rsid w:val="00AD02EE"/>
    <w:rsid w:val="00AD04C8"/>
    <w:rsid w:val="00AD0534"/>
    <w:rsid w:val="00AD082A"/>
    <w:rsid w:val="00AD0845"/>
    <w:rsid w:val="00AD0899"/>
    <w:rsid w:val="00AD09F0"/>
    <w:rsid w:val="00AD0B65"/>
    <w:rsid w:val="00AD0BAD"/>
    <w:rsid w:val="00AD0F60"/>
    <w:rsid w:val="00AD0F95"/>
    <w:rsid w:val="00AD10E3"/>
    <w:rsid w:val="00AD1145"/>
    <w:rsid w:val="00AD122A"/>
    <w:rsid w:val="00AD1324"/>
    <w:rsid w:val="00AD15F7"/>
    <w:rsid w:val="00AD1842"/>
    <w:rsid w:val="00AD18BB"/>
    <w:rsid w:val="00AD1B64"/>
    <w:rsid w:val="00AD1D3E"/>
    <w:rsid w:val="00AD1DD9"/>
    <w:rsid w:val="00AD1DEC"/>
    <w:rsid w:val="00AD2595"/>
    <w:rsid w:val="00AD25D2"/>
    <w:rsid w:val="00AD27CB"/>
    <w:rsid w:val="00AD29D6"/>
    <w:rsid w:val="00AD2AE0"/>
    <w:rsid w:val="00AD2D03"/>
    <w:rsid w:val="00AD2D6D"/>
    <w:rsid w:val="00AD31BF"/>
    <w:rsid w:val="00AD32F8"/>
    <w:rsid w:val="00AD3406"/>
    <w:rsid w:val="00AD34E9"/>
    <w:rsid w:val="00AD36F8"/>
    <w:rsid w:val="00AD371C"/>
    <w:rsid w:val="00AD385D"/>
    <w:rsid w:val="00AD387A"/>
    <w:rsid w:val="00AD3886"/>
    <w:rsid w:val="00AD3974"/>
    <w:rsid w:val="00AD3EF7"/>
    <w:rsid w:val="00AD411C"/>
    <w:rsid w:val="00AD4162"/>
    <w:rsid w:val="00AD4343"/>
    <w:rsid w:val="00AD4534"/>
    <w:rsid w:val="00AD47D3"/>
    <w:rsid w:val="00AD490B"/>
    <w:rsid w:val="00AD49CA"/>
    <w:rsid w:val="00AD4AAC"/>
    <w:rsid w:val="00AD4B33"/>
    <w:rsid w:val="00AD4CE9"/>
    <w:rsid w:val="00AD4DA8"/>
    <w:rsid w:val="00AD5047"/>
    <w:rsid w:val="00AD5149"/>
    <w:rsid w:val="00AD51AE"/>
    <w:rsid w:val="00AD55F2"/>
    <w:rsid w:val="00AD5727"/>
    <w:rsid w:val="00AD5954"/>
    <w:rsid w:val="00AD5E34"/>
    <w:rsid w:val="00AD608F"/>
    <w:rsid w:val="00AD6239"/>
    <w:rsid w:val="00AD658F"/>
    <w:rsid w:val="00AD65E9"/>
    <w:rsid w:val="00AD66DA"/>
    <w:rsid w:val="00AD671B"/>
    <w:rsid w:val="00AD68BA"/>
    <w:rsid w:val="00AD692C"/>
    <w:rsid w:val="00AD6A1D"/>
    <w:rsid w:val="00AD6BAA"/>
    <w:rsid w:val="00AD6BBB"/>
    <w:rsid w:val="00AD6C98"/>
    <w:rsid w:val="00AD6EF4"/>
    <w:rsid w:val="00AD6F86"/>
    <w:rsid w:val="00AD71E4"/>
    <w:rsid w:val="00AD73DA"/>
    <w:rsid w:val="00AD7472"/>
    <w:rsid w:val="00AD755C"/>
    <w:rsid w:val="00AD775A"/>
    <w:rsid w:val="00AD783E"/>
    <w:rsid w:val="00AD79D8"/>
    <w:rsid w:val="00AD7A16"/>
    <w:rsid w:val="00AD7BCF"/>
    <w:rsid w:val="00AD7CE2"/>
    <w:rsid w:val="00AE0250"/>
    <w:rsid w:val="00AE036A"/>
    <w:rsid w:val="00AE0378"/>
    <w:rsid w:val="00AE0517"/>
    <w:rsid w:val="00AE0A9B"/>
    <w:rsid w:val="00AE0D3E"/>
    <w:rsid w:val="00AE0FE1"/>
    <w:rsid w:val="00AE106E"/>
    <w:rsid w:val="00AE111F"/>
    <w:rsid w:val="00AE1187"/>
    <w:rsid w:val="00AE128A"/>
    <w:rsid w:val="00AE1794"/>
    <w:rsid w:val="00AE17EC"/>
    <w:rsid w:val="00AE191D"/>
    <w:rsid w:val="00AE1938"/>
    <w:rsid w:val="00AE1F1D"/>
    <w:rsid w:val="00AE1F79"/>
    <w:rsid w:val="00AE2192"/>
    <w:rsid w:val="00AE228C"/>
    <w:rsid w:val="00AE2407"/>
    <w:rsid w:val="00AE265A"/>
    <w:rsid w:val="00AE277C"/>
    <w:rsid w:val="00AE2979"/>
    <w:rsid w:val="00AE2CFE"/>
    <w:rsid w:val="00AE2F77"/>
    <w:rsid w:val="00AE302B"/>
    <w:rsid w:val="00AE33DC"/>
    <w:rsid w:val="00AE36D3"/>
    <w:rsid w:val="00AE3852"/>
    <w:rsid w:val="00AE38EA"/>
    <w:rsid w:val="00AE391A"/>
    <w:rsid w:val="00AE3D35"/>
    <w:rsid w:val="00AE3DB6"/>
    <w:rsid w:val="00AE3E19"/>
    <w:rsid w:val="00AE3FB1"/>
    <w:rsid w:val="00AE4015"/>
    <w:rsid w:val="00AE42E8"/>
    <w:rsid w:val="00AE42EC"/>
    <w:rsid w:val="00AE45A3"/>
    <w:rsid w:val="00AE485A"/>
    <w:rsid w:val="00AE4FE1"/>
    <w:rsid w:val="00AE52F1"/>
    <w:rsid w:val="00AE5498"/>
    <w:rsid w:val="00AE5520"/>
    <w:rsid w:val="00AE571C"/>
    <w:rsid w:val="00AE5887"/>
    <w:rsid w:val="00AE5897"/>
    <w:rsid w:val="00AE58C3"/>
    <w:rsid w:val="00AE5AF7"/>
    <w:rsid w:val="00AE5B72"/>
    <w:rsid w:val="00AE5DFF"/>
    <w:rsid w:val="00AE5F47"/>
    <w:rsid w:val="00AE62A4"/>
    <w:rsid w:val="00AE6511"/>
    <w:rsid w:val="00AE6A5F"/>
    <w:rsid w:val="00AE6AD3"/>
    <w:rsid w:val="00AE6FE7"/>
    <w:rsid w:val="00AE6FFF"/>
    <w:rsid w:val="00AE709E"/>
    <w:rsid w:val="00AE7322"/>
    <w:rsid w:val="00AE7421"/>
    <w:rsid w:val="00AE74B7"/>
    <w:rsid w:val="00AE76B5"/>
    <w:rsid w:val="00AE782B"/>
    <w:rsid w:val="00AE7B12"/>
    <w:rsid w:val="00AE7D43"/>
    <w:rsid w:val="00AF00A2"/>
    <w:rsid w:val="00AF0353"/>
    <w:rsid w:val="00AF05F5"/>
    <w:rsid w:val="00AF0865"/>
    <w:rsid w:val="00AF0A22"/>
    <w:rsid w:val="00AF0A8A"/>
    <w:rsid w:val="00AF0B3E"/>
    <w:rsid w:val="00AF0D99"/>
    <w:rsid w:val="00AF0EDF"/>
    <w:rsid w:val="00AF115B"/>
    <w:rsid w:val="00AF11EF"/>
    <w:rsid w:val="00AF1260"/>
    <w:rsid w:val="00AF153C"/>
    <w:rsid w:val="00AF1658"/>
    <w:rsid w:val="00AF16A0"/>
    <w:rsid w:val="00AF1906"/>
    <w:rsid w:val="00AF1AAE"/>
    <w:rsid w:val="00AF1AD6"/>
    <w:rsid w:val="00AF1CB0"/>
    <w:rsid w:val="00AF1D84"/>
    <w:rsid w:val="00AF1DCE"/>
    <w:rsid w:val="00AF1F47"/>
    <w:rsid w:val="00AF208A"/>
    <w:rsid w:val="00AF20C0"/>
    <w:rsid w:val="00AF2205"/>
    <w:rsid w:val="00AF2314"/>
    <w:rsid w:val="00AF231F"/>
    <w:rsid w:val="00AF2703"/>
    <w:rsid w:val="00AF2754"/>
    <w:rsid w:val="00AF278F"/>
    <w:rsid w:val="00AF2853"/>
    <w:rsid w:val="00AF291F"/>
    <w:rsid w:val="00AF2C00"/>
    <w:rsid w:val="00AF2CAE"/>
    <w:rsid w:val="00AF2D8D"/>
    <w:rsid w:val="00AF2E43"/>
    <w:rsid w:val="00AF301F"/>
    <w:rsid w:val="00AF3086"/>
    <w:rsid w:val="00AF3833"/>
    <w:rsid w:val="00AF3979"/>
    <w:rsid w:val="00AF3CC5"/>
    <w:rsid w:val="00AF412A"/>
    <w:rsid w:val="00AF4239"/>
    <w:rsid w:val="00AF448C"/>
    <w:rsid w:val="00AF45AD"/>
    <w:rsid w:val="00AF4A1F"/>
    <w:rsid w:val="00AF4A4B"/>
    <w:rsid w:val="00AF4A4F"/>
    <w:rsid w:val="00AF4B5B"/>
    <w:rsid w:val="00AF4B8C"/>
    <w:rsid w:val="00AF4E2D"/>
    <w:rsid w:val="00AF4F44"/>
    <w:rsid w:val="00AF52DA"/>
    <w:rsid w:val="00AF5375"/>
    <w:rsid w:val="00AF5601"/>
    <w:rsid w:val="00AF5852"/>
    <w:rsid w:val="00AF5C33"/>
    <w:rsid w:val="00AF5CA4"/>
    <w:rsid w:val="00AF61B8"/>
    <w:rsid w:val="00AF6334"/>
    <w:rsid w:val="00AF6458"/>
    <w:rsid w:val="00AF6586"/>
    <w:rsid w:val="00AF687C"/>
    <w:rsid w:val="00AF6BBB"/>
    <w:rsid w:val="00AF6D77"/>
    <w:rsid w:val="00AF7364"/>
    <w:rsid w:val="00AF7628"/>
    <w:rsid w:val="00AF76E3"/>
    <w:rsid w:val="00AF7900"/>
    <w:rsid w:val="00AF7B0E"/>
    <w:rsid w:val="00AF7B8A"/>
    <w:rsid w:val="00AF7BEF"/>
    <w:rsid w:val="00AF7EF4"/>
    <w:rsid w:val="00B003E3"/>
    <w:rsid w:val="00B00650"/>
    <w:rsid w:val="00B00795"/>
    <w:rsid w:val="00B00B7E"/>
    <w:rsid w:val="00B0139F"/>
    <w:rsid w:val="00B0140D"/>
    <w:rsid w:val="00B01473"/>
    <w:rsid w:val="00B015A8"/>
    <w:rsid w:val="00B015C3"/>
    <w:rsid w:val="00B016E3"/>
    <w:rsid w:val="00B019DF"/>
    <w:rsid w:val="00B01B7A"/>
    <w:rsid w:val="00B01D3E"/>
    <w:rsid w:val="00B01E3C"/>
    <w:rsid w:val="00B02468"/>
    <w:rsid w:val="00B02502"/>
    <w:rsid w:val="00B027A8"/>
    <w:rsid w:val="00B027AF"/>
    <w:rsid w:val="00B02825"/>
    <w:rsid w:val="00B02941"/>
    <w:rsid w:val="00B02A0F"/>
    <w:rsid w:val="00B02A62"/>
    <w:rsid w:val="00B02C11"/>
    <w:rsid w:val="00B02CE6"/>
    <w:rsid w:val="00B02E67"/>
    <w:rsid w:val="00B02F35"/>
    <w:rsid w:val="00B02F97"/>
    <w:rsid w:val="00B02FF6"/>
    <w:rsid w:val="00B03366"/>
    <w:rsid w:val="00B0352C"/>
    <w:rsid w:val="00B037B0"/>
    <w:rsid w:val="00B03941"/>
    <w:rsid w:val="00B03A58"/>
    <w:rsid w:val="00B03C60"/>
    <w:rsid w:val="00B03ECE"/>
    <w:rsid w:val="00B04159"/>
    <w:rsid w:val="00B044B3"/>
    <w:rsid w:val="00B04509"/>
    <w:rsid w:val="00B04916"/>
    <w:rsid w:val="00B049F3"/>
    <w:rsid w:val="00B04D21"/>
    <w:rsid w:val="00B04DEB"/>
    <w:rsid w:val="00B04F1C"/>
    <w:rsid w:val="00B050A7"/>
    <w:rsid w:val="00B0511E"/>
    <w:rsid w:val="00B05157"/>
    <w:rsid w:val="00B051B3"/>
    <w:rsid w:val="00B05272"/>
    <w:rsid w:val="00B058F1"/>
    <w:rsid w:val="00B05D18"/>
    <w:rsid w:val="00B06310"/>
    <w:rsid w:val="00B065C2"/>
    <w:rsid w:val="00B065DA"/>
    <w:rsid w:val="00B06660"/>
    <w:rsid w:val="00B06A7C"/>
    <w:rsid w:val="00B06B56"/>
    <w:rsid w:val="00B070F4"/>
    <w:rsid w:val="00B07293"/>
    <w:rsid w:val="00B07588"/>
    <w:rsid w:val="00B07894"/>
    <w:rsid w:val="00B078AF"/>
    <w:rsid w:val="00B07B85"/>
    <w:rsid w:val="00B07C65"/>
    <w:rsid w:val="00B07DB5"/>
    <w:rsid w:val="00B104A2"/>
    <w:rsid w:val="00B10580"/>
    <w:rsid w:val="00B105CC"/>
    <w:rsid w:val="00B109FB"/>
    <w:rsid w:val="00B10A41"/>
    <w:rsid w:val="00B10C6A"/>
    <w:rsid w:val="00B10D94"/>
    <w:rsid w:val="00B10F8E"/>
    <w:rsid w:val="00B110F1"/>
    <w:rsid w:val="00B1111C"/>
    <w:rsid w:val="00B11157"/>
    <w:rsid w:val="00B111E3"/>
    <w:rsid w:val="00B115EF"/>
    <w:rsid w:val="00B117D6"/>
    <w:rsid w:val="00B11925"/>
    <w:rsid w:val="00B11A5F"/>
    <w:rsid w:val="00B11BEC"/>
    <w:rsid w:val="00B123F9"/>
    <w:rsid w:val="00B123FA"/>
    <w:rsid w:val="00B12448"/>
    <w:rsid w:val="00B12811"/>
    <w:rsid w:val="00B12940"/>
    <w:rsid w:val="00B12B97"/>
    <w:rsid w:val="00B12C4F"/>
    <w:rsid w:val="00B12D9D"/>
    <w:rsid w:val="00B12E99"/>
    <w:rsid w:val="00B12F1B"/>
    <w:rsid w:val="00B12F6F"/>
    <w:rsid w:val="00B12FB4"/>
    <w:rsid w:val="00B1356E"/>
    <w:rsid w:val="00B13589"/>
    <w:rsid w:val="00B135EC"/>
    <w:rsid w:val="00B13B69"/>
    <w:rsid w:val="00B13D3C"/>
    <w:rsid w:val="00B13FAF"/>
    <w:rsid w:val="00B14224"/>
    <w:rsid w:val="00B1447D"/>
    <w:rsid w:val="00B146C7"/>
    <w:rsid w:val="00B14891"/>
    <w:rsid w:val="00B14996"/>
    <w:rsid w:val="00B149AB"/>
    <w:rsid w:val="00B14EB8"/>
    <w:rsid w:val="00B14F0B"/>
    <w:rsid w:val="00B150A6"/>
    <w:rsid w:val="00B15457"/>
    <w:rsid w:val="00B155B5"/>
    <w:rsid w:val="00B156CB"/>
    <w:rsid w:val="00B1576D"/>
    <w:rsid w:val="00B15C07"/>
    <w:rsid w:val="00B15DEB"/>
    <w:rsid w:val="00B15E32"/>
    <w:rsid w:val="00B15EEC"/>
    <w:rsid w:val="00B15F05"/>
    <w:rsid w:val="00B15F84"/>
    <w:rsid w:val="00B15F8B"/>
    <w:rsid w:val="00B15FE6"/>
    <w:rsid w:val="00B16034"/>
    <w:rsid w:val="00B16176"/>
    <w:rsid w:val="00B161BE"/>
    <w:rsid w:val="00B16208"/>
    <w:rsid w:val="00B1622D"/>
    <w:rsid w:val="00B1635B"/>
    <w:rsid w:val="00B1637D"/>
    <w:rsid w:val="00B164DE"/>
    <w:rsid w:val="00B167CC"/>
    <w:rsid w:val="00B16A3D"/>
    <w:rsid w:val="00B16DFB"/>
    <w:rsid w:val="00B16FCF"/>
    <w:rsid w:val="00B16FF2"/>
    <w:rsid w:val="00B17007"/>
    <w:rsid w:val="00B17236"/>
    <w:rsid w:val="00B1755D"/>
    <w:rsid w:val="00B175F1"/>
    <w:rsid w:val="00B179AE"/>
    <w:rsid w:val="00B17C3F"/>
    <w:rsid w:val="00B17D24"/>
    <w:rsid w:val="00B17D5C"/>
    <w:rsid w:val="00B17FE3"/>
    <w:rsid w:val="00B20364"/>
    <w:rsid w:val="00B2041F"/>
    <w:rsid w:val="00B20450"/>
    <w:rsid w:val="00B205B0"/>
    <w:rsid w:val="00B20702"/>
    <w:rsid w:val="00B2074A"/>
    <w:rsid w:val="00B20A0B"/>
    <w:rsid w:val="00B20A63"/>
    <w:rsid w:val="00B20B4E"/>
    <w:rsid w:val="00B20BF2"/>
    <w:rsid w:val="00B20D58"/>
    <w:rsid w:val="00B20D62"/>
    <w:rsid w:val="00B20F99"/>
    <w:rsid w:val="00B21799"/>
    <w:rsid w:val="00B219C2"/>
    <w:rsid w:val="00B21C84"/>
    <w:rsid w:val="00B21DF5"/>
    <w:rsid w:val="00B220A8"/>
    <w:rsid w:val="00B2225B"/>
    <w:rsid w:val="00B22858"/>
    <w:rsid w:val="00B22A8A"/>
    <w:rsid w:val="00B22AB1"/>
    <w:rsid w:val="00B22B3F"/>
    <w:rsid w:val="00B22D61"/>
    <w:rsid w:val="00B23127"/>
    <w:rsid w:val="00B23132"/>
    <w:rsid w:val="00B23577"/>
    <w:rsid w:val="00B2382A"/>
    <w:rsid w:val="00B239C1"/>
    <w:rsid w:val="00B23A34"/>
    <w:rsid w:val="00B23DF0"/>
    <w:rsid w:val="00B23FA1"/>
    <w:rsid w:val="00B247F8"/>
    <w:rsid w:val="00B248A5"/>
    <w:rsid w:val="00B24A71"/>
    <w:rsid w:val="00B24B40"/>
    <w:rsid w:val="00B24D4E"/>
    <w:rsid w:val="00B24ED2"/>
    <w:rsid w:val="00B25013"/>
    <w:rsid w:val="00B2505A"/>
    <w:rsid w:val="00B25277"/>
    <w:rsid w:val="00B25435"/>
    <w:rsid w:val="00B25475"/>
    <w:rsid w:val="00B25529"/>
    <w:rsid w:val="00B25679"/>
    <w:rsid w:val="00B2587C"/>
    <w:rsid w:val="00B258E1"/>
    <w:rsid w:val="00B258F0"/>
    <w:rsid w:val="00B25AAC"/>
    <w:rsid w:val="00B25C83"/>
    <w:rsid w:val="00B25CBF"/>
    <w:rsid w:val="00B26199"/>
    <w:rsid w:val="00B26282"/>
    <w:rsid w:val="00B263FA"/>
    <w:rsid w:val="00B26408"/>
    <w:rsid w:val="00B264D3"/>
    <w:rsid w:val="00B26613"/>
    <w:rsid w:val="00B26719"/>
    <w:rsid w:val="00B267F8"/>
    <w:rsid w:val="00B2690F"/>
    <w:rsid w:val="00B26C14"/>
    <w:rsid w:val="00B26C50"/>
    <w:rsid w:val="00B26CFC"/>
    <w:rsid w:val="00B27033"/>
    <w:rsid w:val="00B270E7"/>
    <w:rsid w:val="00B27129"/>
    <w:rsid w:val="00B2719F"/>
    <w:rsid w:val="00B2770D"/>
    <w:rsid w:val="00B27761"/>
    <w:rsid w:val="00B278B0"/>
    <w:rsid w:val="00B278E6"/>
    <w:rsid w:val="00B2795D"/>
    <w:rsid w:val="00B27A82"/>
    <w:rsid w:val="00B27A9D"/>
    <w:rsid w:val="00B27B86"/>
    <w:rsid w:val="00B27EF6"/>
    <w:rsid w:val="00B3015A"/>
    <w:rsid w:val="00B3020C"/>
    <w:rsid w:val="00B306B2"/>
    <w:rsid w:val="00B308BE"/>
    <w:rsid w:val="00B30AA9"/>
    <w:rsid w:val="00B30B08"/>
    <w:rsid w:val="00B30DEA"/>
    <w:rsid w:val="00B311E4"/>
    <w:rsid w:val="00B312CC"/>
    <w:rsid w:val="00B315FF"/>
    <w:rsid w:val="00B3160C"/>
    <w:rsid w:val="00B31648"/>
    <w:rsid w:val="00B319E8"/>
    <w:rsid w:val="00B31A70"/>
    <w:rsid w:val="00B31CB4"/>
    <w:rsid w:val="00B31CF3"/>
    <w:rsid w:val="00B31EEC"/>
    <w:rsid w:val="00B32120"/>
    <w:rsid w:val="00B323B0"/>
    <w:rsid w:val="00B32610"/>
    <w:rsid w:val="00B32915"/>
    <w:rsid w:val="00B32AEE"/>
    <w:rsid w:val="00B32BAA"/>
    <w:rsid w:val="00B32D25"/>
    <w:rsid w:val="00B32DDE"/>
    <w:rsid w:val="00B32EC7"/>
    <w:rsid w:val="00B330A0"/>
    <w:rsid w:val="00B33199"/>
    <w:rsid w:val="00B331CC"/>
    <w:rsid w:val="00B33292"/>
    <w:rsid w:val="00B3337C"/>
    <w:rsid w:val="00B3348C"/>
    <w:rsid w:val="00B33516"/>
    <w:rsid w:val="00B337EE"/>
    <w:rsid w:val="00B337F9"/>
    <w:rsid w:val="00B338B6"/>
    <w:rsid w:val="00B33A94"/>
    <w:rsid w:val="00B33AE1"/>
    <w:rsid w:val="00B33F94"/>
    <w:rsid w:val="00B34288"/>
    <w:rsid w:val="00B344A6"/>
    <w:rsid w:val="00B348BA"/>
    <w:rsid w:val="00B348EE"/>
    <w:rsid w:val="00B3499E"/>
    <w:rsid w:val="00B34AE0"/>
    <w:rsid w:val="00B34CA2"/>
    <w:rsid w:val="00B34CE4"/>
    <w:rsid w:val="00B34DC2"/>
    <w:rsid w:val="00B34DE3"/>
    <w:rsid w:val="00B34FE1"/>
    <w:rsid w:val="00B352E1"/>
    <w:rsid w:val="00B3544C"/>
    <w:rsid w:val="00B354B3"/>
    <w:rsid w:val="00B354BA"/>
    <w:rsid w:val="00B3565D"/>
    <w:rsid w:val="00B35711"/>
    <w:rsid w:val="00B35BB7"/>
    <w:rsid w:val="00B36142"/>
    <w:rsid w:val="00B361A7"/>
    <w:rsid w:val="00B362FE"/>
    <w:rsid w:val="00B36471"/>
    <w:rsid w:val="00B36579"/>
    <w:rsid w:val="00B365BB"/>
    <w:rsid w:val="00B365C1"/>
    <w:rsid w:val="00B3694B"/>
    <w:rsid w:val="00B36966"/>
    <w:rsid w:val="00B36B18"/>
    <w:rsid w:val="00B36EAD"/>
    <w:rsid w:val="00B3738F"/>
    <w:rsid w:val="00B37525"/>
    <w:rsid w:val="00B3774C"/>
    <w:rsid w:val="00B378B6"/>
    <w:rsid w:val="00B37A21"/>
    <w:rsid w:val="00B37CFE"/>
    <w:rsid w:val="00B37DC7"/>
    <w:rsid w:val="00B37E59"/>
    <w:rsid w:val="00B37FE3"/>
    <w:rsid w:val="00B403ED"/>
    <w:rsid w:val="00B405AC"/>
    <w:rsid w:val="00B40688"/>
    <w:rsid w:val="00B40817"/>
    <w:rsid w:val="00B40A3E"/>
    <w:rsid w:val="00B40C61"/>
    <w:rsid w:val="00B40CC2"/>
    <w:rsid w:val="00B40F8E"/>
    <w:rsid w:val="00B41534"/>
    <w:rsid w:val="00B415D2"/>
    <w:rsid w:val="00B416EF"/>
    <w:rsid w:val="00B418A3"/>
    <w:rsid w:val="00B4196C"/>
    <w:rsid w:val="00B419D5"/>
    <w:rsid w:val="00B41A62"/>
    <w:rsid w:val="00B41B81"/>
    <w:rsid w:val="00B41E7F"/>
    <w:rsid w:val="00B41EC1"/>
    <w:rsid w:val="00B42259"/>
    <w:rsid w:val="00B4246D"/>
    <w:rsid w:val="00B42589"/>
    <w:rsid w:val="00B42995"/>
    <w:rsid w:val="00B42A7E"/>
    <w:rsid w:val="00B42B86"/>
    <w:rsid w:val="00B42DA2"/>
    <w:rsid w:val="00B42E56"/>
    <w:rsid w:val="00B4313E"/>
    <w:rsid w:val="00B432E5"/>
    <w:rsid w:val="00B433EB"/>
    <w:rsid w:val="00B433F0"/>
    <w:rsid w:val="00B43443"/>
    <w:rsid w:val="00B43791"/>
    <w:rsid w:val="00B4391D"/>
    <w:rsid w:val="00B43C5E"/>
    <w:rsid w:val="00B43E89"/>
    <w:rsid w:val="00B444A8"/>
    <w:rsid w:val="00B44506"/>
    <w:rsid w:val="00B4454D"/>
    <w:rsid w:val="00B44616"/>
    <w:rsid w:val="00B44618"/>
    <w:rsid w:val="00B4494E"/>
    <w:rsid w:val="00B44A00"/>
    <w:rsid w:val="00B44BE2"/>
    <w:rsid w:val="00B45110"/>
    <w:rsid w:val="00B45156"/>
    <w:rsid w:val="00B45263"/>
    <w:rsid w:val="00B4543B"/>
    <w:rsid w:val="00B4567E"/>
    <w:rsid w:val="00B458AA"/>
    <w:rsid w:val="00B459EF"/>
    <w:rsid w:val="00B45C2E"/>
    <w:rsid w:val="00B45C81"/>
    <w:rsid w:val="00B45EA0"/>
    <w:rsid w:val="00B4608E"/>
    <w:rsid w:val="00B4642F"/>
    <w:rsid w:val="00B46645"/>
    <w:rsid w:val="00B466C8"/>
    <w:rsid w:val="00B46B0C"/>
    <w:rsid w:val="00B46BD2"/>
    <w:rsid w:val="00B46C9C"/>
    <w:rsid w:val="00B46E66"/>
    <w:rsid w:val="00B46FE6"/>
    <w:rsid w:val="00B47081"/>
    <w:rsid w:val="00B47226"/>
    <w:rsid w:val="00B47268"/>
    <w:rsid w:val="00B47279"/>
    <w:rsid w:val="00B473C9"/>
    <w:rsid w:val="00B47692"/>
    <w:rsid w:val="00B476F6"/>
    <w:rsid w:val="00B47C4F"/>
    <w:rsid w:val="00B47C7B"/>
    <w:rsid w:val="00B47EBF"/>
    <w:rsid w:val="00B50591"/>
    <w:rsid w:val="00B5065C"/>
    <w:rsid w:val="00B5093D"/>
    <w:rsid w:val="00B509EF"/>
    <w:rsid w:val="00B50E23"/>
    <w:rsid w:val="00B50E3D"/>
    <w:rsid w:val="00B50F2F"/>
    <w:rsid w:val="00B51230"/>
    <w:rsid w:val="00B512D8"/>
    <w:rsid w:val="00B51513"/>
    <w:rsid w:val="00B51734"/>
    <w:rsid w:val="00B5197E"/>
    <w:rsid w:val="00B519D1"/>
    <w:rsid w:val="00B51CE8"/>
    <w:rsid w:val="00B52245"/>
    <w:rsid w:val="00B525FE"/>
    <w:rsid w:val="00B52790"/>
    <w:rsid w:val="00B5295D"/>
    <w:rsid w:val="00B52B1E"/>
    <w:rsid w:val="00B52B61"/>
    <w:rsid w:val="00B52B8B"/>
    <w:rsid w:val="00B52DE8"/>
    <w:rsid w:val="00B52EE4"/>
    <w:rsid w:val="00B530C6"/>
    <w:rsid w:val="00B531A8"/>
    <w:rsid w:val="00B5335F"/>
    <w:rsid w:val="00B535B8"/>
    <w:rsid w:val="00B53616"/>
    <w:rsid w:val="00B53629"/>
    <w:rsid w:val="00B537F3"/>
    <w:rsid w:val="00B53A69"/>
    <w:rsid w:val="00B53A76"/>
    <w:rsid w:val="00B53BEF"/>
    <w:rsid w:val="00B53BF0"/>
    <w:rsid w:val="00B54340"/>
    <w:rsid w:val="00B545A1"/>
    <w:rsid w:val="00B54727"/>
    <w:rsid w:val="00B548A5"/>
    <w:rsid w:val="00B54916"/>
    <w:rsid w:val="00B54A93"/>
    <w:rsid w:val="00B54C92"/>
    <w:rsid w:val="00B54CC2"/>
    <w:rsid w:val="00B54EE1"/>
    <w:rsid w:val="00B54F08"/>
    <w:rsid w:val="00B553E7"/>
    <w:rsid w:val="00B55850"/>
    <w:rsid w:val="00B55888"/>
    <w:rsid w:val="00B5590D"/>
    <w:rsid w:val="00B55984"/>
    <w:rsid w:val="00B55AF9"/>
    <w:rsid w:val="00B5614C"/>
    <w:rsid w:val="00B5634D"/>
    <w:rsid w:val="00B5659E"/>
    <w:rsid w:val="00B565E6"/>
    <w:rsid w:val="00B56644"/>
    <w:rsid w:val="00B5674F"/>
    <w:rsid w:val="00B56A21"/>
    <w:rsid w:val="00B56C54"/>
    <w:rsid w:val="00B56C91"/>
    <w:rsid w:val="00B571D6"/>
    <w:rsid w:val="00B57659"/>
    <w:rsid w:val="00B57883"/>
    <w:rsid w:val="00B57CD1"/>
    <w:rsid w:val="00B60026"/>
    <w:rsid w:val="00B60133"/>
    <w:rsid w:val="00B60196"/>
    <w:rsid w:val="00B6023B"/>
    <w:rsid w:val="00B606C6"/>
    <w:rsid w:val="00B6076A"/>
    <w:rsid w:val="00B60919"/>
    <w:rsid w:val="00B60944"/>
    <w:rsid w:val="00B60C10"/>
    <w:rsid w:val="00B60E58"/>
    <w:rsid w:val="00B60EE3"/>
    <w:rsid w:val="00B610C1"/>
    <w:rsid w:val="00B612F3"/>
    <w:rsid w:val="00B61391"/>
    <w:rsid w:val="00B615E4"/>
    <w:rsid w:val="00B616BB"/>
    <w:rsid w:val="00B61825"/>
    <w:rsid w:val="00B618CE"/>
    <w:rsid w:val="00B61A38"/>
    <w:rsid w:val="00B61AE7"/>
    <w:rsid w:val="00B61AFF"/>
    <w:rsid w:val="00B6214F"/>
    <w:rsid w:val="00B6222C"/>
    <w:rsid w:val="00B6256C"/>
    <w:rsid w:val="00B625D6"/>
    <w:rsid w:val="00B6277E"/>
    <w:rsid w:val="00B62C31"/>
    <w:rsid w:val="00B62D50"/>
    <w:rsid w:val="00B6305F"/>
    <w:rsid w:val="00B63972"/>
    <w:rsid w:val="00B639B0"/>
    <w:rsid w:val="00B63A2F"/>
    <w:rsid w:val="00B63AB6"/>
    <w:rsid w:val="00B63AB8"/>
    <w:rsid w:val="00B63ADA"/>
    <w:rsid w:val="00B63B8D"/>
    <w:rsid w:val="00B63C48"/>
    <w:rsid w:val="00B63FDB"/>
    <w:rsid w:val="00B640DE"/>
    <w:rsid w:val="00B64103"/>
    <w:rsid w:val="00B642E7"/>
    <w:rsid w:val="00B644CF"/>
    <w:rsid w:val="00B64618"/>
    <w:rsid w:val="00B646D5"/>
    <w:rsid w:val="00B64AB5"/>
    <w:rsid w:val="00B64AE9"/>
    <w:rsid w:val="00B64CA2"/>
    <w:rsid w:val="00B64EC9"/>
    <w:rsid w:val="00B6509C"/>
    <w:rsid w:val="00B65337"/>
    <w:rsid w:val="00B6537F"/>
    <w:rsid w:val="00B653A2"/>
    <w:rsid w:val="00B65531"/>
    <w:rsid w:val="00B655BD"/>
    <w:rsid w:val="00B65854"/>
    <w:rsid w:val="00B659FA"/>
    <w:rsid w:val="00B65DF1"/>
    <w:rsid w:val="00B65E07"/>
    <w:rsid w:val="00B65F5C"/>
    <w:rsid w:val="00B660BA"/>
    <w:rsid w:val="00B6625C"/>
    <w:rsid w:val="00B6627D"/>
    <w:rsid w:val="00B66314"/>
    <w:rsid w:val="00B664EF"/>
    <w:rsid w:val="00B66569"/>
    <w:rsid w:val="00B667BC"/>
    <w:rsid w:val="00B66A45"/>
    <w:rsid w:val="00B66A80"/>
    <w:rsid w:val="00B66F2F"/>
    <w:rsid w:val="00B66FC2"/>
    <w:rsid w:val="00B67021"/>
    <w:rsid w:val="00B6711A"/>
    <w:rsid w:val="00B67160"/>
    <w:rsid w:val="00B674BE"/>
    <w:rsid w:val="00B67585"/>
    <w:rsid w:val="00B677E8"/>
    <w:rsid w:val="00B679B0"/>
    <w:rsid w:val="00B67D7B"/>
    <w:rsid w:val="00B67F27"/>
    <w:rsid w:val="00B701C3"/>
    <w:rsid w:val="00B70302"/>
    <w:rsid w:val="00B7035E"/>
    <w:rsid w:val="00B70A27"/>
    <w:rsid w:val="00B70B4E"/>
    <w:rsid w:val="00B70CA7"/>
    <w:rsid w:val="00B71030"/>
    <w:rsid w:val="00B710DB"/>
    <w:rsid w:val="00B71143"/>
    <w:rsid w:val="00B711AA"/>
    <w:rsid w:val="00B714B8"/>
    <w:rsid w:val="00B7156C"/>
    <w:rsid w:val="00B71858"/>
    <w:rsid w:val="00B71975"/>
    <w:rsid w:val="00B71EBD"/>
    <w:rsid w:val="00B71F51"/>
    <w:rsid w:val="00B72070"/>
    <w:rsid w:val="00B720B5"/>
    <w:rsid w:val="00B722CB"/>
    <w:rsid w:val="00B7244A"/>
    <w:rsid w:val="00B72514"/>
    <w:rsid w:val="00B728B8"/>
    <w:rsid w:val="00B728FE"/>
    <w:rsid w:val="00B72935"/>
    <w:rsid w:val="00B72B82"/>
    <w:rsid w:val="00B72CB6"/>
    <w:rsid w:val="00B72DBB"/>
    <w:rsid w:val="00B72FA0"/>
    <w:rsid w:val="00B730CA"/>
    <w:rsid w:val="00B73295"/>
    <w:rsid w:val="00B732DD"/>
    <w:rsid w:val="00B73416"/>
    <w:rsid w:val="00B734F1"/>
    <w:rsid w:val="00B73709"/>
    <w:rsid w:val="00B73BCF"/>
    <w:rsid w:val="00B73C02"/>
    <w:rsid w:val="00B73F31"/>
    <w:rsid w:val="00B74061"/>
    <w:rsid w:val="00B740DE"/>
    <w:rsid w:val="00B74121"/>
    <w:rsid w:val="00B74313"/>
    <w:rsid w:val="00B7446C"/>
    <w:rsid w:val="00B744FF"/>
    <w:rsid w:val="00B7458E"/>
    <w:rsid w:val="00B74A33"/>
    <w:rsid w:val="00B74CA7"/>
    <w:rsid w:val="00B74CAE"/>
    <w:rsid w:val="00B750C7"/>
    <w:rsid w:val="00B75109"/>
    <w:rsid w:val="00B75352"/>
    <w:rsid w:val="00B7550A"/>
    <w:rsid w:val="00B756E3"/>
    <w:rsid w:val="00B75B71"/>
    <w:rsid w:val="00B75C02"/>
    <w:rsid w:val="00B75FD1"/>
    <w:rsid w:val="00B7626E"/>
    <w:rsid w:val="00B76386"/>
    <w:rsid w:val="00B76679"/>
    <w:rsid w:val="00B766B0"/>
    <w:rsid w:val="00B76BCF"/>
    <w:rsid w:val="00B76DD8"/>
    <w:rsid w:val="00B76EA6"/>
    <w:rsid w:val="00B76FCA"/>
    <w:rsid w:val="00B76FD9"/>
    <w:rsid w:val="00B77493"/>
    <w:rsid w:val="00B77F8B"/>
    <w:rsid w:val="00B77FEF"/>
    <w:rsid w:val="00B8009A"/>
    <w:rsid w:val="00B80131"/>
    <w:rsid w:val="00B80252"/>
    <w:rsid w:val="00B802E4"/>
    <w:rsid w:val="00B8049B"/>
    <w:rsid w:val="00B804E3"/>
    <w:rsid w:val="00B805B9"/>
    <w:rsid w:val="00B809D7"/>
    <w:rsid w:val="00B80C6C"/>
    <w:rsid w:val="00B80D37"/>
    <w:rsid w:val="00B810CE"/>
    <w:rsid w:val="00B81267"/>
    <w:rsid w:val="00B8152F"/>
    <w:rsid w:val="00B818B3"/>
    <w:rsid w:val="00B81AB4"/>
    <w:rsid w:val="00B81AF3"/>
    <w:rsid w:val="00B81B72"/>
    <w:rsid w:val="00B81EFE"/>
    <w:rsid w:val="00B81F60"/>
    <w:rsid w:val="00B81FE8"/>
    <w:rsid w:val="00B820AC"/>
    <w:rsid w:val="00B821C8"/>
    <w:rsid w:val="00B823BA"/>
    <w:rsid w:val="00B82593"/>
    <w:rsid w:val="00B825CF"/>
    <w:rsid w:val="00B826D0"/>
    <w:rsid w:val="00B8274E"/>
    <w:rsid w:val="00B8289A"/>
    <w:rsid w:val="00B82CB8"/>
    <w:rsid w:val="00B82F2A"/>
    <w:rsid w:val="00B83396"/>
    <w:rsid w:val="00B8344C"/>
    <w:rsid w:val="00B83A13"/>
    <w:rsid w:val="00B83AC1"/>
    <w:rsid w:val="00B83E6A"/>
    <w:rsid w:val="00B84000"/>
    <w:rsid w:val="00B840DB"/>
    <w:rsid w:val="00B8420A"/>
    <w:rsid w:val="00B844C3"/>
    <w:rsid w:val="00B847F7"/>
    <w:rsid w:val="00B8480A"/>
    <w:rsid w:val="00B8493E"/>
    <w:rsid w:val="00B84D39"/>
    <w:rsid w:val="00B84DCD"/>
    <w:rsid w:val="00B85332"/>
    <w:rsid w:val="00B8545F"/>
    <w:rsid w:val="00B8563C"/>
    <w:rsid w:val="00B857A3"/>
    <w:rsid w:val="00B857A8"/>
    <w:rsid w:val="00B857AC"/>
    <w:rsid w:val="00B85955"/>
    <w:rsid w:val="00B85C8D"/>
    <w:rsid w:val="00B85F63"/>
    <w:rsid w:val="00B8601C"/>
    <w:rsid w:val="00B86230"/>
    <w:rsid w:val="00B862DF"/>
    <w:rsid w:val="00B863F7"/>
    <w:rsid w:val="00B86426"/>
    <w:rsid w:val="00B8645E"/>
    <w:rsid w:val="00B868C1"/>
    <w:rsid w:val="00B86A00"/>
    <w:rsid w:val="00B86B78"/>
    <w:rsid w:val="00B86DDD"/>
    <w:rsid w:val="00B86FD4"/>
    <w:rsid w:val="00B87177"/>
    <w:rsid w:val="00B87237"/>
    <w:rsid w:val="00B874AD"/>
    <w:rsid w:val="00B8779A"/>
    <w:rsid w:val="00B87920"/>
    <w:rsid w:val="00B87C24"/>
    <w:rsid w:val="00B87E4B"/>
    <w:rsid w:val="00B90043"/>
    <w:rsid w:val="00B90317"/>
    <w:rsid w:val="00B9034D"/>
    <w:rsid w:val="00B90778"/>
    <w:rsid w:val="00B90943"/>
    <w:rsid w:val="00B90A64"/>
    <w:rsid w:val="00B90AB6"/>
    <w:rsid w:val="00B90B70"/>
    <w:rsid w:val="00B90E23"/>
    <w:rsid w:val="00B91113"/>
    <w:rsid w:val="00B91119"/>
    <w:rsid w:val="00B91385"/>
    <w:rsid w:val="00B917E6"/>
    <w:rsid w:val="00B91BDA"/>
    <w:rsid w:val="00B91C7D"/>
    <w:rsid w:val="00B91E73"/>
    <w:rsid w:val="00B91EA9"/>
    <w:rsid w:val="00B91F50"/>
    <w:rsid w:val="00B92120"/>
    <w:rsid w:val="00B92364"/>
    <w:rsid w:val="00B924DD"/>
    <w:rsid w:val="00B92513"/>
    <w:rsid w:val="00B9263A"/>
    <w:rsid w:val="00B92851"/>
    <w:rsid w:val="00B928ED"/>
    <w:rsid w:val="00B92968"/>
    <w:rsid w:val="00B929F7"/>
    <w:rsid w:val="00B92AF1"/>
    <w:rsid w:val="00B92CB5"/>
    <w:rsid w:val="00B92FB7"/>
    <w:rsid w:val="00B92FBF"/>
    <w:rsid w:val="00B9310C"/>
    <w:rsid w:val="00B931DA"/>
    <w:rsid w:val="00B93388"/>
    <w:rsid w:val="00B933E3"/>
    <w:rsid w:val="00B93466"/>
    <w:rsid w:val="00B93680"/>
    <w:rsid w:val="00B9391C"/>
    <w:rsid w:val="00B939E9"/>
    <w:rsid w:val="00B93B45"/>
    <w:rsid w:val="00B941F2"/>
    <w:rsid w:val="00B9428D"/>
    <w:rsid w:val="00B942DF"/>
    <w:rsid w:val="00B943D5"/>
    <w:rsid w:val="00B943FD"/>
    <w:rsid w:val="00B94731"/>
    <w:rsid w:val="00B94AE9"/>
    <w:rsid w:val="00B94AFF"/>
    <w:rsid w:val="00B94D17"/>
    <w:rsid w:val="00B94E66"/>
    <w:rsid w:val="00B94EBF"/>
    <w:rsid w:val="00B94EC2"/>
    <w:rsid w:val="00B94F19"/>
    <w:rsid w:val="00B94F59"/>
    <w:rsid w:val="00B94FB3"/>
    <w:rsid w:val="00B954EB"/>
    <w:rsid w:val="00B955B5"/>
    <w:rsid w:val="00B95687"/>
    <w:rsid w:val="00B957EC"/>
    <w:rsid w:val="00B958AD"/>
    <w:rsid w:val="00B95962"/>
    <w:rsid w:val="00B95C00"/>
    <w:rsid w:val="00B95F2F"/>
    <w:rsid w:val="00B9601A"/>
    <w:rsid w:val="00B960D2"/>
    <w:rsid w:val="00B96135"/>
    <w:rsid w:val="00B9639D"/>
    <w:rsid w:val="00B963E0"/>
    <w:rsid w:val="00B96466"/>
    <w:rsid w:val="00B9657D"/>
    <w:rsid w:val="00B965EE"/>
    <w:rsid w:val="00B96D2C"/>
    <w:rsid w:val="00B96F94"/>
    <w:rsid w:val="00B9707E"/>
    <w:rsid w:val="00B971F5"/>
    <w:rsid w:val="00B97254"/>
    <w:rsid w:val="00B973ED"/>
    <w:rsid w:val="00B97759"/>
    <w:rsid w:val="00B977FA"/>
    <w:rsid w:val="00B9792E"/>
    <w:rsid w:val="00B97B22"/>
    <w:rsid w:val="00B97CC8"/>
    <w:rsid w:val="00B97DCC"/>
    <w:rsid w:val="00B97E7D"/>
    <w:rsid w:val="00BA00E2"/>
    <w:rsid w:val="00BA033D"/>
    <w:rsid w:val="00BA0481"/>
    <w:rsid w:val="00BA04A6"/>
    <w:rsid w:val="00BA04E8"/>
    <w:rsid w:val="00BA0538"/>
    <w:rsid w:val="00BA09F4"/>
    <w:rsid w:val="00BA0D45"/>
    <w:rsid w:val="00BA1000"/>
    <w:rsid w:val="00BA11E3"/>
    <w:rsid w:val="00BA1234"/>
    <w:rsid w:val="00BA13EA"/>
    <w:rsid w:val="00BA166A"/>
    <w:rsid w:val="00BA1854"/>
    <w:rsid w:val="00BA191C"/>
    <w:rsid w:val="00BA1A2D"/>
    <w:rsid w:val="00BA1B29"/>
    <w:rsid w:val="00BA2101"/>
    <w:rsid w:val="00BA2146"/>
    <w:rsid w:val="00BA2298"/>
    <w:rsid w:val="00BA23CF"/>
    <w:rsid w:val="00BA2503"/>
    <w:rsid w:val="00BA29B1"/>
    <w:rsid w:val="00BA2C21"/>
    <w:rsid w:val="00BA2C69"/>
    <w:rsid w:val="00BA2C93"/>
    <w:rsid w:val="00BA2CF5"/>
    <w:rsid w:val="00BA2D26"/>
    <w:rsid w:val="00BA30A0"/>
    <w:rsid w:val="00BA348D"/>
    <w:rsid w:val="00BA34CF"/>
    <w:rsid w:val="00BA358D"/>
    <w:rsid w:val="00BA35D0"/>
    <w:rsid w:val="00BA3817"/>
    <w:rsid w:val="00BA3A22"/>
    <w:rsid w:val="00BA4179"/>
    <w:rsid w:val="00BA4216"/>
    <w:rsid w:val="00BA43DD"/>
    <w:rsid w:val="00BA45BD"/>
    <w:rsid w:val="00BA4761"/>
    <w:rsid w:val="00BA481C"/>
    <w:rsid w:val="00BA4CA0"/>
    <w:rsid w:val="00BA4DDB"/>
    <w:rsid w:val="00BA524B"/>
    <w:rsid w:val="00BA56F3"/>
    <w:rsid w:val="00BA57A0"/>
    <w:rsid w:val="00BA5833"/>
    <w:rsid w:val="00BA5D2F"/>
    <w:rsid w:val="00BA62C6"/>
    <w:rsid w:val="00BA62E8"/>
    <w:rsid w:val="00BA64A4"/>
    <w:rsid w:val="00BA6926"/>
    <w:rsid w:val="00BA6A2F"/>
    <w:rsid w:val="00BA6A6A"/>
    <w:rsid w:val="00BA6BA0"/>
    <w:rsid w:val="00BA6D76"/>
    <w:rsid w:val="00BA6E38"/>
    <w:rsid w:val="00BA6F2A"/>
    <w:rsid w:val="00BA7170"/>
    <w:rsid w:val="00BA71D7"/>
    <w:rsid w:val="00BA74D7"/>
    <w:rsid w:val="00BA74EE"/>
    <w:rsid w:val="00BA77FD"/>
    <w:rsid w:val="00BA78E5"/>
    <w:rsid w:val="00BA7C81"/>
    <w:rsid w:val="00BA7F21"/>
    <w:rsid w:val="00BB0200"/>
    <w:rsid w:val="00BB05DB"/>
    <w:rsid w:val="00BB077A"/>
    <w:rsid w:val="00BB1411"/>
    <w:rsid w:val="00BB147C"/>
    <w:rsid w:val="00BB14E8"/>
    <w:rsid w:val="00BB1578"/>
    <w:rsid w:val="00BB1709"/>
    <w:rsid w:val="00BB1AF8"/>
    <w:rsid w:val="00BB1BC4"/>
    <w:rsid w:val="00BB1D52"/>
    <w:rsid w:val="00BB1F69"/>
    <w:rsid w:val="00BB205E"/>
    <w:rsid w:val="00BB2229"/>
    <w:rsid w:val="00BB306E"/>
    <w:rsid w:val="00BB3201"/>
    <w:rsid w:val="00BB33FB"/>
    <w:rsid w:val="00BB34CC"/>
    <w:rsid w:val="00BB367D"/>
    <w:rsid w:val="00BB372B"/>
    <w:rsid w:val="00BB3784"/>
    <w:rsid w:val="00BB39A1"/>
    <w:rsid w:val="00BB3A69"/>
    <w:rsid w:val="00BB3A87"/>
    <w:rsid w:val="00BB3A9E"/>
    <w:rsid w:val="00BB3AE8"/>
    <w:rsid w:val="00BB3B15"/>
    <w:rsid w:val="00BB3BD3"/>
    <w:rsid w:val="00BB3C1B"/>
    <w:rsid w:val="00BB3DE1"/>
    <w:rsid w:val="00BB3E74"/>
    <w:rsid w:val="00BB3EA4"/>
    <w:rsid w:val="00BB3EBB"/>
    <w:rsid w:val="00BB4298"/>
    <w:rsid w:val="00BB42AC"/>
    <w:rsid w:val="00BB44CC"/>
    <w:rsid w:val="00BB44EF"/>
    <w:rsid w:val="00BB4500"/>
    <w:rsid w:val="00BB463A"/>
    <w:rsid w:val="00BB476E"/>
    <w:rsid w:val="00BB479C"/>
    <w:rsid w:val="00BB48B5"/>
    <w:rsid w:val="00BB4EE8"/>
    <w:rsid w:val="00BB4FF3"/>
    <w:rsid w:val="00BB542E"/>
    <w:rsid w:val="00BB54A4"/>
    <w:rsid w:val="00BB555D"/>
    <w:rsid w:val="00BB5788"/>
    <w:rsid w:val="00BB59DD"/>
    <w:rsid w:val="00BB5B09"/>
    <w:rsid w:val="00BB5C19"/>
    <w:rsid w:val="00BB5C94"/>
    <w:rsid w:val="00BB5CD6"/>
    <w:rsid w:val="00BB5EA0"/>
    <w:rsid w:val="00BB6020"/>
    <w:rsid w:val="00BB62F7"/>
    <w:rsid w:val="00BB6317"/>
    <w:rsid w:val="00BB6751"/>
    <w:rsid w:val="00BB6905"/>
    <w:rsid w:val="00BB69B8"/>
    <w:rsid w:val="00BB6A87"/>
    <w:rsid w:val="00BB711E"/>
    <w:rsid w:val="00BB7175"/>
    <w:rsid w:val="00BB7763"/>
    <w:rsid w:val="00BB77D9"/>
    <w:rsid w:val="00BB7C77"/>
    <w:rsid w:val="00BB7D5E"/>
    <w:rsid w:val="00BC005E"/>
    <w:rsid w:val="00BC0089"/>
    <w:rsid w:val="00BC01BE"/>
    <w:rsid w:val="00BC0591"/>
    <w:rsid w:val="00BC0C49"/>
    <w:rsid w:val="00BC0C9D"/>
    <w:rsid w:val="00BC0D5A"/>
    <w:rsid w:val="00BC0EBC"/>
    <w:rsid w:val="00BC0F65"/>
    <w:rsid w:val="00BC0F6E"/>
    <w:rsid w:val="00BC0F71"/>
    <w:rsid w:val="00BC1237"/>
    <w:rsid w:val="00BC12FB"/>
    <w:rsid w:val="00BC1412"/>
    <w:rsid w:val="00BC1482"/>
    <w:rsid w:val="00BC16B9"/>
    <w:rsid w:val="00BC1700"/>
    <w:rsid w:val="00BC1A21"/>
    <w:rsid w:val="00BC1B9A"/>
    <w:rsid w:val="00BC1D6C"/>
    <w:rsid w:val="00BC1DEF"/>
    <w:rsid w:val="00BC1EBB"/>
    <w:rsid w:val="00BC1F7D"/>
    <w:rsid w:val="00BC1FF7"/>
    <w:rsid w:val="00BC20CD"/>
    <w:rsid w:val="00BC24F1"/>
    <w:rsid w:val="00BC2507"/>
    <w:rsid w:val="00BC2516"/>
    <w:rsid w:val="00BC2635"/>
    <w:rsid w:val="00BC263F"/>
    <w:rsid w:val="00BC2BCD"/>
    <w:rsid w:val="00BC2DD4"/>
    <w:rsid w:val="00BC2F61"/>
    <w:rsid w:val="00BC3086"/>
    <w:rsid w:val="00BC3139"/>
    <w:rsid w:val="00BC3211"/>
    <w:rsid w:val="00BC330B"/>
    <w:rsid w:val="00BC334D"/>
    <w:rsid w:val="00BC3470"/>
    <w:rsid w:val="00BC34C9"/>
    <w:rsid w:val="00BC350C"/>
    <w:rsid w:val="00BC35AB"/>
    <w:rsid w:val="00BC368A"/>
    <w:rsid w:val="00BC3A8F"/>
    <w:rsid w:val="00BC3B9E"/>
    <w:rsid w:val="00BC3BDE"/>
    <w:rsid w:val="00BC3CA4"/>
    <w:rsid w:val="00BC3D93"/>
    <w:rsid w:val="00BC3DA8"/>
    <w:rsid w:val="00BC403C"/>
    <w:rsid w:val="00BC42E5"/>
    <w:rsid w:val="00BC4503"/>
    <w:rsid w:val="00BC4687"/>
    <w:rsid w:val="00BC4753"/>
    <w:rsid w:val="00BC47B2"/>
    <w:rsid w:val="00BC494F"/>
    <w:rsid w:val="00BC4DA2"/>
    <w:rsid w:val="00BC50E1"/>
    <w:rsid w:val="00BC527E"/>
    <w:rsid w:val="00BC5380"/>
    <w:rsid w:val="00BC57D7"/>
    <w:rsid w:val="00BC589E"/>
    <w:rsid w:val="00BC5949"/>
    <w:rsid w:val="00BC5B4D"/>
    <w:rsid w:val="00BC5D15"/>
    <w:rsid w:val="00BC5F28"/>
    <w:rsid w:val="00BC5F54"/>
    <w:rsid w:val="00BC605B"/>
    <w:rsid w:val="00BC6413"/>
    <w:rsid w:val="00BC6538"/>
    <w:rsid w:val="00BC6553"/>
    <w:rsid w:val="00BC670E"/>
    <w:rsid w:val="00BC6750"/>
    <w:rsid w:val="00BC6D27"/>
    <w:rsid w:val="00BC6D49"/>
    <w:rsid w:val="00BC6E6D"/>
    <w:rsid w:val="00BC6EEF"/>
    <w:rsid w:val="00BC7152"/>
    <w:rsid w:val="00BC71D8"/>
    <w:rsid w:val="00BC78E5"/>
    <w:rsid w:val="00BC7C08"/>
    <w:rsid w:val="00BC7C10"/>
    <w:rsid w:val="00BC7CF2"/>
    <w:rsid w:val="00BC7EAA"/>
    <w:rsid w:val="00BC7F8C"/>
    <w:rsid w:val="00BD0760"/>
    <w:rsid w:val="00BD0845"/>
    <w:rsid w:val="00BD093E"/>
    <w:rsid w:val="00BD0A51"/>
    <w:rsid w:val="00BD0C5C"/>
    <w:rsid w:val="00BD0D90"/>
    <w:rsid w:val="00BD0EC4"/>
    <w:rsid w:val="00BD0F78"/>
    <w:rsid w:val="00BD10DD"/>
    <w:rsid w:val="00BD1377"/>
    <w:rsid w:val="00BD137B"/>
    <w:rsid w:val="00BD1437"/>
    <w:rsid w:val="00BD1601"/>
    <w:rsid w:val="00BD1631"/>
    <w:rsid w:val="00BD18AA"/>
    <w:rsid w:val="00BD1C8D"/>
    <w:rsid w:val="00BD1D6E"/>
    <w:rsid w:val="00BD1E01"/>
    <w:rsid w:val="00BD2325"/>
    <w:rsid w:val="00BD259B"/>
    <w:rsid w:val="00BD276B"/>
    <w:rsid w:val="00BD283A"/>
    <w:rsid w:val="00BD2B83"/>
    <w:rsid w:val="00BD2BE8"/>
    <w:rsid w:val="00BD2F23"/>
    <w:rsid w:val="00BD34A8"/>
    <w:rsid w:val="00BD385F"/>
    <w:rsid w:val="00BD3948"/>
    <w:rsid w:val="00BD399B"/>
    <w:rsid w:val="00BD39D0"/>
    <w:rsid w:val="00BD39E0"/>
    <w:rsid w:val="00BD3B6E"/>
    <w:rsid w:val="00BD3BEA"/>
    <w:rsid w:val="00BD3E0B"/>
    <w:rsid w:val="00BD3E37"/>
    <w:rsid w:val="00BD3FB1"/>
    <w:rsid w:val="00BD40DB"/>
    <w:rsid w:val="00BD423D"/>
    <w:rsid w:val="00BD44B0"/>
    <w:rsid w:val="00BD46A8"/>
    <w:rsid w:val="00BD46C5"/>
    <w:rsid w:val="00BD4AE8"/>
    <w:rsid w:val="00BD4B7A"/>
    <w:rsid w:val="00BD520B"/>
    <w:rsid w:val="00BD5285"/>
    <w:rsid w:val="00BD5370"/>
    <w:rsid w:val="00BD53AE"/>
    <w:rsid w:val="00BD53F6"/>
    <w:rsid w:val="00BD5484"/>
    <w:rsid w:val="00BD54A4"/>
    <w:rsid w:val="00BD55BC"/>
    <w:rsid w:val="00BD5AA8"/>
    <w:rsid w:val="00BD5AE6"/>
    <w:rsid w:val="00BD5BCC"/>
    <w:rsid w:val="00BD5CCE"/>
    <w:rsid w:val="00BD6001"/>
    <w:rsid w:val="00BD613D"/>
    <w:rsid w:val="00BD62FD"/>
    <w:rsid w:val="00BD6389"/>
    <w:rsid w:val="00BD64EC"/>
    <w:rsid w:val="00BD64F8"/>
    <w:rsid w:val="00BD671B"/>
    <w:rsid w:val="00BD676E"/>
    <w:rsid w:val="00BD6845"/>
    <w:rsid w:val="00BD6A17"/>
    <w:rsid w:val="00BD6A37"/>
    <w:rsid w:val="00BD6B63"/>
    <w:rsid w:val="00BD6CE5"/>
    <w:rsid w:val="00BD6DC6"/>
    <w:rsid w:val="00BD6FC8"/>
    <w:rsid w:val="00BD718D"/>
    <w:rsid w:val="00BD733A"/>
    <w:rsid w:val="00BD7418"/>
    <w:rsid w:val="00BD7453"/>
    <w:rsid w:val="00BD7605"/>
    <w:rsid w:val="00BD7DA7"/>
    <w:rsid w:val="00BD7F04"/>
    <w:rsid w:val="00BE084E"/>
    <w:rsid w:val="00BE0CF4"/>
    <w:rsid w:val="00BE0F81"/>
    <w:rsid w:val="00BE1088"/>
    <w:rsid w:val="00BE11D9"/>
    <w:rsid w:val="00BE141F"/>
    <w:rsid w:val="00BE1D0C"/>
    <w:rsid w:val="00BE1F8C"/>
    <w:rsid w:val="00BE2151"/>
    <w:rsid w:val="00BE23A8"/>
    <w:rsid w:val="00BE241A"/>
    <w:rsid w:val="00BE2439"/>
    <w:rsid w:val="00BE251F"/>
    <w:rsid w:val="00BE2546"/>
    <w:rsid w:val="00BE255D"/>
    <w:rsid w:val="00BE2595"/>
    <w:rsid w:val="00BE2831"/>
    <w:rsid w:val="00BE2A86"/>
    <w:rsid w:val="00BE2B5E"/>
    <w:rsid w:val="00BE2C3E"/>
    <w:rsid w:val="00BE2DDD"/>
    <w:rsid w:val="00BE2EAD"/>
    <w:rsid w:val="00BE329D"/>
    <w:rsid w:val="00BE33B1"/>
    <w:rsid w:val="00BE3610"/>
    <w:rsid w:val="00BE3927"/>
    <w:rsid w:val="00BE3AA7"/>
    <w:rsid w:val="00BE3AF2"/>
    <w:rsid w:val="00BE3BEC"/>
    <w:rsid w:val="00BE3DBE"/>
    <w:rsid w:val="00BE3EFB"/>
    <w:rsid w:val="00BE421B"/>
    <w:rsid w:val="00BE422D"/>
    <w:rsid w:val="00BE4571"/>
    <w:rsid w:val="00BE457E"/>
    <w:rsid w:val="00BE47B9"/>
    <w:rsid w:val="00BE4C87"/>
    <w:rsid w:val="00BE4DB1"/>
    <w:rsid w:val="00BE4DDD"/>
    <w:rsid w:val="00BE4E0A"/>
    <w:rsid w:val="00BE4F5F"/>
    <w:rsid w:val="00BE4FBF"/>
    <w:rsid w:val="00BE504D"/>
    <w:rsid w:val="00BE526E"/>
    <w:rsid w:val="00BE5391"/>
    <w:rsid w:val="00BE559E"/>
    <w:rsid w:val="00BE5AE4"/>
    <w:rsid w:val="00BE5B35"/>
    <w:rsid w:val="00BE5E40"/>
    <w:rsid w:val="00BE5E76"/>
    <w:rsid w:val="00BE5E8B"/>
    <w:rsid w:val="00BE6011"/>
    <w:rsid w:val="00BE609E"/>
    <w:rsid w:val="00BE60B3"/>
    <w:rsid w:val="00BE6330"/>
    <w:rsid w:val="00BE6724"/>
    <w:rsid w:val="00BE673D"/>
    <w:rsid w:val="00BE6895"/>
    <w:rsid w:val="00BE6A26"/>
    <w:rsid w:val="00BE6C0D"/>
    <w:rsid w:val="00BE6C1D"/>
    <w:rsid w:val="00BE6C9A"/>
    <w:rsid w:val="00BE6FDC"/>
    <w:rsid w:val="00BE738E"/>
    <w:rsid w:val="00BE7A29"/>
    <w:rsid w:val="00BE7CB3"/>
    <w:rsid w:val="00BE7DD8"/>
    <w:rsid w:val="00BE7E02"/>
    <w:rsid w:val="00BE7E64"/>
    <w:rsid w:val="00BF02C6"/>
    <w:rsid w:val="00BF0472"/>
    <w:rsid w:val="00BF05EE"/>
    <w:rsid w:val="00BF0655"/>
    <w:rsid w:val="00BF0774"/>
    <w:rsid w:val="00BF086C"/>
    <w:rsid w:val="00BF0A7A"/>
    <w:rsid w:val="00BF0B56"/>
    <w:rsid w:val="00BF0D02"/>
    <w:rsid w:val="00BF0E7D"/>
    <w:rsid w:val="00BF0EE5"/>
    <w:rsid w:val="00BF12B3"/>
    <w:rsid w:val="00BF1319"/>
    <w:rsid w:val="00BF138F"/>
    <w:rsid w:val="00BF13F1"/>
    <w:rsid w:val="00BF1432"/>
    <w:rsid w:val="00BF1907"/>
    <w:rsid w:val="00BF1A11"/>
    <w:rsid w:val="00BF1BD4"/>
    <w:rsid w:val="00BF1C6E"/>
    <w:rsid w:val="00BF1D23"/>
    <w:rsid w:val="00BF1E75"/>
    <w:rsid w:val="00BF1FBE"/>
    <w:rsid w:val="00BF24C2"/>
    <w:rsid w:val="00BF2714"/>
    <w:rsid w:val="00BF2A71"/>
    <w:rsid w:val="00BF2EBE"/>
    <w:rsid w:val="00BF2EFD"/>
    <w:rsid w:val="00BF312F"/>
    <w:rsid w:val="00BF31AA"/>
    <w:rsid w:val="00BF31D9"/>
    <w:rsid w:val="00BF3444"/>
    <w:rsid w:val="00BF3756"/>
    <w:rsid w:val="00BF396E"/>
    <w:rsid w:val="00BF3D5B"/>
    <w:rsid w:val="00BF42A9"/>
    <w:rsid w:val="00BF4556"/>
    <w:rsid w:val="00BF474B"/>
    <w:rsid w:val="00BF4762"/>
    <w:rsid w:val="00BF476A"/>
    <w:rsid w:val="00BF481D"/>
    <w:rsid w:val="00BF4979"/>
    <w:rsid w:val="00BF4B3E"/>
    <w:rsid w:val="00BF4D41"/>
    <w:rsid w:val="00BF532B"/>
    <w:rsid w:val="00BF53C5"/>
    <w:rsid w:val="00BF53E3"/>
    <w:rsid w:val="00BF5485"/>
    <w:rsid w:val="00BF5531"/>
    <w:rsid w:val="00BF56B6"/>
    <w:rsid w:val="00BF589D"/>
    <w:rsid w:val="00BF593B"/>
    <w:rsid w:val="00BF5C54"/>
    <w:rsid w:val="00BF5CCF"/>
    <w:rsid w:val="00BF5D18"/>
    <w:rsid w:val="00BF5DAF"/>
    <w:rsid w:val="00BF5F74"/>
    <w:rsid w:val="00BF60E8"/>
    <w:rsid w:val="00BF6283"/>
    <w:rsid w:val="00BF64A3"/>
    <w:rsid w:val="00BF65C5"/>
    <w:rsid w:val="00BF6A0E"/>
    <w:rsid w:val="00BF6A90"/>
    <w:rsid w:val="00BF6B00"/>
    <w:rsid w:val="00BF6B24"/>
    <w:rsid w:val="00BF6C64"/>
    <w:rsid w:val="00BF6C72"/>
    <w:rsid w:val="00BF6C8E"/>
    <w:rsid w:val="00BF6E95"/>
    <w:rsid w:val="00BF6EFA"/>
    <w:rsid w:val="00BF73A1"/>
    <w:rsid w:val="00BF763B"/>
    <w:rsid w:val="00BF77A5"/>
    <w:rsid w:val="00BF7A00"/>
    <w:rsid w:val="00BF7C14"/>
    <w:rsid w:val="00C0005A"/>
    <w:rsid w:val="00C0009B"/>
    <w:rsid w:val="00C001F1"/>
    <w:rsid w:val="00C00355"/>
    <w:rsid w:val="00C005A5"/>
    <w:rsid w:val="00C008B4"/>
    <w:rsid w:val="00C008CA"/>
    <w:rsid w:val="00C00A78"/>
    <w:rsid w:val="00C00BCC"/>
    <w:rsid w:val="00C00C18"/>
    <w:rsid w:val="00C0110B"/>
    <w:rsid w:val="00C01166"/>
    <w:rsid w:val="00C0125E"/>
    <w:rsid w:val="00C0126F"/>
    <w:rsid w:val="00C01349"/>
    <w:rsid w:val="00C01719"/>
    <w:rsid w:val="00C01797"/>
    <w:rsid w:val="00C019FD"/>
    <w:rsid w:val="00C01A5E"/>
    <w:rsid w:val="00C01BBD"/>
    <w:rsid w:val="00C01C6D"/>
    <w:rsid w:val="00C01D40"/>
    <w:rsid w:val="00C01EC2"/>
    <w:rsid w:val="00C01FD6"/>
    <w:rsid w:val="00C02203"/>
    <w:rsid w:val="00C022F6"/>
    <w:rsid w:val="00C023A3"/>
    <w:rsid w:val="00C023BC"/>
    <w:rsid w:val="00C02428"/>
    <w:rsid w:val="00C025DA"/>
    <w:rsid w:val="00C02763"/>
    <w:rsid w:val="00C02A59"/>
    <w:rsid w:val="00C02AC6"/>
    <w:rsid w:val="00C02BC1"/>
    <w:rsid w:val="00C0302C"/>
    <w:rsid w:val="00C0304B"/>
    <w:rsid w:val="00C0313A"/>
    <w:rsid w:val="00C033DE"/>
    <w:rsid w:val="00C035F0"/>
    <w:rsid w:val="00C03604"/>
    <w:rsid w:val="00C03B16"/>
    <w:rsid w:val="00C03BC7"/>
    <w:rsid w:val="00C03BCE"/>
    <w:rsid w:val="00C03E71"/>
    <w:rsid w:val="00C04056"/>
    <w:rsid w:val="00C0434B"/>
    <w:rsid w:val="00C043F1"/>
    <w:rsid w:val="00C0444D"/>
    <w:rsid w:val="00C04468"/>
    <w:rsid w:val="00C0449B"/>
    <w:rsid w:val="00C04C54"/>
    <w:rsid w:val="00C05127"/>
    <w:rsid w:val="00C0550A"/>
    <w:rsid w:val="00C0583C"/>
    <w:rsid w:val="00C058BE"/>
    <w:rsid w:val="00C0599B"/>
    <w:rsid w:val="00C05D2E"/>
    <w:rsid w:val="00C05EBD"/>
    <w:rsid w:val="00C05F97"/>
    <w:rsid w:val="00C06197"/>
    <w:rsid w:val="00C062EB"/>
    <w:rsid w:val="00C06318"/>
    <w:rsid w:val="00C063D1"/>
    <w:rsid w:val="00C06645"/>
    <w:rsid w:val="00C06CB3"/>
    <w:rsid w:val="00C06D21"/>
    <w:rsid w:val="00C06D55"/>
    <w:rsid w:val="00C06D75"/>
    <w:rsid w:val="00C06FF3"/>
    <w:rsid w:val="00C0707C"/>
    <w:rsid w:val="00C07266"/>
    <w:rsid w:val="00C073F2"/>
    <w:rsid w:val="00C074D9"/>
    <w:rsid w:val="00C075C1"/>
    <w:rsid w:val="00C0780A"/>
    <w:rsid w:val="00C07A1E"/>
    <w:rsid w:val="00C07A9B"/>
    <w:rsid w:val="00C07AE1"/>
    <w:rsid w:val="00C1002D"/>
    <w:rsid w:val="00C10200"/>
    <w:rsid w:val="00C1058C"/>
    <w:rsid w:val="00C1063B"/>
    <w:rsid w:val="00C1069A"/>
    <w:rsid w:val="00C10712"/>
    <w:rsid w:val="00C10A0B"/>
    <w:rsid w:val="00C10DF0"/>
    <w:rsid w:val="00C10E03"/>
    <w:rsid w:val="00C10E4B"/>
    <w:rsid w:val="00C10F4D"/>
    <w:rsid w:val="00C11081"/>
    <w:rsid w:val="00C11392"/>
    <w:rsid w:val="00C1167E"/>
    <w:rsid w:val="00C11781"/>
    <w:rsid w:val="00C11968"/>
    <w:rsid w:val="00C11C5A"/>
    <w:rsid w:val="00C12034"/>
    <w:rsid w:val="00C120A6"/>
    <w:rsid w:val="00C123BB"/>
    <w:rsid w:val="00C123EB"/>
    <w:rsid w:val="00C1243D"/>
    <w:rsid w:val="00C12776"/>
    <w:rsid w:val="00C12ABF"/>
    <w:rsid w:val="00C12DFB"/>
    <w:rsid w:val="00C13042"/>
    <w:rsid w:val="00C13047"/>
    <w:rsid w:val="00C13638"/>
    <w:rsid w:val="00C13751"/>
    <w:rsid w:val="00C13977"/>
    <w:rsid w:val="00C13A3C"/>
    <w:rsid w:val="00C13C51"/>
    <w:rsid w:val="00C13EDE"/>
    <w:rsid w:val="00C141D7"/>
    <w:rsid w:val="00C14389"/>
    <w:rsid w:val="00C1474B"/>
    <w:rsid w:val="00C14CAD"/>
    <w:rsid w:val="00C14F7C"/>
    <w:rsid w:val="00C1511B"/>
    <w:rsid w:val="00C151C6"/>
    <w:rsid w:val="00C15291"/>
    <w:rsid w:val="00C1542F"/>
    <w:rsid w:val="00C154CF"/>
    <w:rsid w:val="00C154DB"/>
    <w:rsid w:val="00C15612"/>
    <w:rsid w:val="00C15731"/>
    <w:rsid w:val="00C159CE"/>
    <w:rsid w:val="00C159EE"/>
    <w:rsid w:val="00C15E71"/>
    <w:rsid w:val="00C15E9E"/>
    <w:rsid w:val="00C1610B"/>
    <w:rsid w:val="00C16230"/>
    <w:rsid w:val="00C163E1"/>
    <w:rsid w:val="00C163EE"/>
    <w:rsid w:val="00C16564"/>
    <w:rsid w:val="00C166B3"/>
    <w:rsid w:val="00C166FF"/>
    <w:rsid w:val="00C1672B"/>
    <w:rsid w:val="00C16C2B"/>
    <w:rsid w:val="00C16F3E"/>
    <w:rsid w:val="00C17110"/>
    <w:rsid w:val="00C171F0"/>
    <w:rsid w:val="00C173FF"/>
    <w:rsid w:val="00C17934"/>
    <w:rsid w:val="00C17AF8"/>
    <w:rsid w:val="00C17BE4"/>
    <w:rsid w:val="00C17F89"/>
    <w:rsid w:val="00C2011B"/>
    <w:rsid w:val="00C201B0"/>
    <w:rsid w:val="00C204D9"/>
    <w:rsid w:val="00C205F5"/>
    <w:rsid w:val="00C2062C"/>
    <w:rsid w:val="00C2073F"/>
    <w:rsid w:val="00C20942"/>
    <w:rsid w:val="00C2099C"/>
    <w:rsid w:val="00C20BAA"/>
    <w:rsid w:val="00C20E19"/>
    <w:rsid w:val="00C210F1"/>
    <w:rsid w:val="00C21101"/>
    <w:rsid w:val="00C211E0"/>
    <w:rsid w:val="00C211F4"/>
    <w:rsid w:val="00C212ED"/>
    <w:rsid w:val="00C213E3"/>
    <w:rsid w:val="00C21611"/>
    <w:rsid w:val="00C2180F"/>
    <w:rsid w:val="00C218B7"/>
    <w:rsid w:val="00C2195A"/>
    <w:rsid w:val="00C21A77"/>
    <w:rsid w:val="00C21AE8"/>
    <w:rsid w:val="00C21C8C"/>
    <w:rsid w:val="00C225E7"/>
    <w:rsid w:val="00C2269E"/>
    <w:rsid w:val="00C22796"/>
    <w:rsid w:val="00C22894"/>
    <w:rsid w:val="00C22A21"/>
    <w:rsid w:val="00C22AF9"/>
    <w:rsid w:val="00C22B4B"/>
    <w:rsid w:val="00C22BC9"/>
    <w:rsid w:val="00C22E68"/>
    <w:rsid w:val="00C2302E"/>
    <w:rsid w:val="00C230B0"/>
    <w:rsid w:val="00C23335"/>
    <w:rsid w:val="00C23575"/>
    <w:rsid w:val="00C235C6"/>
    <w:rsid w:val="00C237E2"/>
    <w:rsid w:val="00C2385E"/>
    <w:rsid w:val="00C23A23"/>
    <w:rsid w:val="00C23C4F"/>
    <w:rsid w:val="00C2447B"/>
    <w:rsid w:val="00C245CE"/>
    <w:rsid w:val="00C24605"/>
    <w:rsid w:val="00C2475A"/>
    <w:rsid w:val="00C2478C"/>
    <w:rsid w:val="00C24A54"/>
    <w:rsid w:val="00C24BC2"/>
    <w:rsid w:val="00C24BD9"/>
    <w:rsid w:val="00C24C5F"/>
    <w:rsid w:val="00C24FCE"/>
    <w:rsid w:val="00C252EA"/>
    <w:rsid w:val="00C259CE"/>
    <w:rsid w:val="00C25A1F"/>
    <w:rsid w:val="00C25D7B"/>
    <w:rsid w:val="00C25F19"/>
    <w:rsid w:val="00C26120"/>
    <w:rsid w:val="00C26537"/>
    <w:rsid w:val="00C26647"/>
    <w:rsid w:val="00C266D2"/>
    <w:rsid w:val="00C26A80"/>
    <w:rsid w:val="00C26BB4"/>
    <w:rsid w:val="00C26BEB"/>
    <w:rsid w:val="00C26F89"/>
    <w:rsid w:val="00C2707E"/>
    <w:rsid w:val="00C27199"/>
    <w:rsid w:val="00C271D5"/>
    <w:rsid w:val="00C27366"/>
    <w:rsid w:val="00C275BB"/>
    <w:rsid w:val="00C27603"/>
    <w:rsid w:val="00C276C1"/>
    <w:rsid w:val="00C27824"/>
    <w:rsid w:val="00C27AE4"/>
    <w:rsid w:val="00C27DD3"/>
    <w:rsid w:val="00C27EBF"/>
    <w:rsid w:val="00C30073"/>
    <w:rsid w:val="00C300C3"/>
    <w:rsid w:val="00C300CE"/>
    <w:rsid w:val="00C30171"/>
    <w:rsid w:val="00C30174"/>
    <w:rsid w:val="00C30243"/>
    <w:rsid w:val="00C305EB"/>
    <w:rsid w:val="00C306C9"/>
    <w:rsid w:val="00C30755"/>
    <w:rsid w:val="00C30893"/>
    <w:rsid w:val="00C308D9"/>
    <w:rsid w:val="00C309A6"/>
    <w:rsid w:val="00C30AF0"/>
    <w:rsid w:val="00C30CBC"/>
    <w:rsid w:val="00C30F09"/>
    <w:rsid w:val="00C31112"/>
    <w:rsid w:val="00C311FF"/>
    <w:rsid w:val="00C312C0"/>
    <w:rsid w:val="00C31600"/>
    <w:rsid w:val="00C3179B"/>
    <w:rsid w:val="00C317F3"/>
    <w:rsid w:val="00C31A78"/>
    <w:rsid w:val="00C31D09"/>
    <w:rsid w:val="00C31E0B"/>
    <w:rsid w:val="00C32092"/>
    <w:rsid w:val="00C320B9"/>
    <w:rsid w:val="00C3216C"/>
    <w:rsid w:val="00C3225A"/>
    <w:rsid w:val="00C3231C"/>
    <w:rsid w:val="00C323E4"/>
    <w:rsid w:val="00C32549"/>
    <w:rsid w:val="00C3256B"/>
    <w:rsid w:val="00C326D4"/>
    <w:rsid w:val="00C327A4"/>
    <w:rsid w:val="00C32E29"/>
    <w:rsid w:val="00C32EFA"/>
    <w:rsid w:val="00C330AB"/>
    <w:rsid w:val="00C333E7"/>
    <w:rsid w:val="00C33699"/>
    <w:rsid w:val="00C33823"/>
    <w:rsid w:val="00C33D29"/>
    <w:rsid w:val="00C34384"/>
    <w:rsid w:val="00C346BD"/>
    <w:rsid w:val="00C3488E"/>
    <w:rsid w:val="00C34941"/>
    <w:rsid w:val="00C3497B"/>
    <w:rsid w:val="00C34A6E"/>
    <w:rsid w:val="00C34B07"/>
    <w:rsid w:val="00C34C2A"/>
    <w:rsid w:val="00C3508A"/>
    <w:rsid w:val="00C3528B"/>
    <w:rsid w:val="00C354F3"/>
    <w:rsid w:val="00C358FA"/>
    <w:rsid w:val="00C35DFF"/>
    <w:rsid w:val="00C35E33"/>
    <w:rsid w:val="00C35E8C"/>
    <w:rsid w:val="00C36086"/>
    <w:rsid w:val="00C362B7"/>
    <w:rsid w:val="00C362FB"/>
    <w:rsid w:val="00C36583"/>
    <w:rsid w:val="00C36824"/>
    <w:rsid w:val="00C36B21"/>
    <w:rsid w:val="00C36B78"/>
    <w:rsid w:val="00C3712D"/>
    <w:rsid w:val="00C372B4"/>
    <w:rsid w:val="00C375B3"/>
    <w:rsid w:val="00C377DF"/>
    <w:rsid w:val="00C37919"/>
    <w:rsid w:val="00C379C0"/>
    <w:rsid w:val="00C37B67"/>
    <w:rsid w:val="00C37BA0"/>
    <w:rsid w:val="00C37C13"/>
    <w:rsid w:val="00C37C2F"/>
    <w:rsid w:val="00C37C4A"/>
    <w:rsid w:val="00C37D93"/>
    <w:rsid w:val="00C37EEC"/>
    <w:rsid w:val="00C37F70"/>
    <w:rsid w:val="00C401DD"/>
    <w:rsid w:val="00C402A1"/>
    <w:rsid w:val="00C4032A"/>
    <w:rsid w:val="00C4046F"/>
    <w:rsid w:val="00C4073A"/>
    <w:rsid w:val="00C40948"/>
    <w:rsid w:val="00C40977"/>
    <w:rsid w:val="00C40B0A"/>
    <w:rsid w:val="00C40C7D"/>
    <w:rsid w:val="00C40E01"/>
    <w:rsid w:val="00C4148F"/>
    <w:rsid w:val="00C4157E"/>
    <w:rsid w:val="00C4170B"/>
    <w:rsid w:val="00C417BC"/>
    <w:rsid w:val="00C4187D"/>
    <w:rsid w:val="00C41994"/>
    <w:rsid w:val="00C41AB6"/>
    <w:rsid w:val="00C41AF1"/>
    <w:rsid w:val="00C41EC8"/>
    <w:rsid w:val="00C42075"/>
    <w:rsid w:val="00C4216F"/>
    <w:rsid w:val="00C42397"/>
    <w:rsid w:val="00C423C4"/>
    <w:rsid w:val="00C42494"/>
    <w:rsid w:val="00C4259F"/>
    <w:rsid w:val="00C42707"/>
    <w:rsid w:val="00C4288C"/>
    <w:rsid w:val="00C42993"/>
    <w:rsid w:val="00C42B74"/>
    <w:rsid w:val="00C430AE"/>
    <w:rsid w:val="00C43180"/>
    <w:rsid w:val="00C43619"/>
    <w:rsid w:val="00C43641"/>
    <w:rsid w:val="00C438BE"/>
    <w:rsid w:val="00C438FF"/>
    <w:rsid w:val="00C439A7"/>
    <w:rsid w:val="00C43DA4"/>
    <w:rsid w:val="00C43ED3"/>
    <w:rsid w:val="00C441D1"/>
    <w:rsid w:val="00C4467E"/>
    <w:rsid w:val="00C44950"/>
    <w:rsid w:val="00C449F8"/>
    <w:rsid w:val="00C44A88"/>
    <w:rsid w:val="00C44E2D"/>
    <w:rsid w:val="00C453F0"/>
    <w:rsid w:val="00C4546B"/>
    <w:rsid w:val="00C45504"/>
    <w:rsid w:val="00C45987"/>
    <w:rsid w:val="00C45A8D"/>
    <w:rsid w:val="00C45AE0"/>
    <w:rsid w:val="00C45DE4"/>
    <w:rsid w:val="00C45F64"/>
    <w:rsid w:val="00C45F82"/>
    <w:rsid w:val="00C46016"/>
    <w:rsid w:val="00C460B0"/>
    <w:rsid w:val="00C4612D"/>
    <w:rsid w:val="00C46A1D"/>
    <w:rsid w:val="00C46B8A"/>
    <w:rsid w:val="00C46C20"/>
    <w:rsid w:val="00C46CC4"/>
    <w:rsid w:val="00C46D39"/>
    <w:rsid w:val="00C46F22"/>
    <w:rsid w:val="00C47062"/>
    <w:rsid w:val="00C4716C"/>
    <w:rsid w:val="00C472FC"/>
    <w:rsid w:val="00C47645"/>
    <w:rsid w:val="00C47877"/>
    <w:rsid w:val="00C47890"/>
    <w:rsid w:val="00C47955"/>
    <w:rsid w:val="00C47C0C"/>
    <w:rsid w:val="00C47C7B"/>
    <w:rsid w:val="00C47D0D"/>
    <w:rsid w:val="00C47D26"/>
    <w:rsid w:val="00C47EF8"/>
    <w:rsid w:val="00C5028B"/>
    <w:rsid w:val="00C502B1"/>
    <w:rsid w:val="00C5035B"/>
    <w:rsid w:val="00C50614"/>
    <w:rsid w:val="00C506A7"/>
    <w:rsid w:val="00C508AA"/>
    <w:rsid w:val="00C50CF5"/>
    <w:rsid w:val="00C5110C"/>
    <w:rsid w:val="00C5113D"/>
    <w:rsid w:val="00C51401"/>
    <w:rsid w:val="00C5155E"/>
    <w:rsid w:val="00C51570"/>
    <w:rsid w:val="00C5163B"/>
    <w:rsid w:val="00C51994"/>
    <w:rsid w:val="00C51AE6"/>
    <w:rsid w:val="00C51B37"/>
    <w:rsid w:val="00C51F2F"/>
    <w:rsid w:val="00C52A69"/>
    <w:rsid w:val="00C52BD6"/>
    <w:rsid w:val="00C52DAF"/>
    <w:rsid w:val="00C52E4D"/>
    <w:rsid w:val="00C52EE5"/>
    <w:rsid w:val="00C5315A"/>
    <w:rsid w:val="00C531A9"/>
    <w:rsid w:val="00C53270"/>
    <w:rsid w:val="00C53273"/>
    <w:rsid w:val="00C532AB"/>
    <w:rsid w:val="00C53507"/>
    <w:rsid w:val="00C53672"/>
    <w:rsid w:val="00C536FF"/>
    <w:rsid w:val="00C53761"/>
    <w:rsid w:val="00C538D6"/>
    <w:rsid w:val="00C53BDF"/>
    <w:rsid w:val="00C53CD5"/>
    <w:rsid w:val="00C53DF2"/>
    <w:rsid w:val="00C53E11"/>
    <w:rsid w:val="00C53EFF"/>
    <w:rsid w:val="00C54411"/>
    <w:rsid w:val="00C54561"/>
    <w:rsid w:val="00C54B47"/>
    <w:rsid w:val="00C54C98"/>
    <w:rsid w:val="00C54DCF"/>
    <w:rsid w:val="00C5513C"/>
    <w:rsid w:val="00C55264"/>
    <w:rsid w:val="00C552A4"/>
    <w:rsid w:val="00C55526"/>
    <w:rsid w:val="00C55588"/>
    <w:rsid w:val="00C555C0"/>
    <w:rsid w:val="00C555E3"/>
    <w:rsid w:val="00C55704"/>
    <w:rsid w:val="00C55709"/>
    <w:rsid w:val="00C55ABD"/>
    <w:rsid w:val="00C55B47"/>
    <w:rsid w:val="00C55BC5"/>
    <w:rsid w:val="00C55C9E"/>
    <w:rsid w:val="00C55E09"/>
    <w:rsid w:val="00C55EBD"/>
    <w:rsid w:val="00C56000"/>
    <w:rsid w:val="00C56675"/>
    <w:rsid w:val="00C56A17"/>
    <w:rsid w:val="00C56ACB"/>
    <w:rsid w:val="00C56B9A"/>
    <w:rsid w:val="00C56D0B"/>
    <w:rsid w:val="00C56F23"/>
    <w:rsid w:val="00C56F4B"/>
    <w:rsid w:val="00C56FAC"/>
    <w:rsid w:val="00C570FD"/>
    <w:rsid w:val="00C5711E"/>
    <w:rsid w:val="00C57139"/>
    <w:rsid w:val="00C5718A"/>
    <w:rsid w:val="00C572E2"/>
    <w:rsid w:val="00C578A8"/>
    <w:rsid w:val="00C57AB4"/>
    <w:rsid w:val="00C57D26"/>
    <w:rsid w:val="00C57D5E"/>
    <w:rsid w:val="00C57D87"/>
    <w:rsid w:val="00C57E86"/>
    <w:rsid w:val="00C57EB2"/>
    <w:rsid w:val="00C601B7"/>
    <w:rsid w:val="00C60275"/>
    <w:rsid w:val="00C60691"/>
    <w:rsid w:val="00C606D4"/>
    <w:rsid w:val="00C6119E"/>
    <w:rsid w:val="00C61224"/>
    <w:rsid w:val="00C61228"/>
    <w:rsid w:val="00C612FD"/>
    <w:rsid w:val="00C6138E"/>
    <w:rsid w:val="00C6139C"/>
    <w:rsid w:val="00C61497"/>
    <w:rsid w:val="00C614E0"/>
    <w:rsid w:val="00C615FC"/>
    <w:rsid w:val="00C616F0"/>
    <w:rsid w:val="00C61798"/>
    <w:rsid w:val="00C618AE"/>
    <w:rsid w:val="00C6190C"/>
    <w:rsid w:val="00C61AF9"/>
    <w:rsid w:val="00C62584"/>
    <w:rsid w:val="00C627C6"/>
    <w:rsid w:val="00C6290E"/>
    <w:rsid w:val="00C62B76"/>
    <w:rsid w:val="00C62BE0"/>
    <w:rsid w:val="00C62CC8"/>
    <w:rsid w:val="00C62E01"/>
    <w:rsid w:val="00C62E09"/>
    <w:rsid w:val="00C6324F"/>
    <w:rsid w:val="00C63456"/>
    <w:rsid w:val="00C634E6"/>
    <w:rsid w:val="00C63590"/>
    <w:rsid w:val="00C638B2"/>
    <w:rsid w:val="00C63B58"/>
    <w:rsid w:val="00C63D0F"/>
    <w:rsid w:val="00C640E3"/>
    <w:rsid w:val="00C643C2"/>
    <w:rsid w:val="00C648D6"/>
    <w:rsid w:val="00C64922"/>
    <w:rsid w:val="00C6496A"/>
    <w:rsid w:val="00C64A13"/>
    <w:rsid w:val="00C64AF9"/>
    <w:rsid w:val="00C65008"/>
    <w:rsid w:val="00C65043"/>
    <w:rsid w:val="00C65159"/>
    <w:rsid w:val="00C65203"/>
    <w:rsid w:val="00C65AA6"/>
    <w:rsid w:val="00C65C15"/>
    <w:rsid w:val="00C65D80"/>
    <w:rsid w:val="00C65E23"/>
    <w:rsid w:val="00C65E3E"/>
    <w:rsid w:val="00C661EF"/>
    <w:rsid w:val="00C66313"/>
    <w:rsid w:val="00C6634A"/>
    <w:rsid w:val="00C663D0"/>
    <w:rsid w:val="00C665CF"/>
    <w:rsid w:val="00C667A6"/>
    <w:rsid w:val="00C667CE"/>
    <w:rsid w:val="00C66C6C"/>
    <w:rsid w:val="00C66D74"/>
    <w:rsid w:val="00C66DB8"/>
    <w:rsid w:val="00C66DD5"/>
    <w:rsid w:val="00C66F5F"/>
    <w:rsid w:val="00C671F9"/>
    <w:rsid w:val="00C67202"/>
    <w:rsid w:val="00C675FD"/>
    <w:rsid w:val="00C677BF"/>
    <w:rsid w:val="00C67A1E"/>
    <w:rsid w:val="00C67A4E"/>
    <w:rsid w:val="00C67E0E"/>
    <w:rsid w:val="00C70089"/>
    <w:rsid w:val="00C7008A"/>
    <w:rsid w:val="00C7034E"/>
    <w:rsid w:val="00C704ED"/>
    <w:rsid w:val="00C705C8"/>
    <w:rsid w:val="00C7075E"/>
    <w:rsid w:val="00C707A3"/>
    <w:rsid w:val="00C70A5E"/>
    <w:rsid w:val="00C70BA0"/>
    <w:rsid w:val="00C7105C"/>
    <w:rsid w:val="00C71132"/>
    <w:rsid w:val="00C71221"/>
    <w:rsid w:val="00C7132E"/>
    <w:rsid w:val="00C71405"/>
    <w:rsid w:val="00C714CD"/>
    <w:rsid w:val="00C715B8"/>
    <w:rsid w:val="00C719E8"/>
    <w:rsid w:val="00C719F2"/>
    <w:rsid w:val="00C71ADB"/>
    <w:rsid w:val="00C71D31"/>
    <w:rsid w:val="00C71DD9"/>
    <w:rsid w:val="00C7218D"/>
    <w:rsid w:val="00C722D6"/>
    <w:rsid w:val="00C722F8"/>
    <w:rsid w:val="00C723B7"/>
    <w:rsid w:val="00C724C5"/>
    <w:rsid w:val="00C72B22"/>
    <w:rsid w:val="00C72C4E"/>
    <w:rsid w:val="00C72CCA"/>
    <w:rsid w:val="00C72FD5"/>
    <w:rsid w:val="00C73139"/>
    <w:rsid w:val="00C732D9"/>
    <w:rsid w:val="00C73367"/>
    <w:rsid w:val="00C73663"/>
    <w:rsid w:val="00C736BD"/>
    <w:rsid w:val="00C737CF"/>
    <w:rsid w:val="00C73888"/>
    <w:rsid w:val="00C73F7E"/>
    <w:rsid w:val="00C73FD2"/>
    <w:rsid w:val="00C74111"/>
    <w:rsid w:val="00C74324"/>
    <w:rsid w:val="00C74369"/>
    <w:rsid w:val="00C743EA"/>
    <w:rsid w:val="00C74401"/>
    <w:rsid w:val="00C74437"/>
    <w:rsid w:val="00C74441"/>
    <w:rsid w:val="00C744DD"/>
    <w:rsid w:val="00C74FEE"/>
    <w:rsid w:val="00C750C0"/>
    <w:rsid w:val="00C75194"/>
    <w:rsid w:val="00C75B74"/>
    <w:rsid w:val="00C75C2D"/>
    <w:rsid w:val="00C75D19"/>
    <w:rsid w:val="00C75D53"/>
    <w:rsid w:val="00C75DC8"/>
    <w:rsid w:val="00C76008"/>
    <w:rsid w:val="00C760A3"/>
    <w:rsid w:val="00C76402"/>
    <w:rsid w:val="00C76461"/>
    <w:rsid w:val="00C768F2"/>
    <w:rsid w:val="00C769CC"/>
    <w:rsid w:val="00C76AAC"/>
    <w:rsid w:val="00C76C89"/>
    <w:rsid w:val="00C76CAD"/>
    <w:rsid w:val="00C76D09"/>
    <w:rsid w:val="00C76D71"/>
    <w:rsid w:val="00C76EA0"/>
    <w:rsid w:val="00C771B1"/>
    <w:rsid w:val="00C7722F"/>
    <w:rsid w:val="00C77287"/>
    <w:rsid w:val="00C774BC"/>
    <w:rsid w:val="00C7752A"/>
    <w:rsid w:val="00C775C5"/>
    <w:rsid w:val="00C77882"/>
    <w:rsid w:val="00C77C6E"/>
    <w:rsid w:val="00C77DAC"/>
    <w:rsid w:val="00C8025C"/>
    <w:rsid w:val="00C802F1"/>
    <w:rsid w:val="00C80393"/>
    <w:rsid w:val="00C805CE"/>
    <w:rsid w:val="00C8071D"/>
    <w:rsid w:val="00C8077B"/>
    <w:rsid w:val="00C807A6"/>
    <w:rsid w:val="00C80F26"/>
    <w:rsid w:val="00C80F9A"/>
    <w:rsid w:val="00C81148"/>
    <w:rsid w:val="00C81496"/>
    <w:rsid w:val="00C8149F"/>
    <w:rsid w:val="00C817A7"/>
    <w:rsid w:val="00C81930"/>
    <w:rsid w:val="00C81AAF"/>
    <w:rsid w:val="00C81EB9"/>
    <w:rsid w:val="00C8214F"/>
    <w:rsid w:val="00C823FE"/>
    <w:rsid w:val="00C82498"/>
    <w:rsid w:val="00C8252D"/>
    <w:rsid w:val="00C8261E"/>
    <w:rsid w:val="00C82644"/>
    <w:rsid w:val="00C826C6"/>
    <w:rsid w:val="00C827F0"/>
    <w:rsid w:val="00C827FA"/>
    <w:rsid w:val="00C82873"/>
    <w:rsid w:val="00C82A2A"/>
    <w:rsid w:val="00C82DFB"/>
    <w:rsid w:val="00C82F3A"/>
    <w:rsid w:val="00C8304C"/>
    <w:rsid w:val="00C830D3"/>
    <w:rsid w:val="00C837E7"/>
    <w:rsid w:val="00C83977"/>
    <w:rsid w:val="00C839A3"/>
    <w:rsid w:val="00C83AF4"/>
    <w:rsid w:val="00C83B82"/>
    <w:rsid w:val="00C83C72"/>
    <w:rsid w:val="00C83EB8"/>
    <w:rsid w:val="00C83FAE"/>
    <w:rsid w:val="00C84047"/>
    <w:rsid w:val="00C841FB"/>
    <w:rsid w:val="00C84206"/>
    <w:rsid w:val="00C84252"/>
    <w:rsid w:val="00C843B5"/>
    <w:rsid w:val="00C843FD"/>
    <w:rsid w:val="00C84592"/>
    <w:rsid w:val="00C845EC"/>
    <w:rsid w:val="00C84694"/>
    <w:rsid w:val="00C84746"/>
    <w:rsid w:val="00C8486A"/>
    <w:rsid w:val="00C84A27"/>
    <w:rsid w:val="00C84BDF"/>
    <w:rsid w:val="00C850AC"/>
    <w:rsid w:val="00C85275"/>
    <w:rsid w:val="00C8550E"/>
    <w:rsid w:val="00C8559F"/>
    <w:rsid w:val="00C855A1"/>
    <w:rsid w:val="00C8567B"/>
    <w:rsid w:val="00C85991"/>
    <w:rsid w:val="00C85B2B"/>
    <w:rsid w:val="00C85D95"/>
    <w:rsid w:val="00C85E27"/>
    <w:rsid w:val="00C85E9F"/>
    <w:rsid w:val="00C85F41"/>
    <w:rsid w:val="00C862EB"/>
    <w:rsid w:val="00C86470"/>
    <w:rsid w:val="00C864AD"/>
    <w:rsid w:val="00C865DB"/>
    <w:rsid w:val="00C867FF"/>
    <w:rsid w:val="00C86848"/>
    <w:rsid w:val="00C86CE4"/>
    <w:rsid w:val="00C86D84"/>
    <w:rsid w:val="00C86EB2"/>
    <w:rsid w:val="00C86F99"/>
    <w:rsid w:val="00C87325"/>
    <w:rsid w:val="00C87433"/>
    <w:rsid w:val="00C8752C"/>
    <w:rsid w:val="00C8765F"/>
    <w:rsid w:val="00C878F8"/>
    <w:rsid w:val="00C87AAF"/>
    <w:rsid w:val="00C87C4B"/>
    <w:rsid w:val="00C87CB9"/>
    <w:rsid w:val="00C87D14"/>
    <w:rsid w:val="00C87F76"/>
    <w:rsid w:val="00C87FAC"/>
    <w:rsid w:val="00C901EA"/>
    <w:rsid w:val="00C90455"/>
    <w:rsid w:val="00C9080D"/>
    <w:rsid w:val="00C90B5D"/>
    <w:rsid w:val="00C90D7C"/>
    <w:rsid w:val="00C90F91"/>
    <w:rsid w:val="00C9110E"/>
    <w:rsid w:val="00C91173"/>
    <w:rsid w:val="00C9131A"/>
    <w:rsid w:val="00C91460"/>
    <w:rsid w:val="00C91468"/>
    <w:rsid w:val="00C914A7"/>
    <w:rsid w:val="00C915C5"/>
    <w:rsid w:val="00C916D6"/>
    <w:rsid w:val="00C91749"/>
    <w:rsid w:val="00C919AF"/>
    <w:rsid w:val="00C91BE2"/>
    <w:rsid w:val="00C91C05"/>
    <w:rsid w:val="00C91C75"/>
    <w:rsid w:val="00C91CCC"/>
    <w:rsid w:val="00C91D7C"/>
    <w:rsid w:val="00C920DD"/>
    <w:rsid w:val="00C92189"/>
    <w:rsid w:val="00C92267"/>
    <w:rsid w:val="00C92284"/>
    <w:rsid w:val="00C92289"/>
    <w:rsid w:val="00C924DA"/>
    <w:rsid w:val="00C92D2C"/>
    <w:rsid w:val="00C92E0D"/>
    <w:rsid w:val="00C930F3"/>
    <w:rsid w:val="00C93189"/>
    <w:rsid w:val="00C931A6"/>
    <w:rsid w:val="00C931E7"/>
    <w:rsid w:val="00C93206"/>
    <w:rsid w:val="00C9320D"/>
    <w:rsid w:val="00C93561"/>
    <w:rsid w:val="00C93570"/>
    <w:rsid w:val="00C9376E"/>
    <w:rsid w:val="00C937AF"/>
    <w:rsid w:val="00C93A0C"/>
    <w:rsid w:val="00C93A79"/>
    <w:rsid w:val="00C93E6B"/>
    <w:rsid w:val="00C9400E"/>
    <w:rsid w:val="00C9450B"/>
    <w:rsid w:val="00C9476F"/>
    <w:rsid w:val="00C9488C"/>
    <w:rsid w:val="00C94953"/>
    <w:rsid w:val="00C94DE3"/>
    <w:rsid w:val="00C94FD3"/>
    <w:rsid w:val="00C95304"/>
    <w:rsid w:val="00C957A6"/>
    <w:rsid w:val="00C9584B"/>
    <w:rsid w:val="00C95871"/>
    <w:rsid w:val="00C95A40"/>
    <w:rsid w:val="00C95E58"/>
    <w:rsid w:val="00C95F20"/>
    <w:rsid w:val="00C95FE9"/>
    <w:rsid w:val="00C96259"/>
    <w:rsid w:val="00C9665E"/>
    <w:rsid w:val="00C9691F"/>
    <w:rsid w:val="00C96B16"/>
    <w:rsid w:val="00C970BE"/>
    <w:rsid w:val="00C97245"/>
    <w:rsid w:val="00C97609"/>
    <w:rsid w:val="00C978C4"/>
    <w:rsid w:val="00C97970"/>
    <w:rsid w:val="00C97B6D"/>
    <w:rsid w:val="00C97F79"/>
    <w:rsid w:val="00CA009B"/>
    <w:rsid w:val="00CA00F0"/>
    <w:rsid w:val="00CA0217"/>
    <w:rsid w:val="00CA0546"/>
    <w:rsid w:val="00CA05E5"/>
    <w:rsid w:val="00CA0640"/>
    <w:rsid w:val="00CA0902"/>
    <w:rsid w:val="00CA0A65"/>
    <w:rsid w:val="00CA0AC4"/>
    <w:rsid w:val="00CA0B7F"/>
    <w:rsid w:val="00CA0BA1"/>
    <w:rsid w:val="00CA0F92"/>
    <w:rsid w:val="00CA101B"/>
    <w:rsid w:val="00CA1158"/>
    <w:rsid w:val="00CA121B"/>
    <w:rsid w:val="00CA1458"/>
    <w:rsid w:val="00CA15EB"/>
    <w:rsid w:val="00CA1643"/>
    <w:rsid w:val="00CA176C"/>
    <w:rsid w:val="00CA1934"/>
    <w:rsid w:val="00CA1A08"/>
    <w:rsid w:val="00CA1A98"/>
    <w:rsid w:val="00CA1C58"/>
    <w:rsid w:val="00CA1D2D"/>
    <w:rsid w:val="00CA1D7A"/>
    <w:rsid w:val="00CA1D9F"/>
    <w:rsid w:val="00CA1DB8"/>
    <w:rsid w:val="00CA1ED7"/>
    <w:rsid w:val="00CA1F5C"/>
    <w:rsid w:val="00CA22D2"/>
    <w:rsid w:val="00CA23B1"/>
    <w:rsid w:val="00CA249B"/>
    <w:rsid w:val="00CA2688"/>
    <w:rsid w:val="00CA292B"/>
    <w:rsid w:val="00CA2E05"/>
    <w:rsid w:val="00CA344A"/>
    <w:rsid w:val="00CA3816"/>
    <w:rsid w:val="00CA3B75"/>
    <w:rsid w:val="00CA40E0"/>
    <w:rsid w:val="00CA438C"/>
    <w:rsid w:val="00CA491D"/>
    <w:rsid w:val="00CA495C"/>
    <w:rsid w:val="00CA4A7D"/>
    <w:rsid w:val="00CA4B22"/>
    <w:rsid w:val="00CA4B61"/>
    <w:rsid w:val="00CA4BAA"/>
    <w:rsid w:val="00CA4BB2"/>
    <w:rsid w:val="00CA4C22"/>
    <w:rsid w:val="00CA5038"/>
    <w:rsid w:val="00CA50B8"/>
    <w:rsid w:val="00CA5145"/>
    <w:rsid w:val="00CA555C"/>
    <w:rsid w:val="00CA574E"/>
    <w:rsid w:val="00CA5815"/>
    <w:rsid w:val="00CA59B6"/>
    <w:rsid w:val="00CA5B32"/>
    <w:rsid w:val="00CA5C5D"/>
    <w:rsid w:val="00CA5CC7"/>
    <w:rsid w:val="00CA601F"/>
    <w:rsid w:val="00CA60C8"/>
    <w:rsid w:val="00CA60DC"/>
    <w:rsid w:val="00CA60E7"/>
    <w:rsid w:val="00CA61FB"/>
    <w:rsid w:val="00CA6532"/>
    <w:rsid w:val="00CA659B"/>
    <w:rsid w:val="00CA696F"/>
    <w:rsid w:val="00CA6A2A"/>
    <w:rsid w:val="00CA6CDF"/>
    <w:rsid w:val="00CA6CF0"/>
    <w:rsid w:val="00CA72B2"/>
    <w:rsid w:val="00CA72EF"/>
    <w:rsid w:val="00CA74E5"/>
    <w:rsid w:val="00CA7671"/>
    <w:rsid w:val="00CA795A"/>
    <w:rsid w:val="00CA79E8"/>
    <w:rsid w:val="00CA7A5A"/>
    <w:rsid w:val="00CA7BD6"/>
    <w:rsid w:val="00CA7C88"/>
    <w:rsid w:val="00CA7F0A"/>
    <w:rsid w:val="00CB01BF"/>
    <w:rsid w:val="00CB02B2"/>
    <w:rsid w:val="00CB055F"/>
    <w:rsid w:val="00CB0847"/>
    <w:rsid w:val="00CB0951"/>
    <w:rsid w:val="00CB0962"/>
    <w:rsid w:val="00CB09F5"/>
    <w:rsid w:val="00CB0A85"/>
    <w:rsid w:val="00CB0C20"/>
    <w:rsid w:val="00CB0CB1"/>
    <w:rsid w:val="00CB0E29"/>
    <w:rsid w:val="00CB0E5E"/>
    <w:rsid w:val="00CB116B"/>
    <w:rsid w:val="00CB125F"/>
    <w:rsid w:val="00CB1260"/>
    <w:rsid w:val="00CB14D7"/>
    <w:rsid w:val="00CB15F9"/>
    <w:rsid w:val="00CB1688"/>
    <w:rsid w:val="00CB1869"/>
    <w:rsid w:val="00CB1937"/>
    <w:rsid w:val="00CB1B65"/>
    <w:rsid w:val="00CB1C25"/>
    <w:rsid w:val="00CB1FC4"/>
    <w:rsid w:val="00CB2067"/>
    <w:rsid w:val="00CB2256"/>
    <w:rsid w:val="00CB229C"/>
    <w:rsid w:val="00CB23F9"/>
    <w:rsid w:val="00CB27DF"/>
    <w:rsid w:val="00CB2920"/>
    <w:rsid w:val="00CB2A20"/>
    <w:rsid w:val="00CB2B4C"/>
    <w:rsid w:val="00CB2B6B"/>
    <w:rsid w:val="00CB2C5C"/>
    <w:rsid w:val="00CB2CCF"/>
    <w:rsid w:val="00CB2FAA"/>
    <w:rsid w:val="00CB3168"/>
    <w:rsid w:val="00CB32FF"/>
    <w:rsid w:val="00CB34C1"/>
    <w:rsid w:val="00CB355B"/>
    <w:rsid w:val="00CB37CD"/>
    <w:rsid w:val="00CB392F"/>
    <w:rsid w:val="00CB39C7"/>
    <w:rsid w:val="00CB3C2C"/>
    <w:rsid w:val="00CB3FEE"/>
    <w:rsid w:val="00CB401F"/>
    <w:rsid w:val="00CB40F0"/>
    <w:rsid w:val="00CB44F7"/>
    <w:rsid w:val="00CB4560"/>
    <w:rsid w:val="00CB4613"/>
    <w:rsid w:val="00CB4681"/>
    <w:rsid w:val="00CB46A8"/>
    <w:rsid w:val="00CB4B11"/>
    <w:rsid w:val="00CB4B59"/>
    <w:rsid w:val="00CB4BA9"/>
    <w:rsid w:val="00CB4BF9"/>
    <w:rsid w:val="00CB4CB5"/>
    <w:rsid w:val="00CB575D"/>
    <w:rsid w:val="00CB5918"/>
    <w:rsid w:val="00CB59FA"/>
    <w:rsid w:val="00CB5CB4"/>
    <w:rsid w:val="00CB5D5E"/>
    <w:rsid w:val="00CB5E3A"/>
    <w:rsid w:val="00CB6007"/>
    <w:rsid w:val="00CB61ED"/>
    <w:rsid w:val="00CB6225"/>
    <w:rsid w:val="00CB657C"/>
    <w:rsid w:val="00CB66F5"/>
    <w:rsid w:val="00CB6815"/>
    <w:rsid w:val="00CB6B72"/>
    <w:rsid w:val="00CB6C7D"/>
    <w:rsid w:val="00CB6C84"/>
    <w:rsid w:val="00CB6D29"/>
    <w:rsid w:val="00CB6EE4"/>
    <w:rsid w:val="00CB6F62"/>
    <w:rsid w:val="00CB7385"/>
    <w:rsid w:val="00CB743A"/>
    <w:rsid w:val="00CB754D"/>
    <w:rsid w:val="00CB761F"/>
    <w:rsid w:val="00CB782F"/>
    <w:rsid w:val="00CB7BD1"/>
    <w:rsid w:val="00CB7C91"/>
    <w:rsid w:val="00CB7D1B"/>
    <w:rsid w:val="00CB7E7E"/>
    <w:rsid w:val="00CC00B3"/>
    <w:rsid w:val="00CC016B"/>
    <w:rsid w:val="00CC04F0"/>
    <w:rsid w:val="00CC054A"/>
    <w:rsid w:val="00CC070E"/>
    <w:rsid w:val="00CC0710"/>
    <w:rsid w:val="00CC071C"/>
    <w:rsid w:val="00CC073C"/>
    <w:rsid w:val="00CC08C3"/>
    <w:rsid w:val="00CC0993"/>
    <w:rsid w:val="00CC09AC"/>
    <w:rsid w:val="00CC09CC"/>
    <w:rsid w:val="00CC1470"/>
    <w:rsid w:val="00CC1BA8"/>
    <w:rsid w:val="00CC1DDA"/>
    <w:rsid w:val="00CC1FED"/>
    <w:rsid w:val="00CC2113"/>
    <w:rsid w:val="00CC2241"/>
    <w:rsid w:val="00CC241D"/>
    <w:rsid w:val="00CC24C6"/>
    <w:rsid w:val="00CC2562"/>
    <w:rsid w:val="00CC2744"/>
    <w:rsid w:val="00CC2AFC"/>
    <w:rsid w:val="00CC2D60"/>
    <w:rsid w:val="00CC2E3A"/>
    <w:rsid w:val="00CC2EA5"/>
    <w:rsid w:val="00CC3022"/>
    <w:rsid w:val="00CC3045"/>
    <w:rsid w:val="00CC3211"/>
    <w:rsid w:val="00CC3264"/>
    <w:rsid w:val="00CC343C"/>
    <w:rsid w:val="00CC3D1E"/>
    <w:rsid w:val="00CC3FFE"/>
    <w:rsid w:val="00CC40FE"/>
    <w:rsid w:val="00CC433F"/>
    <w:rsid w:val="00CC4368"/>
    <w:rsid w:val="00CC43B3"/>
    <w:rsid w:val="00CC4769"/>
    <w:rsid w:val="00CC48C2"/>
    <w:rsid w:val="00CC4B02"/>
    <w:rsid w:val="00CC4CC6"/>
    <w:rsid w:val="00CC4DCD"/>
    <w:rsid w:val="00CC4ED0"/>
    <w:rsid w:val="00CC4EF1"/>
    <w:rsid w:val="00CC5081"/>
    <w:rsid w:val="00CC5201"/>
    <w:rsid w:val="00CC523B"/>
    <w:rsid w:val="00CC5380"/>
    <w:rsid w:val="00CC54DA"/>
    <w:rsid w:val="00CC560C"/>
    <w:rsid w:val="00CC59EE"/>
    <w:rsid w:val="00CC5C29"/>
    <w:rsid w:val="00CC5E02"/>
    <w:rsid w:val="00CC5FEC"/>
    <w:rsid w:val="00CC607C"/>
    <w:rsid w:val="00CC6798"/>
    <w:rsid w:val="00CC6941"/>
    <w:rsid w:val="00CC69C5"/>
    <w:rsid w:val="00CC69F2"/>
    <w:rsid w:val="00CC6A7A"/>
    <w:rsid w:val="00CC6AFC"/>
    <w:rsid w:val="00CC6BC0"/>
    <w:rsid w:val="00CC6C67"/>
    <w:rsid w:val="00CC6CBB"/>
    <w:rsid w:val="00CC6D03"/>
    <w:rsid w:val="00CC6DDD"/>
    <w:rsid w:val="00CC7366"/>
    <w:rsid w:val="00CC73CD"/>
    <w:rsid w:val="00CC73E0"/>
    <w:rsid w:val="00CC7B96"/>
    <w:rsid w:val="00CC7E18"/>
    <w:rsid w:val="00CD01C6"/>
    <w:rsid w:val="00CD01CB"/>
    <w:rsid w:val="00CD024E"/>
    <w:rsid w:val="00CD04AD"/>
    <w:rsid w:val="00CD05DD"/>
    <w:rsid w:val="00CD07CF"/>
    <w:rsid w:val="00CD0807"/>
    <w:rsid w:val="00CD0A38"/>
    <w:rsid w:val="00CD0A85"/>
    <w:rsid w:val="00CD0B36"/>
    <w:rsid w:val="00CD0DF6"/>
    <w:rsid w:val="00CD0E4F"/>
    <w:rsid w:val="00CD115E"/>
    <w:rsid w:val="00CD11FE"/>
    <w:rsid w:val="00CD1281"/>
    <w:rsid w:val="00CD1308"/>
    <w:rsid w:val="00CD1C29"/>
    <w:rsid w:val="00CD1DBB"/>
    <w:rsid w:val="00CD1E23"/>
    <w:rsid w:val="00CD1FB7"/>
    <w:rsid w:val="00CD2096"/>
    <w:rsid w:val="00CD231A"/>
    <w:rsid w:val="00CD2356"/>
    <w:rsid w:val="00CD255A"/>
    <w:rsid w:val="00CD25E1"/>
    <w:rsid w:val="00CD28B3"/>
    <w:rsid w:val="00CD2AAF"/>
    <w:rsid w:val="00CD2C18"/>
    <w:rsid w:val="00CD2C9B"/>
    <w:rsid w:val="00CD302D"/>
    <w:rsid w:val="00CD348B"/>
    <w:rsid w:val="00CD352C"/>
    <w:rsid w:val="00CD3D77"/>
    <w:rsid w:val="00CD3DB0"/>
    <w:rsid w:val="00CD3F29"/>
    <w:rsid w:val="00CD3F5E"/>
    <w:rsid w:val="00CD4144"/>
    <w:rsid w:val="00CD421F"/>
    <w:rsid w:val="00CD43B4"/>
    <w:rsid w:val="00CD4601"/>
    <w:rsid w:val="00CD4679"/>
    <w:rsid w:val="00CD4827"/>
    <w:rsid w:val="00CD4940"/>
    <w:rsid w:val="00CD4A51"/>
    <w:rsid w:val="00CD4A8C"/>
    <w:rsid w:val="00CD4C1B"/>
    <w:rsid w:val="00CD4EBB"/>
    <w:rsid w:val="00CD52FB"/>
    <w:rsid w:val="00CD530F"/>
    <w:rsid w:val="00CD534D"/>
    <w:rsid w:val="00CD540A"/>
    <w:rsid w:val="00CD543E"/>
    <w:rsid w:val="00CD545A"/>
    <w:rsid w:val="00CD5484"/>
    <w:rsid w:val="00CD5A1F"/>
    <w:rsid w:val="00CD5A68"/>
    <w:rsid w:val="00CD5C00"/>
    <w:rsid w:val="00CD5D7B"/>
    <w:rsid w:val="00CD5DB6"/>
    <w:rsid w:val="00CD5FB1"/>
    <w:rsid w:val="00CD6331"/>
    <w:rsid w:val="00CD638A"/>
    <w:rsid w:val="00CD65A9"/>
    <w:rsid w:val="00CD6617"/>
    <w:rsid w:val="00CD68A1"/>
    <w:rsid w:val="00CD6A99"/>
    <w:rsid w:val="00CD6D1E"/>
    <w:rsid w:val="00CD6D3D"/>
    <w:rsid w:val="00CD73FA"/>
    <w:rsid w:val="00CD7551"/>
    <w:rsid w:val="00CD75E9"/>
    <w:rsid w:val="00CD78AC"/>
    <w:rsid w:val="00CD7A41"/>
    <w:rsid w:val="00CD7B60"/>
    <w:rsid w:val="00CD7BA8"/>
    <w:rsid w:val="00CD7E0B"/>
    <w:rsid w:val="00CE00DE"/>
    <w:rsid w:val="00CE01E2"/>
    <w:rsid w:val="00CE0240"/>
    <w:rsid w:val="00CE03F3"/>
    <w:rsid w:val="00CE04C0"/>
    <w:rsid w:val="00CE04C8"/>
    <w:rsid w:val="00CE060C"/>
    <w:rsid w:val="00CE06AA"/>
    <w:rsid w:val="00CE0860"/>
    <w:rsid w:val="00CE0898"/>
    <w:rsid w:val="00CE0EBE"/>
    <w:rsid w:val="00CE0EF3"/>
    <w:rsid w:val="00CE125C"/>
    <w:rsid w:val="00CE133E"/>
    <w:rsid w:val="00CE14A5"/>
    <w:rsid w:val="00CE1514"/>
    <w:rsid w:val="00CE1576"/>
    <w:rsid w:val="00CE1815"/>
    <w:rsid w:val="00CE1B03"/>
    <w:rsid w:val="00CE1B76"/>
    <w:rsid w:val="00CE1BD3"/>
    <w:rsid w:val="00CE1CD9"/>
    <w:rsid w:val="00CE1F7C"/>
    <w:rsid w:val="00CE1FFD"/>
    <w:rsid w:val="00CE238D"/>
    <w:rsid w:val="00CE24F7"/>
    <w:rsid w:val="00CE2710"/>
    <w:rsid w:val="00CE2AE1"/>
    <w:rsid w:val="00CE2C36"/>
    <w:rsid w:val="00CE2F82"/>
    <w:rsid w:val="00CE3114"/>
    <w:rsid w:val="00CE312D"/>
    <w:rsid w:val="00CE3430"/>
    <w:rsid w:val="00CE3735"/>
    <w:rsid w:val="00CE37B1"/>
    <w:rsid w:val="00CE3999"/>
    <w:rsid w:val="00CE3E43"/>
    <w:rsid w:val="00CE3FA0"/>
    <w:rsid w:val="00CE4001"/>
    <w:rsid w:val="00CE4050"/>
    <w:rsid w:val="00CE41FE"/>
    <w:rsid w:val="00CE4401"/>
    <w:rsid w:val="00CE447F"/>
    <w:rsid w:val="00CE47B4"/>
    <w:rsid w:val="00CE4827"/>
    <w:rsid w:val="00CE4BB2"/>
    <w:rsid w:val="00CE51CD"/>
    <w:rsid w:val="00CE5668"/>
    <w:rsid w:val="00CE57CF"/>
    <w:rsid w:val="00CE5834"/>
    <w:rsid w:val="00CE5941"/>
    <w:rsid w:val="00CE5B3C"/>
    <w:rsid w:val="00CE5B9C"/>
    <w:rsid w:val="00CE5C13"/>
    <w:rsid w:val="00CE5D80"/>
    <w:rsid w:val="00CE5DAD"/>
    <w:rsid w:val="00CE625C"/>
    <w:rsid w:val="00CE65AE"/>
    <w:rsid w:val="00CE6AA5"/>
    <w:rsid w:val="00CE6ACC"/>
    <w:rsid w:val="00CE7068"/>
    <w:rsid w:val="00CE7236"/>
    <w:rsid w:val="00CE736E"/>
    <w:rsid w:val="00CE73FF"/>
    <w:rsid w:val="00CE747D"/>
    <w:rsid w:val="00CE74E6"/>
    <w:rsid w:val="00CE75C2"/>
    <w:rsid w:val="00CE7949"/>
    <w:rsid w:val="00CE7A10"/>
    <w:rsid w:val="00CE7A2C"/>
    <w:rsid w:val="00CE7BBD"/>
    <w:rsid w:val="00CF00BF"/>
    <w:rsid w:val="00CF018E"/>
    <w:rsid w:val="00CF0356"/>
    <w:rsid w:val="00CF03AB"/>
    <w:rsid w:val="00CF047C"/>
    <w:rsid w:val="00CF0601"/>
    <w:rsid w:val="00CF0876"/>
    <w:rsid w:val="00CF0899"/>
    <w:rsid w:val="00CF0931"/>
    <w:rsid w:val="00CF0A48"/>
    <w:rsid w:val="00CF0A4C"/>
    <w:rsid w:val="00CF0B5D"/>
    <w:rsid w:val="00CF0CF3"/>
    <w:rsid w:val="00CF0DA7"/>
    <w:rsid w:val="00CF0FB2"/>
    <w:rsid w:val="00CF10BC"/>
    <w:rsid w:val="00CF147B"/>
    <w:rsid w:val="00CF1541"/>
    <w:rsid w:val="00CF192E"/>
    <w:rsid w:val="00CF1A14"/>
    <w:rsid w:val="00CF1AF0"/>
    <w:rsid w:val="00CF1D95"/>
    <w:rsid w:val="00CF1FAB"/>
    <w:rsid w:val="00CF211F"/>
    <w:rsid w:val="00CF21D3"/>
    <w:rsid w:val="00CF22B6"/>
    <w:rsid w:val="00CF2405"/>
    <w:rsid w:val="00CF24A4"/>
    <w:rsid w:val="00CF2660"/>
    <w:rsid w:val="00CF2895"/>
    <w:rsid w:val="00CF2AE1"/>
    <w:rsid w:val="00CF2DA4"/>
    <w:rsid w:val="00CF2E28"/>
    <w:rsid w:val="00CF2E66"/>
    <w:rsid w:val="00CF3110"/>
    <w:rsid w:val="00CF33F9"/>
    <w:rsid w:val="00CF35DD"/>
    <w:rsid w:val="00CF3794"/>
    <w:rsid w:val="00CF38A4"/>
    <w:rsid w:val="00CF3EF1"/>
    <w:rsid w:val="00CF42B2"/>
    <w:rsid w:val="00CF4671"/>
    <w:rsid w:val="00CF473D"/>
    <w:rsid w:val="00CF4989"/>
    <w:rsid w:val="00CF54BA"/>
    <w:rsid w:val="00CF5534"/>
    <w:rsid w:val="00CF5821"/>
    <w:rsid w:val="00CF5859"/>
    <w:rsid w:val="00CF5C58"/>
    <w:rsid w:val="00CF6308"/>
    <w:rsid w:val="00CF695C"/>
    <w:rsid w:val="00CF6A05"/>
    <w:rsid w:val="00CF6C37"/>
    <w:rsid w:val="00CF6D9E"/>
    <w:rsid w:val="00CF6F10"/>
    <w:rsid w:val="00CF743A"/>
    <w:rsid w:val="00CF7798"/>
    <w:rsid w:val="00CF790B"/>
    <w:rsid w:val="00CF7AD1"/>
    <w:rsid w:val="00CF7E92"/>
    <w:rsid w:val="00CF7E93"/>
    <w:rsid w:val="00CF7F7B"/>
    <w:rsid w:val="00CF7FF4"/>
    <w:rsid w:val="00D001F9"/>
    <w:rsid w:val="00D00890"/>
    <w:rsid w:val="00D009B1"/>
    <w:rsid w:val="00D009D9"/>
    <w:rsid w:val="00D00AA0"/>
    <w:rsid w:val="00D00AB1"/>
    <w:rsid w:val="00D00BB3"/>
    <w:rsid w:val="00D00F9D"/>
    <w:rsid w:val="00D00FA8"/>
    <w:rsid w:val="00D0133A"/>
    <w:rsid w:val="00D01377"/>
    <w:rsid w:val="00D01555"/>
    <w:rsid w:val="00D01559"/>
    <w:rsid w:val="00D0157C"/>
    <w:rsid w:val="00D0165F"/>
    <w:rsid w:val="00D0186C"/>
    <w:rsid w:val="00D018F8"/>
    <w:rsid w:val="00D01B37"/>
    <w:rsid w:val="00D01CAF"/>
    <w:rsid w:val="00D01E77"/>
    <w:rsid w:val="00D02028"/>
    <w:rsid w:val="00D02269"/>
    <w:rsid w:val="00D02357"/>
    <w:rsid w:val="00D02576"/>
    <w:rsid w:val="00D02605"/>
    <w:rsid w:val="00D02849"/>
    <w:rsid w:val="00D02863"/>
    <w:rsid w:val="00D02ADF"/>
    <w:rsid w:val="00D02AE7"/>
    <w:rsid w:val="00D02E92"/>
    <w:rsid w:val="00D02F6F"/>
    <w:rsid w:val="00D031E0"/>
    <w:rsid w:val="00D03377"/>
    <w:rsid w:val="00D03387"/>
    <w:rsid w:val="00D033D9"/>
    <w:rsid w:val="00D03509"/>
    <w:rsid w:val="00D0354B"/>
    <w:rsid w:val="00D035C5"/>
    <w:rsid w:val="00D0377E"/>
    <w:rsid w:val="00D03808"/>
    <w:rsid w:val="00D03CCD"/>
    <w:rsid w:val="00D03E94"/>
    <w:rsid w:val="00D0401F"/>
    <w:rsid w:val="00D0446E"/>
    <w:rsid w:val="00D0493F"/>
    <w:rsid w:val="00D04955"/>
    <w:rsid w:val="00D04D52"/>
    <w:rsid w:val="00D04D91"/>
    <w:rsid w:val="00D04DD5"/>
    <w:rsid w:val="00D052A4"/>
    <w:rsid w:val="00D0577E"/>
    <w:rsid w:val="00D05935"/>
    <w:rsid w:val="00D05C99"/>
    <w:rsid w:val="00D05F48"/>
    <w:rsid w:val="00D0632D"/>
    <w:rsid w:val="00D06404"/>
    <w:rsid w:val="00D06713"/>
    <w:rsid w:val="00D0676F"/>
    <w:rsid w:val="00D06B08"/>
    <w:rsid w:val="00D06BB3"/>
    <w:rsid w:val="00D06BB9"/>
    <w:rsid w:val="00D06DE8"/>
    <w:rsid w:val="00D06F51"/>
    <w:rsid w:val="00D07166"/>
    <w:rsid w:val="00D07291"/>
    <w:rsid w:val="00D074CF"/>
    <w:rsid w:val="00D07682"/>
    <w:rsid w:val="00D0783F"/>
    <w:rsid w:val="00D079A0"/>
    <w:rsid w:val="00D07BE4"/>
    <w:rsid w:val="00D07C1E"/>
    <w:rsid w:val="00D07CCB"/>
    <w:rsid w:val="00D07DDA"/>
    <w:rsid w:val="00D1040B"/>
    <w:rsid w:val="00D106F1"/>
    <w:rsid w:val="00D1077A"/>
    <w:rsid w:val="00D10949"/>
    <w:rsid w:val="00D10BC8"/>
    <w:rsid w:val="00D11106"/>
    <w:rsid w:val="00D11336"/>
    <w:rsid w:val="00D11422"/>
    <w:rsid w:val="00D11740"/>
    <w:rsid w:val="00D11CB9"/>
    <w:rsid w:val="00D11DAF"/>
    <w:rsid w:val="00D11F73"/>
    <w:rsid w:val="00D120B2"/>
    <w:rsid w:val="00D1226C"/>
    <w:rsid w:val="00D12287"/>
    <w:rsid w:val="00D12312"/>
    <w:rsid w:val="00D12510"/>
    <w:rsid w:val="00D12583"/>
    <w:rsid w:val="00D12675"/>
    <w:rsid w:val="00D126C6"/>
    <w:rsid w:val="00D1286A"/>
    <w:rsid w:val="00D12B37"/>
    <w:rsid w:val="00D12B88"/>
    <w:rsid w:val="00D12E19"/>
    <w:rsid w:val="00D1343A"/>
    <w:rsid w:val="00D13445"/>
    <w:rsid w:val="00D135C5"/>
    <w:rsid w:val="00D1372B"/>
    <w:rsid w:val="00D13795"/>
    <w:rsid w:val="00D1390C"/>
    <w:rsid w:val="00D13D6E"/>
    <w:rsid w:val="00D13FAF"/>
    <w:rsid w:val="00D140E5"/>
    <w:rsid w:val="00D14225"/>
    <w:rsid w:val="00D1450D"/>
    <w:rsid w:val="00D14530"/>
    <w:rsid w:val="00D1456A"/>
    <w:rsid w:val="00D14A36"/>
    <w:rsid w:val="00D14E24"/>
    <w:rsid w:val="00D151F5"/>
    <w:rsid w:val="00D15449"/>
    <w:rsid w:val="00D154AB"/>
    <w:rsid w:val="00D15708"/>
    <w:rsid w:val="00D15853"/>
    <w:rsid w:val="00D15A19"/>
    <w:rsid w:val="00D15AA6"/>
    <w:rsid w:val="00D15C02"/>
    <w:rsid w:val="00D15C4E"/>
    <w:rsid w:val="00D15DAA"/>
    <w:rsid w:val="00D15DAB"/>
    <w:rsid w:val="00D15ECE"/>
    <w:rsid w:val="00D15F32"/>
    <w:rsid w:val="00D16218"/>
    <w:rsid w:val="00D16333"/>
    <w:rsid w:val="00D16403"/>
    <w:rsid w:val="00D164C8"/>
    <w:rsid w:val="00D166B0"/>
    <w:rsid w:val="00D168EC"/>
    <w:rsid w:val="00D16A60"/>
    <w:rsid w:val="00D16CC4"/>
    <w:rsid w:val="00D16DE8"/>
    <w:rsid w:val="00D1711D"/>
    <w:rsid w:val="00D176B4"/>
    <w:rsid w:val="00D17BEC"/>
    <w:rsid w:val="00D17C69"/>
    <w:rsid w:val="00D17C7D"/>
    <w:rsid w:val="00D17C97"/>
    <w:rsid w:val="00D17EA0"/>
    <w:rsid w:val="00D20901"/>
    <w:rsid w:val="00D20A94"/>
    <w:rsid w:val="00D20ADC"/>
    <w:rsid w:val="00D20B03"/>
    <w:rsid w:val="00D20BE8"/>
    <w:rsid w:val="00D20D60"/>
    <w:rsid w:val="00D211F9"/>
    <w:rsid w:val="00D214C0"/>
    <w:rsid w:val="00D216B8"/>
    <w:rsid w:val="00D216C9"/>
    <w:rsid w:val="00D21C50"/>
    <w:rsid w:val="00D21C86"/>
    <w:rsid w:val="00D21CDE"/>
    <w:rsid w:val="00D22222"/>
    <w:rsid w:val="00D22337"/>
    <w:rsid w:val="00D22507"/>
    <w:rsid w:val="00D2256B"/>
    <w:rsid w:val="00D22A42"/>
    <w:rsid w:val="00D22CCB"/>
    <w:rsid w:val="00D22D07"/>
    <w:rsid w:val="00D22D0D"/>
    <w:rsid w:val="00D22D9B"/>
    <w:rsid w:val="00D22F1C"/>
    <w:rsid w:val="00D230AF"/>
    <w:rsid w:val="00D238F9"/>
    <w:rsid w:val="00D239B1"/>
    <w:rsid w:val="00D23A2D"/>
    <w:rsid w:val="00D23D3E"/>
    <w:rsid w:val="00D24122"/>
    <w:rsid w:val="00D241A6"/>
    <w:rsid w:val="00D243A3"/>
    <w:rsid w:val="00D2496A"/>
    <w:rsid w:val="00D24994"/>
    <w:rsid w:val="00D24BD3"/>
    <w:rsid w:val="00D252CA"/>
    <w:rsid w:val="00D25454"/>
    <w:rsid w:val="00D254BD"/>
    <w:rsid w:val="00D2566C"/>
    <w:rsid w:val="00D25862"/>
    <w:rsid w:val="00D25A8B"/>
    <w:rsid w:val="00D25B4C"/>
    <w:rsid w:val="00D25C46"/>
    <w:rsid w:val="00D25D71"/>
    <w:rsid w:val="00D25DBC"/>
    <w:rsid w:val="00D25E05"/>
    <w:rsid w:val="00D25FBE"/>
    <w:rsid w:val="00D26151"/>
    <w:rsid w:val="00D261CD"/>
    <w:rsid w:val="00D26542"/>
    <w:rsid w:val="00D266A0"/>
    <w:rsid w:val="00D26882"/>
    <w:rsid w:val="00D26C8A"/>
    <w:rsid w:val="00D2710D"/>
    <w:rsid w:val="00D2749A"/>
    <w:rsid w:val="00D275FF"/>
    <w:rsid w:val="00D276A6"/>
    <w:rsid w:val="00D27800"/>
    <w:rsid w:val="00D278C0"/>
    <w:rsid w:val="00D300AF"/>
    <w:rsid w:val="00D3017C"/>
    <w:rsid w:val="00D30225"/>
    <w:rsid w:val="00D30A1C"/>
    <w:rsid w:val="00D30A39"/>
    <w:rsid w:val="00D30AFF"/>
    <w:rsid w:val="00D30CDC"/>
    <w:rsid w:val="00D30D5B"/>
    <w:rsid w:val="00D30D84"/>
    <w:rsid w:val="00D31546"/>
    <w:rsid w:val="00D318C1"/>
    <w:rsid w:val="00D319B0"/>
    <w:rsid w:val="00D31A58"/>
    <w:rsid w:val="00D31ACD"/>
    <w:rsid w:val="00D31BF9"/>
    <w:rsid w:val="00D31CDC"/>
    <w:rsid w:val="00D31CED"/>
    <w:rsid w:val="00D31FFC"/>
    <w:rsid w:val="00D31FFE"/>
    <w:rsid w:val="00D3216B"/>
    <w:rsid w:val="00D322F2"/>
    <w:rsid w:val="00D32767"/>
    <w:rsid w:val="00D33048"/>
    <w:rsid w:val="00D332C5"/>
    <w:rsid w:val="00D336A8"/>
    <w:rsid w:val="00D337DB"/>
    <w:rsid w:val="00D339E3"/>
    <w:rsid w:val="00D33A41"/>
    <w:rsid w:val="00D33A6D"/>
    <w:rsid w:val="00D33BC5"/>
    <w:rsid w:val="00D33DE4"/>
    <w:rsid w:val="00D344B7"/>
    <w:rsid w:val="00D3452C"/>
    <w:rsid w:val="00D34651"/>
    <w:rsid w:val="00D34832"/>
    <w:rsid w:val="00D3486E"/>
    <w:rsid w:val="00D348F8"/>
    <w:rsid w:val="00D349AE"/>
    <w:rsid w:val="00D34AA3"/>
    <w:rsid w:val="00D34B5E"/>
    <w:rsid w:val="00D34EF1"/>
    <w:rsid w:val="00D35090"/>
    <w:rsid w:val="00D350D3"/>
    <w:rsid w:val="00D353AE"/>
    <w:rsid w:val="00D3563D"/>
    <w:rsid w:val="00D35B47"/>
    <w:rsid w:val="00D35BA6"/>
    <w:rsid w:val="00D35C04"/>
    <w:rsid w:val="00D35E67"/>
    <w:rsid w:val="00D35E9C"/>
    <w:rsid w:val="00D36256"/>
    <w:rsid w:val="00D362E5"/>
    <w:rsid w:val="00D363D6"/>
    <w:rsid w:val="00D36716"/>
    <w:rsid w:val="00D367E5"/>
    <w:rsid w:val="00D36925"/>
    <w:rsid w:val="00D36B13"/>
    <w:rsid w:val="00D36E9A"/>
    <w:rsid w:val="00D36F69"/>
    <w:rsid w:val="00D37058"/>
    <w:rsid w:val="00D37335"/>
    <w:rsid w:val="00D3733A"/>
    <w:rsid w:val="00D37621"/>
    <w:rsid w:val="00D3781D"/>
    <w:rsid w:val="00D378B5"/>
    <w:rsid w:val="00D3793C"/>
    <w:rsid w:val="00D37A22"/>
    <w:rsid w:val="00D37AD7"/>
    <w:rsid w:val="00D37B04"/>
    <w:rsid w:val="00D37B0F"/>
    <w:rsid w:val="00D37D8A"/>
    <w:rsid w:val="00D40094"/>
    <w:rsid w:val="00D403D9"/>
    <w:rsid w:val="00D4043B"/>
    <w:rsid w:val="00D4044A"/>
    <w:rsid w:val="00D40575"/>
    <w:rsid w:val="00D40D87"/>
    <w:rsid w:val="00D40D93"/>
    <w:rsid w:val="00D40F30"/>
    <w:rsid w:val="00D40FC5"/>
    <w:rsid w:val="00D41051"/>
    <w:rsid w:val="00D41090"/>
    <w:rsid w:val="00D416CD"/>
    <w:rsid w:val="00D41986"/>
    <w:rsid w:val="00D41B83"/>
    <w:rsid w:val="00D41DB9"/>
    <w:rsid w:val="00D420C5"/>
    <w:rsid w:val="00D421C7"/>
    <w:rsid w:val="00D42586"/>
    <w:rsid w:val="00D4285A"/>
    <w:rsid w:val="00D42937"/>
    <w:rsid w:val="00D429C2"/>
    <w:rsid w:val="00D42B2E"/>
    <w:rsid w:val="00D42BA0"/>
    <w:rsid w:val="00D42CC4"/>
    <w:rsid w:val="00D42D87"/>
    <w:rsid w:val="00D42F0C"/>
    <w:rsid w:val="00D4306E"/>
    <w:rsid w:val="00D430CA"/>
    <w:rsid w:val="00D432BE"/>
    <w:rsid w:val="00D435F1"/>
    <w:rsid w:val="00D436EB"/>
    <w:rsid w:val="00D4371A"/>
    <w:rsid w:val="00D43881"/>
    <w:rsid w:val="00D438B4"/>
    <w:rsid w:val="00D43986"/>
    <w:rsid w:val="00D439BD"/>
    <w:rsid w:val="00D43B43"/>
    <w:rsid w:val="00D43C4C"/>
    <w:rsid w:val="00D43D83"/>
    <w:rsid w:val="00D43DA3"/>
    <w:rsid w:val="00D43E91"/>
    <w:rsid w:val="00D4433E"/>
    <w:rsid w:val="00D4438F"/>
    <w:rsid w:val="00D445F5"/>
    <w:rsid w:val="00D4473C"/>
    <w:rsid w:val="00D4493B"/>
    <w:rsid w:val="00D44E4E"/>
    <w:rsid w:val="00D44E80"/>
    <w:rsid w:val="00D453B6"/>
    <w:rsid w:val="00D454F0"/>
    <w:rsid w:val="00D45591"/>
    <w:rsid w:val="00D456E4"/>
    <w:rsid w:val="00D45704"/>
    <w:rsid w:val="00D45C40"/>
    <w:rsid w:val="00D45DCC"/>
    <w:rsid w:val="00D45FAC"/>
    <w:rsid w:val="00D4602E"/>
    <w:rsid w:val="00D463F0"/>
    <w:rsid w:val="00D4658A"/>
    <w:rsid w:val="00D46C45"/>
    <w:rsid w:val="00D46DF9"/>
    <w:rsid w:val="00D46EF0"/>
    <w:rsid w:val="00D46FB5"/>
    <w:rsid w:val="00D47196"/>
    <w:rsid w:val="00D474CE"/>
    <w:rsid w:val="00D476C7"/>
    <w:rsid w:val="00D47775"/>
    <w:rsid w:val="00D4796A"/>
    <w:rsid w:val="00D47A4E"/>
    <w:rsid w:val="00D47A5E"/>
    <w:rsid w:val="00D47B11"/>
    <w:rsid w:val="00D47B75"/>
    <w:rsid w:val="00D47C38"/>
    <w:rsid w:val="00D47C88"/>
    <w:rsid w:val="00D47D28"/>
    <w:rsid w:val="00D47D35"/>
    <w:rsid w:val="00D47D59"/>
    <w:rsid w:val="00D47DC0"/>
    <w:rsid w:val="00D47F54"/>
    <w:rsid w:val="00D47FF6"/>
    <w:rsid w:val="00D5035F"/>
    <w:rsid w:val="00D50623"/>
    <w:rsid w:val="00D50664"/>
    <w:rsid w:val="00D506DE"/>
    <w:rsid w:val="00D50796"/>
    <w:rsid w:val="00D50986"/>
    <w:rsid w:val="00D50C0F"/>
    <w:rsid w:val="00D50D33"/>
    <w:rsid w:val="00D50D6C"/>
    <w:rsid w:val="00D50DB0"/>
    <w:rsid w:val="00D50DF9"/>
    <w:rsid w:val="00D5105A"/>
    <w:rsid w:val="00D5116D"/>
    <w:rsid w:val="00D512F1"/>
    <w:rsid w:val="00D51709"/>
    <w:rsid w:val="00D51A20"/>
    <w:rsid w:val="00D51ABC"/>
    <w:rsid w:val="00D51BAE"/>
    <w:rsid w:val="00D51ED8"/>
    <w:rsid w:val="00D52403"/>
    <w:rsid w:val="00D524AD"/>
    <w:rsid w:val="00D52E5A"/>
    <w:rsid w:val="00D52FBD"/>
    <w:rsid w:val="00D533D2"/>
    <w:rsid w:val="00D53710"/>
    <w:rsid w:val="00D53735"/>
    <w:rsid w:val="00D538FD"/>
    <w:rsid w:val="00D539D5"/>
    <w:rsid w:val="00D53FCB"/>
    <w:rsid w:val="00D5445E"/>
    <w:rsid w:val="00D5446C"/>
    <w:rsid w:val="00D544DC"/>
    <w:rsid w:val="00D54656"/>
    <w:rsid w:val="00D54668"/>
    <w:rsid w:val="00D54747"/>
    <w:rsid w:val="00D54862"/>
    <w:rsid w:val="00D548E9"/>
    <w:rsid w:val="00D548F2"/>
    <w:rsid w:val="00D54A58"/>
    <w:rsid w:val="00D54BDD"/>
    <w:rsid w:val="00D54F5C"/>
    <w:rsid w:val="00D5529E"/>
    <w:rsid w:val="00D5534F"/>
    <w:rsid w:val="00D55562"/>
    <w:rsid w:val="00D55A68"/>
    <w:rsid w:val="00D55CCC"/>
    <w:rsid w:val="00D55D67"/>
    <w:rsid w:val="00D55E34"/>
    <w:rsid w:val="00D55EB8"/>
    <w:rsid w:val="00D56105"/>
    <w:rsid w:val="00D56293"/>
    <w:rsid w:val="00D564DE"/>
    <w:rsid w:val="00D56588"/>
    <w:rsid w:val="00D569B2"/>
    <w:rsid w:val="00D56AD7"/>
    <w:rsid w:val="00D56C04"/>
    <w:rsid w:val="00D57046"/>
    <w:rsid w:val="00D57516"/>
    <w:rsid w:val="00D57585"/>
    <w:rsid w:val="00D57980"/>
    <w:rsid w:val="00D57A36"/>
    <w:rsid w:val="00D57ACE"/>
    <w:rsid w:val="00D57C96"/>
    <w:rsid w:val="00D57E59"/>
    <w:rsid w:val="00D57EE9"/>
    <w:rsid w:val="00D57F68"/>
    <w:rsid w:val="00D57FDF"/>
    <w:rsid w:val="00D60060"/>
    <w:rsid w:val="00D6025A"/>
    <w:rsid w:val="00D602B4"/>
    <w:rsid w:val="00D603DE"/>
    <w:rsid w:val="00D605EE"/>
    <w:rsid w:val="00D60800"/>
    <w:rsid w:val="00D60A7F"/>
    <w:rsid w:val="00D60C49"/>
    <w:rsid w:val="00D60D4F"/>
    <w:rsid w:val="00D60D84"/>
    <w:rsid w:val="00D60DC1"/>
    <w:rsid w:val="00D60E39"/>
    <w:rsid w:val="00D60E71"/>
    <w:rsid w:val="00D61072"/>
    <w:rsid w:val="00D610F0"/>
    <w:rsid w:val="00D61319"/>
    <w:rsid w:val="00D613E3"/>
    <w:rsid w:val="00D61446"/>
    <w:rsid w:val="00D614B1"/>
    <w:rsid w:val="00D616A0"/>
    <w:rsid w:val="00D619CA"/>
    <w:rsid w:val="00D61A5A"/>
    <w:rsid w:val="00D61AEE"/>
    <w:rsid w:val="00D61BC6"/>
    <w:rsid w:val="00D62050"/>
    <w:rsid w:val="00D6226A"/>
    <w:rsid w:val="00D6241E"/>
    <w:rsid w:val="00D62468"/>
    <w:rsid w:val="00D62A12"/>
    <w:rsid w:val="00D62B27"/>
    <w:rsid w:val="00D62C2D"/>
    <w:rsid w:val="00D63158"/>
    <w:rsid w:val="00D6343A"/>
    <w:rsid w:val="00D6344E"/>
    <w:rsid w:val="00D6359C"/>
    <w:rsid w:val="00D638DC"/>
    <w:rsid w:val="00D63C26"/>
    <w:rsid w:val="00D63D51"/>
    <w:rsid w:val="00D63E0D"/>
    <w:rsid w:val="00D64155"/>
    <w:rsid w:val="00D64272"/>
    <w:rsid w:val="00D64359"/>
    <w:rsid w:val="00D643BF"/>
    <w:rsid w:val="00D6447F"/>
    <w:rsid w:val="00D64900"/>
    <w:rsid w:val="00D64993"/>
    <w:rsid w:val="00D64D1A"/>
    <w:rsid w:val="00D64FF5"/>
    <w:rsid w:val="00D6556B"/>
    <w:rsid w:val="00D6558A"/>
    <w:rsid w:val="00D65625"/>
    <w:rsid w:val="00D65855"/>
    <w:rsid w:val="00D65AA0"/>
    <w:rsid w:val="00D65C59"/>
    <w:rsid w:val="00D65D01"/>
    <w:rsid w:val="00D65DB6"/>
    <w:rsid w:val="00D66217"/>
    <w:rsid w:val="00D6640D"/>
    <w:rsid w:val="00D6645E"/>
    <w:rsid w:val="00D66498"/>
    <w:rsid w:val="00D664C1"/>
    <w:rsid w:val="00D66551"/>
    <w:rsid w:val="00D665AA"/>
    <w:rsid w:val="00D665B1"/>
    <w:rsid w:val="00D66697"/>
    <w:rsid w:val="00D66806"/>
    <w:rsid w:val="00D66AD9"/>
    <w:rsid w:val="00D66E7E"/>
    <w:rsid w:val="00D66FEA"/>
    <w:rsid w:val="00D67138"/>
    <w:rsid w:val="00D67599"/>
    <w:rsid w:val="00D67B3D"/>
    <w:rsid w:val="00D67B9E"/>
    <w:rsid w:val="00D67F22"/>
    <w:rsid w:val="00D700F2"/>
    <w:rsid w:val="00D7041F"/>
    <w:rsid w:val="00D70649"/>
    <w:rsid w:val="00D70926"/>
    <w:rsid w:val="00D70BB8"/>
    <w:rsid w:val="00D70D74"/>
    <w:rsid w:val="00D70DF7"/>
    <w:rsid w:val="00D70E16"/>
    <w:rsid w:val="00D70E60"/>
    <w:rsid w:val="00D70F94"/>
    <w:rsid w:val="00D71345"/>
    <w:rsid w:val="00D71394"/>
    <w:rsid w:val="00D714E3"/>
    <w:rsid w:val="00D716F8"/>
    <w:rsid w:val="00D71806"/>
    <w:rsid w:val="00D71851"/>
    <w:rsid w:val="00D71CD0"/>
    <w:rsid w:val="00D71E2B"/>
    <w:rsid w:val="00D72228"/>
    <w:rsid w:val="00D72290"/>
    <w:rsid w:val="00D72615"/>
    <w:rsid w:val="00D72E1F"/>
    <w:rsid w:val="00D72F1A"/>
    <w:rsid w:val="00D73019"/>
    <w:rsid w:val="00D7314D"/>
    <w:rsid w:val="00D73628"/>
    <w:rsid w:val="00D73684"/>
    <w:rsid w:val="00D73798"/>
    <w:rsid w:val="00D73AB3"/>
    <w:rsid w:val="00D73B79"/>
    <w:rsid w:val="00D73CD1"/>
    <w:rsid w:val="00D73CD8"/>
    <w:rsid w:val="00D73DAE"/>
    <w:rsid w:val="00D74183"/>
    <w:rsid w:val="00D743C0"/>
    <w:rsid w:val="00D74442"/>
    <w:rsid w:val="00D7482F"/>
    <w:rsid w:val="00D7487F"/>
    <w:rsid w:val="00D749A1"/>
    <w:rsid w:val="00D74CA8"/>
    <w:rsid w:val="00D74DFF"/>
    <w:rsid w:val="00D750BC"/>
    <w:rsid w:val="00D751C4"/>
    <w:rsid w:val="00D754BD"/>
    <w:rsid w:val="00D756AF"/>
    <w:rsid w:val="00D758F4"/>
    <w:rsid w:val="00D75962"/>
    <w:rsid w:val="00D75995"/>
    <w:rsid w:val="00D75D92"/>
    <w:rsid w:val="00D765B6"/>
    <w:rsid w:val="00D7666A"/>
    <w:rsid w:val="00D76839"/>
    <w:rsid w:val="00D768C3"/>
    <w:rsid w:val="00D76C9B"/>
    <w:rsid w:val="00D76D0A"/>
    <w:rsid w:val="00D77048"/>
    <w:rsid w:val="00D7732F"/>
    <w:rsid w:val="00D777F8"/>
    <w:rsid w:val="00D77888"/>
    <w:rsid w:val="00D77FDC"/>
    <w:rsid w:val="00D804E2"/>
    <w:rsid w:val="00D80840"/>
    <w:rsid w:val="00D80960"/>
    <w:rsid w:val="00D80A25"/>
    <w:rsid w:val="00D80B8E"/>
    <w:rsid w:val="00D80B94"/>
    <w:rsid w:val="00D80E29"/>
    <w:rsid w:val="00D80E9A"/>
    <w:rsid w:val="00D8129F"/>
    <w:rsid w:val="00D81557"/>
    <w:rsid w:val="00D81708"/>
    <w:rsid w:val="00D8184F"/>
    <w:rsid w:val="00D81BA4"/>
    <w:rsid w:val="00D81C30"/>
    <w:rsid w:val="00D81E24"/>
    <w:rsid w:val="00D81EEB"/>
    <w:rsid w:val="00D820EB"/>
    <w:rsid w:val="00D82697"/>
    <w:rsid w:val="00D8271A"/>
    <w:rsid w:val="00D82969"/>
    <w:rsid w:val="00D82AB4"/>
    <w:rsid w:val="00D82B48"/>
    <w:rsid w:val="00D83000"/>
    <w:rsid w:val="00D8317E"/>
    <w:rsid w:val="00D839B1"/>
    <w:rsid w:val="00D83F35"/>
    <w:rsid w:val="00D83FB7"/>
    <w:rsid w:val="00D840B8"/>
    <w:rsid w:val="00D8431C"/>
    <w:rsid w:val="00D8455E"/>
    <w:rsid w:val="00D84579"/>
    <w:rsid w:val="00D84749"/>
    <w:rsid w:val="00D849C3"/>
    <w:rsid w:val="00D84A3C"/>
    <w:rsid w:val="00D84B07"/>
    <w:rsid w:val="00D84DDA"/>
    <w:rsid w:val="00D85068"/>
    <w:rsid w:val="00D85270"/>
    <w:rsid w:val="00D85466"/>
    <w:rsid w:val="00D8559B"/>
    <w:rsid w:val="00D856CA"/>
    <w:rsid w:val="00D856FC"/>
    <w:rsid w:val="00D857A4"/>
    <w:rsid w:val="00D85984"/>
    <w:rsid w:val="00D85A3F"/>
    <w:rsid w:val="00D85A8A"/>
    <w:rsid w:val="00D85F36"/>
    <w:rsid w:val="00D85F97"/>
    <w:rsid w:val="00D8616D"/>
    <w:rsid w:val="00D861C9"/>
    <w:rsid w:val="00D863A6"/>
    <w:rsid w:val="00D8655C"/>
    <w:rsid w:val="00D86591"/>
    <w:rsid w:val="00D86A75"/>
    <w:rsid w:val="00D86AF0"/>
    <w:rsid w:val="00D86C7F"/>
    <w:rsid w:val="00D86E5D"/>
    <w:rsid w:val="00D87054"/>
    <w:rsid w:val="00D87347"/>
    <w:rsid w:val="00D87639"/>
    <w:rsid w:val="00D87650"/>
    <w:rsid w:val="00D87772"/>
    <w:rsid w:val="00D8795E"/>
    <w:rsid w:val="00D87C87"/>
    <w:rsid w:val="00D87D53"/>
    <w:rsid w:val="00D87F4E"/>
    <w:rsid w:val="00D900EB"/>
    <w:rsid w:val="00D90186"/>
    <w:rsid w:val="00D9020C"/>
    <w:rsid w:val="00D90267"/>
    <w:rsid w:val="00D902E2"/>
    <w:rsid w:val="00D9062E"/>
    <w:rsid w:val="00D90855"/>
    <w:rsid w:val="00D90A8E"/>
    <w:rsid w:val="00D90B1F"/>
    <w:rsid w:val="00D90B32"/>
    <w:rsid w:val="00D90C2D"/>
    <w:rsid w:val="00D90D6A"/>
    <w:rsid w:val="00D90DF7"/>
    <w:rsid w:val="00D90EBF"/>
    <w:rsid w:val="00D90EDE"/>
    <w:rsid w:val="00D90F9B"/>
    <w:rsid w:val="00D9146B"/>
    <w:rsid w:val="00D91628"/>
    <w:rsid w:val="00D916B6"/>
    <w:rsid w:val="00D918E7"/>
    <w:rsid w:val="00D91B8D"/>
    <w:rsid w:val="00D91D72"/>
    <w:rsid w:val="00D92071"/>
    <w:rsid w:val="00D92156"/>
    <w:rsid w:val="00D921DF"/>
    <w:rsid w:val="00D923FE"/>
    <w:rsid w:val="00D92770"/>
    <w:rsid w:val="00D927AA"/>
    <w:rsid w:val="00D927DE"/>
    <w:rsid w:val="00D9291D"/>
    <w:rsid w:val="00D92BD7"/>
    <w:rsid w:val="00D92CBB"/>
    <w:rsid w:val="00D92CF4"/>
    <w:rsid w:val="00D92E24"/>
    <w:rsid w:val="00D92F7E"/>
    <w:rsid w:val="00D931FD"/>
    <w:rsid w:val="00D9342B"/>
    <w:rsid w:val="00D93679"/>
    <w:rsid w:val="00D93943"/>
    <w:rsid w:val="00D93DC6"/>
    <w:rsid w:val="00D93E72"/>
    <w:rsid w:val="00D93FDA"/>
    <w:rsid w:val="00D940D3"/>
    <w:rsid w:val="00D9479E"/>
    <w:rsid w:val="00D94A01"/>
    <w:rsid w:val="00D9506A"/>
    <w:rsid w:val="00D9509A"/>
    <w:rsid w:val="00D950C6"/>
    <w:rsid w:val="00D95652"/>
    <w:rsid w:val="00D95CA4"/>
    <w:rsid w:val="00D95DBA"/>
    <w:rsid w:val="00D95DC0"/>
    <w:rsid w:val="00D96405"/>
    <w:rsid w:val="00D9645F"/>
    <w:rsid w:val="00D9653D"/>
    <w:rsid w:val="00D96575"/>
    <w:rsid w:val="00D96746"/>
    <w:rsid w:val="00D968F3"/>
    <w:rsid w:val="00D97078"/>
    <w:rsid w:val="00D9707D"/>
    <w:rsid w:val="00D97672"/>
    <w:rsid w:val="00D977AC"/>
    <w:rsid w:val="00D97910"/>
    <w:rsid w:val="00D97AD5"/>
    <w:rsid w:val="00D97BF3"/>
    <w:rsid w:val="00D97D35"/>
    <w:rsid w:val="00D97EAF"/>
    <w:rsid w:val="00D97F95"/>
    <w:rsid w:val="00D97FBD"/>
    <w:rsid w:val="00DA0027"/>
    <w:rsid w:val="00DA005E"/>
    <w:rsid w:val="00DA03C6"/>
    <w:rsid w:val="00DA05DE"/>
    <w:rsid w:val="00DA0926"/>
    <w:rsid w:val="00DA097E"/>
    <w:rsid w:val="00DA0EFC"/>
    <w:rsid w:val="00DA1021"/>
    <w:rsid w:val="00DA1088"/>
    <w:rsid w:val="00DA111A"/>
    <w:rsid w:val="00DA1217"/>
    <w:rsid w:val="00DA1271"/>
    <w:rsid w:val="00DA1445"/>
    <w:rsid w:val="00DA1507"/>
    <w:rsid w:val="00DA164C"/>
    <w:rsid w:val="00DA1693"/>
    <w:rsid w:val="00DA18A9"/>
    <w:rsid w:val="00DA1CE9"/>
    <w:rsid w:val="00DA1D6B"/>
    <w:rsid w:val="00DA1DF8"/>
    <w:rsid w:val="00DA2214"/>
    <w:rsid w:val="00DA23DD"/>
    <w:rsid w:val="00DA2453"/>
    <w:rsid w:val="00DA2456"/>
    <w:rsid w:val="00DA24FD"/>
    <w:rsid w:val="00DA2752"/>
    <w:rsid w:val="00DA2784"/>
    <w:rsid w:val="00DA28F8"/>
    <w:rsid w:val="00DA296F"/>
    <w:rsid w:val="00DA2EDF"/>
    <w:rsid w:val="00DA2FCD"/>
    <w:rsid w:val="00DA3288"/>
    <w:rsid w:val="00DA33F5"/>
    <w:rsid w:val="00DA34AB"/>
    <w:rsid w:val="00DA38C4"/>
    <w:rsid w:val="00DA3AA7"/>
    <w:rsid w:val="00DA3B9E"/>
    <w:rsid w:val="00DA3E49"/>
    <w:rsid w:val="00DA4439"/>
    <w:rsid w:val="00DA4587"/>
    <w:rsid w:val="00DA45B6"/>
    <w:rsid w:val="00DA4776"/>
    <w:rsid w:val="00DA4837"/>
    <w:rsid w:val="00DA48F2"/>
    <w:rsid w:val="00DA4A3C"/>
    <w:rsid w:val="00DA4CB6"/>
    <w:rsid w:val="00DA4E4C"/>
    <w:rsid w:val="00DA4E7D"/>
    <w:rsid w:val="00DA4F2F"/>
    <w:rsid w:val="00DA4F48"/>
    <w:rsid w:val="00DA5346"/>
    <w:rsid w:val="00DA535F"/>
    <w:rsid w:val="00DA54BE"/>
    <w:rsid w:val="00DA5A0C"/>
    <w:rsid w:val="00DA5B4A"/>
    <w:rsid w:val="00DA5DD2"/>
    <w:rsid w:val="00DA5EE3"/>
    <w:rsid w:val="00DA6211"/>
    <w:rsid w:val="00DA685E"/>
    <w:rsid w:val="00DA6964"/>
    <w:rsid w:val="00DA6A91"/>
    <w:rsid w:val="00DA6B83"/>
    <w:rsid w:val="00DA6BD0"/>
    <w:rsid w:val="00DA6E42"/>
    <w:rsid w:val="00DA6F3B"/>
    <w:rsid w:val="00DA6FAD"/>
    <w:rsid w:val="00DA718A"/>
    <w:rsid w:val="00DA7257"/>
    <w:rsid w:val="00DA7791"/>
    <w:rsid w:val="00DA7B70"/>
    <w:rsid w:val="00DA7BDC"/>
    <w:rsid w:val="00DA7F23"/>
    <w:rsid w:val="00DB0088"/>
    <w:rsid w:val="00DB0252"/>
    <w:rsid w:val="00DB0356"/>
    <w:rsid w:val="00DB042D"/>
    <w:rsid w:val="00DB0A9A"/>
    <w:rsid w:val="00DB0C3A"/>
    <w:rsid w:val="00DB10B9"/>
    <w:rsid w:val="00DB10EF"/>
    <w:rsid w:val="00DB12AC"/>
    <w:rsid w:val="00DB1458"/>
    <w:rsid w:val="00DB16C5"/>
    <w:rsid w:val="00DB16DE"/>
    <w:rsid w:val="00DB179C"/>
    <w:rsid w:val="00DB17BC"/>
    <w:rsid w:val="00DB1884"/>
    <w:rsid w:val="00DB1953"/>
    <w:rsid w:val="00DB1B0C"/>
    <w:rsid w:val="00DB1C60"/>
    <w:rsid w:val="00DB1E6D"/>
    <w:rsid w:val="00DB22AF"/>
    <w:rsid w:val="00DB23FD"/>
    <w:rsid w:val="00DB2801"/>
    <w:rsid w:val="00DB28F8"/>
    <w:rsid w:val="00DB2CB0"/>
    <w:rsid w:val="00DB2CB5"/>
    <w:rsid w:val="00DB320F"/>
    <w:rsid w:val="00DB32CD"/>
    <w:rsid w:val="00DB3468"/>
    <w:rsid w:val="00DB34C6"/>
    <w:rsid w:val="00DB36B7"/>
    <w:rsid w:val="00DB38AD"/>
    <w:rsid w:val="00DB39A3"/>
    <w:rsid w:val="00DB3AC5"/>
    <w:rsid w:val="00DB3C8F"/>
    <w:rsid w:val="00DB424A"/>
    <w:rsid w:val="00DB472C"/>
    <w:rsid w:val="00DB4EB9"/>
    <w:rsid w:val="00DB5229"/>
    <w:rsid w:val="00DB523B"/>
    <w:rsid w:val="00DB5520"/>
    <w:rsid w:val="00DB55F9"/>
    <w:rsid w:val="00DB57B4"/>
    <w:rsid w:val="00DB583B"/>
    <w:rsid w:val="00DB593D"/>
    <w:rsid w:val="00DB5C3B"/>
    <w:rsid w:val="00DB5D59"/>
    <w:rsid w:val="00DB5E4F"/>
    <w:rsid w:val="00DB648C"/>
    <w:rsid w:val="00DB64B0"/>
    <w:rsid w:val="00DB64EF"/>
    <w:rsid w:val="00DB65A6"/>
    <w:rsid w:val="00DB670C"/>
    <w:rsid w:val="00DB6777"/>
    <w:rsid w:val="00DB694F"/>
    <w:rsid w:val="00DB6BC8"/>
    <w:rsid w:val="00DB6DB0"/>
    <w:rsid w:val="00DB6FDD"/>
    <w:rsid w:val="00DB71DA"/>
    <w:rsid w:val="00DB7424"/>
    <w:rsid w:val="00DB78D0"/>
    <w:rsid w:val="00DB7D31"/>
    <w:rsid w:val="00DB7F86"/>
    <w:rsid w:val="00DC0331"/>
    <w:rsid w:val="00DC04CC"/>
    <w:rsid w:val="00DC04F9"/>
    <w:rsid w:val="00DC0735"/>
    <w:rsid w:val="00DC0799"/>
    <w:rsid w:val="00DC08C7"/>
    <w:rsid w:val="00DC0989"/>
    <w:rsid w:val="00DC0A10"/>
    <w:rsid w:val="00DC0E13"/>
    <w:rsid w:val="00DC1191"/>
    <w:rsid w:val="00DC1307"/>
    <w:rsid w:val="00DC13C6"/>
    <w:rsid w:val="00DC1432"/>
    <w:rsid w:val="00DC167C"/>
    <w:rsid w:val="00DC169F"/>
    <w:rsid w:val="00DC170E"/>
    <w:rsid w:val="00DC176C"/>
    <w:rsid w:val="00DC1771"/>
    <w:rsid w:val="00DC189D"/>
    <w:rsid w:val="00DC1986"/>
    <w:rsid w:val="00DC1AF1"/>
    <w:rsid w:val="00DC1B44"/>
    <w:rsid w:val="00DC1B60"/>
    <w:rsid w:val="00DC20F2"/>
    <w:rsid w:val="00DC2277"/>
    <w:rsid w:val="00DC237D"/>
    <w:rsid w:val="00DC256A"/>
    <w:rsid w:val="00DC25D9"/>
    <w:rsid w:val="00DC2753"/>
    <w:rsid w:val="00DC2A2A"/>
    <w:rsid w:val="00DC2AEE"/>
    <w:rsid w:val="00DC2F9D"/>
    <w:rsid w:val="00DC301D"/>
    <w:rsid w:val="00DC30B0"/>
    <w:rsid w:val="00DC30BE"/>
    <w:rsid w:val="00DC3143"/>
    <w:rsid w:val="00DC3574"/>
    <w:rsid w:val="00DC3924"/>
    <w:rsid w:val="00DC3A0C"/>
    <w:rsid w:val="00DC3AC0"/>
    <w:rsid w:val="00DC3AD8"/>
    <w:rsid w:val="00DC3AE6"/>
    <w:rsid w:val="00DC3B1C"/>
    <w:rsid w:val="00DC3D5C"/>
    <w:rsid w:val="00DC3E84"/>
    <w:rsid w:val="00DC41DE"/>
    <w:rsid w:val="00DC443D"/>
    <w:rsid w:val="00DC45A9"/>
    <w:rsid w:val="00DC4994"/>
    <w:rsid w:val="00DC4B31"/>
    <w:rsid w:val="00DC4C4A"/>
    <w:rsid w:val="00DC4E12"/>
    <w:rsid w:val="00DC50B1"/>
    <w:rsid w:val="00DC518B"/>
    <w:rsid w:val="00DC5367"/>
    <w:rsid w:val="00DC54CA"/>
    <w:rsid w:val="00DC575E"/>
    <w:rsid w:val="00DC588B"/>
    <w:rsid w:val="00DC5B8E"/>
    <w:rsid w:val="00DC5C0E"/>
    <w:rsid w:val="00DC5C7D"/>
    <w:rsid w:val="00DC5C94"/>
    <w:rsid w:val="00DC5EBE"/>
    <w:rsid w:val="00DC5F62"/>
    <w:rsid w:val="00DC5FF9"/>
    <w:rsid w:val="00DC61BA"/>
    <w:rsid w:val="00DC61D6"/>
    <w:rsid w:val="00DC6493"/>
    <w:rsid w:val="00DC6610"/>
    <w:rsid w:val="00DC6782"/>
    <w:rsid w:val="00DC6913"/>
    <w:rsid w:val="00DC6AB4"/>
    <w:rsid w:val="00DC6C62"/>
    <w:rsid w:val="00DC6CB6"/>
    <w:rsid w:val="00DC6DC8"/>
    <w:rsid w:val="00DC6E3E"/>
    <w:rsid w:val="00DC7232"/>
    <w:rsid w:val="00DC7259"/>
    <w:rsid w:val="00DC7494"/>
    <w:rsid w:val="00DC74AE"/>
    <w:rsid w:val="00DC74F2"/>
    <w:rsid w:val="00DC75D9"/>
    <w:rsid w:val="00DC761C"/>
    <w:rsid w:val="00DC7651"/>
    <w:rsid w:val="00DC7832"/>
    <w:rsid w:val="00DC7A48"/>
    <w:rsid w:val="00DC7CD0"/>
    <w:rsid w:val="00DC7D89"/>
    <w:rsid w:val="00DC7FBD"/>
    <w:rsid w:val="00DD0089"/>
    <w:rsid w:val="00DD033A"/>
    <w:rsid w:val="00DD03EE"/>
    <w:rsid w:val="00DD0510"/>
    <w:rsid w:val="00DD0653"/>
    <w:rsid w:val="00DD06A6"/>
    <w:rsid w:val="00DD09A3"/>
    <w:rsid w:val="00DD09BD"/>
    <w:rsid w:val="00DD09FF"/>
    <w:rsid w:val="00DD0C89"/>
    <w:rsid w:val="00DD0D38"/>
    <w:rsid w:val="00DD1180"/>
    <w:rsid w:val="00DD11E3"/>
    <w:rsid w:val="00DD1231"/>
    <w:rsid w:val="00DD1599"/>
    <w:rsid w:val="00DD17AA"/>
    <w:rsid w:val="00DD1AF9"/>
    <w:rsid w:val="00DD1CD7"/>
    <w:rsid w:val="00DD21E6"/>
    <w:rsid w:val="00DD220C"/>
    <w:rsid w:val="00DD22E6"/>
    <w:rsid w:val="00DD246F"/>
    <w:rsid w:val="00DD25F4"/>
    <w:rsid w:val="00DD26C6"/>
    <w:rsid w:val="00DD278D"/>
    <w:rsid w:val="00DD2839"/>
    <w:rsid w:val="00DD28A3"/>
    <w:rsid w:val="00DD2A1E"/>
    <w:rsid w:val="00DD2A2A"/>
    <w:rsid w:val="00DD2C36"/>
    <w:rsid w:val="00DD2DAC"/>
    <w:rsid w:val="00DD2F95"/>
    <w:rsid w:val="00DD343D"/>
    <w:rsid w:val="00DD3684"/>
    <w:rsid w:val="00DD3742"/>
    <w:rsid w:val="00DD3753"/>
    <w:rsid w:val="00DD38A7"/>
    <w:rsid w:val="00DD4047"/>
    <w:rsid w:val="00DD43FA"/>
    <w:rsid w:val="00DD4635"/>
    <w:rsid w:val="00DD46F1"/>
    <w:rsid w:val="00DD46FD"/>
    <w:rsid w:val="00DD47F7"/>
    <w:rsid w:val="00DD4A6E"/>
    <w:rsid w:val="00DD4C9B"/>
    <w:rsid w:val="00DD4D70"/>
    <w:rsid w:val="00DD4FC7"/>
    <w:rsid w:val="00DD5035"/>
    <w:rsid w:val="00DD503B"/>
    <w:rsid w:val="00DD50B8"/>
    <w:rsid w:val="00DD51FE"/>
    <w:rsid w:val="00DD5774"/>
    <w:rsid w:val="00DD58AF"/>
    <w:rsid w:val="00DD598C"/>
    <w:rsid w:val="00DD5C28"/>
    <w:rsid w:val="00DD5CEC"/>
    <w:rsid w:val="00DD5D43"/>
    <w:rsid w:val="00DD5D7D"/>
    <w:rsid w:val="00DD5E1D"/>
    <w:rsid w:val="00DD6260"/>
    <w:rsid w:val="00DD64E3"/>
    <w:rsid w:val="00DD673F"/>
    <w:rsid w:val="00DD6D35"/>
    <w:rsid w:val="00DD6F51"/>
    <w:rsid w:val="00DD718D"/>
    <w:rsid w:val="00DD75EC"/>
    <w:rsid w:val="00DD76B4"/>
    <w:rsid w:val="00DD7AF6"/>
    <w:rsid w:val="00DD7B23"/>
    <w:rsid w:val="00DD7E1A"/>
    <w:rsid w:val="00DD7E52"/>
    <w:rsid w:val="00DE0046"/>
    <w:rsid w:val="00DE0164"/>
    <w:rsid w:val="00DE020D"/>
    <w:rsid w:val="00DE03C3"/>
    <w:rsid w:val="00DE04BC"/>
    <w:rsid w:val="00DE04E3"/>
    <w:rsid w:val="00DE0532"/>
    <w:rsid w:val="00DE092E"/>
    <w:rsid w:val="00DE0F53"/>
    <w:rsid w:val="00DE0F5C"/>
    <w:rsid w:val="00DE11DE"/>
    <w:rsid w:val="00DE1344"/>
    <w:rsid w:val="00DE1559"/>
    <w:rsid w:val="00DE1964"/>
    <w:rsid w:val="00DE1D98"/>
    <w:rsid w:val="00DE1FFA"/>
    <w:rsid w:val="00DE219A"/>
    <w:rsid w:val="00DE2660"/>
    <w:rsid w:val="00DE2818"/>
    <w:rsid w:val="00DE28AE"/>
    <w:rsid w:val="00DE3021"/>
    <w:rsid w:val="00DE328A"/>
    <w:rsid w:val="00DE39B6"/>
    <w:rsid w:val="00DE3E4C"/>
    <w:rsid w:val="00DE3FE0"/>
    <w:rsid w:val="00DE3FED"/>
    <w:rsid w:val="00DE407C"/>
    <w:rsid w:val="00DE412C"/>
    <w:rsid w:val="00DE4171"/>
    <w:rsid w:val="00DE4ADB"/>
    <w:rsid w:val="00DE4BC2"/>
    <w:rsid w:val="00DE4C69"/>
    <w:rsid w:val="00DE4D91"/>
    <w:rsid w:val="00DE4D97"/>
    <w:rsid w:val="00DE512C"/>
    <w:rsid w:val="00DE52AC"/>
    <w:rsid w:val="00DE5418"/>
    <w:rsid w:val="00DE543D"/>
    <w:rsid w:val="00DE54FC"/>
    <w:rsid w:val="00DE57E1"/>
    <w:rsid w:val="00DE58F5"/>
    <w:rsid w:val="00DE5927"/>
    <w:rsid w:val="00DE597D"/>
    <w:rsid w:val="00DE5980"/>
    <w:rsid w:val="00DE5A9C"/>
    <w:rsid w:val="00DE5CEF"/>
    <w:rsid w:val="00DE6377"/>
    <w:rsid w:val="00DE6744"/>
    <w:rsid w:val="00DE6A8B"/>
    <w:rsid w:val="00DE6F89"/>
    <w:rsid w:val="00DE706E"/>
    <w:rsid w:val="00DE7660"/>
    <w:rsid w:val="00DE76CA"/>
    <w:rsid w:val="00DE783F"/>
    <w:rsid w:val="00DE789B"/>
    <w:rsid w:val="00DE78FE"/>
    <w:rsid w:val="00DE7913"/>
    <w:rsid w:val="00DE7B01"/>
    <w:rsid w:val="00DE7BE0"/>
    <w:rsid w:val="00DE7DEF"/>
    <w:rsid w:val="00DE7FF5"/>
    <w:rsid w:val="00DF05D3"/>
    <w:rsid w:val="00DF0A2C"/>
    <w:rsid w:val="00DF0A2F"/>
    <w:rsid w:val="00DF0AEE"/>
    <w:rsid w:val="00DF0D0D"/>
    <w:rsid w:val="00DF0DFD"/>
    <w:rsid w:val="00DF1020"/>
    <w:rsid w:val="00DF1472"/>
    <w:rsid w:val="00DF1482"/>
    <w:rsid w:val="00DF14C3"/>
    <w:rsid w:val="00DF164E"/>
    <w:rsid w:val="00DF1668"/>
    <w:rsid w:val="00DF182B"/>
    <w:rsid w:val="00DF1999"/>
    <w:rsid w:val="00DF1A80"/>
    <w:rsid w:val="00DF1AA3"/>
    <w:rsid w:val="00DF1BD3"/>
    <w:rsid w:val="00DF1CBC"/>
    <w:rsid w:val="00DF1F5C"/>
    <w:rsid w:val="00DF213F"/>
    <w:rsid w:val="00DF23AC"/>
    <w:rsid w:val="00DF260B"/>
    <w:rsid w:val="00DF270A"/>
    <w:rsid w:val="00DF2752"/>
    <w:rsid w:val="00DF2A32"/>
    <w:rsid w:val="00DF2A6C"/>
    <w:rsid w:val="00DF2CFD"/>
    <w:rsid w:val="00DF2F95"/>
    <w:rsid w:val="00DF37B0"/>
    <w:rsid w:val="00DF38A4"/>
    <w:rsid w:val="00DF3972"/>
    <w:rsid w:val="00DF3F91"/>
    <w:rsid w:val="00DF3FDD"/>
    <w:rsid w:val="00DF404E"/>
    <w:rsid w:val="00DF416E"/>
    <w:rsid w:val="00DF4317"/>
    <w:rsid w:val="00DF4374"/>
    <w:rsid w:val="00DF4914"/>
    <w:rsid w:val="00DF4C56"/>
    <w:rsid w:val="00DF4CCF"/>
    <w:rsid w:val="00DF4E49"/>
    <w:rsid w:val="00DF4FCB"/>
    <w:rsid w:val="00DF545E"/>
    <w:rsid w:val="00DF56D3"/>
    <w:rsid w:val="00DF579C"/>
    <w:rsid w:val="00DF6093"/>
    <w:rsid w:val="00DF65A0"/>
    <w:rsid w:val="00DF68F7"/>
    <w:rsid w:val="00DF6D59"/>
    <w:rsid w:val="00DF6DA6"/>
    <w:rsid w:val="00DF6E37"/>
    <w:rsid w:val="00DF6F65"/>
    <w:rsid w:val="00DF720F"/>
    <w:rsid w:val="00DF7210"/>
    <w:rsid w:val="00DF7850"/>
    <w:rsid w:val="00DF7ADC"/>
    <w:rsid w:val="00DF7E54"/>
    <w:rsid w:val="00DF7F45"/>
    <w:rsid w:val="00DF7FC9"/>
    <w:rsid w:val="00E002DA"/>
    <w:rsid w:val="00E00448"/>
    <w:rsid w:val="00E00501"/>
    <w:rsid w:val="00E008BB"/>
    <w:rsid w:val="00E0106C"/>
    <w:rsid w:val="00E010F0"/>
    <w:rsid w:val="00E01206"/>
    <w:rsid w:val="00E013C3"/>
    <w:rsid w:val="00E01493"/>
    <w:rsid w:val="00E015DC"/>
    <w:rsid w:val="00E01964"/>
    <w:rsid w:val="00E01B4C"/>
    <w:rsid w:val="00E01DC1"/>
    <w:rsid w:val="00E01F86"/>
    <w:rsid w:val="00E02238"/>
    <w:rsid w:val="00E022A2"/>
    <w:rsid w:val="00E022DC"/>
    <w:rsid w:val="00E02374"/>
    <w:rsid w:val="00E02695"/>
    <w:rsid w:val="00E026D2"/>
    <w:rsid w:val="00E027B1"/>
    <w:rsid w:val="00E02AC4"/>
    <w:rsid w:val="00E02BA5"/>
    <w:rsid w:val="00E02F50"/>
    <w:rsid w:val="00E03038"/>
    <w:rsid w:val="00E03052"/>
    <w:rsid w:val="00E03441"/>
    <w:rsid w:val="00E03703"/>
    <w:rsid w:val="00E03704"/>
    <w:rsid w:val="00E038A6"/>
    <w:rsid w:val="00E0390C"/>
    <w:rsid w:val="00E03BBE"/>
    <w:rsid w:val="00E03D4E"/>
    <w:rsid w:val="00E03E14"/>
    <w:rsid w:val="00E03E4E"/>
    <w:rsid w:val="00E03F2B"/>
    <w:rsid w:val="00E04052"/>
    <w:rsid w:val="00E043B6"/>
    <w:rsid w:val="00E0450B"/>
    <w:rsid w:val="00E04655"/>
    <w:rsid w:val="00E046FD"/>
    <w:rsid w:val="00E04BE2"/>
    <w:rsid w:val="00E04BF9"/>
    <w:rsid w:val="00E04CF8"/>
    <w:rsid w:val="00E04E57"/>
    <w:rsid w:val="00E04EF5"/>
    <w:rsid w:val="00E04FB3"/>
    <w:rsid w:val="00E05012"/>
    <w:rsid w:val="00E05050"/>
    <w:rsid w:val="00E050DB"/>
    <w:rsid w:val="00E050F8"/>
    <w:rsid w:val="00E051FB"/>
    <w:rsid w:val="00E05297"/>
    <w:rsid w:val="00E0534E"/>
    <w:rsid w:val="00E053DD"/>
    <w:rsid w:val="00E05494"/>
    <w:rsid w:val="00E056DE"/>
    <w:rsid w:val="00E057FC"/>
    <w:rsid w:val="00E05995"/>
    <w:rsid w:val="00E05B12"/>
    <w:rsid w:val="00E05BF5"/>
    <w:rsid w:val="00E05EEA"/>
    <w:rsid w:val="00E05EFD"/>
    <w:rsid w:val="00E06011"/>
    <w:rsid w:val="00E06190"/>
    <w:rsid w:val="00E0632E"/>
    <w:rsid w:val="00E063A0"/>
    <w:rsid w:val="00E06547"/>
    <w:rsid w:val="00E06562"/>
    <w:rsid w:val="00E06685"/>
    <w:rsid w:val="00E06800"/>
    <w:rsid w:val="00E068A8"/>
    <w:rsid w:val="00E06931"/>
    <w:rsid w:val="00E0696A"/>
    <w:rsid w:val="00E06B66"/>
    <w:rsid w:val="00E06D4B"/>
    <w:rsid w:val="00E06DF6"/>
    <w:rsid w:val="00E06EC0"/>
    <w:rsid w:val="00E06FD9"/>
    <w:rsid w:val="00E0704C"/>
    <w:rsid w:val="00E07051"/>
    <w:rsid w:val="00E0707A"/>
    <w:rsid w:val="00E07374"/>
    <w:rsid w:val="00E073F5"/>
    <w:rsid w:val="00E07840"/>
    <w:rsid w:val="00E07F33"/>
    <w:rsid w:val="00E07FFC"/>
    <w:rsid w:val="00E10508"/>
    <w:rsid w:val="00E10831"/>
    <w:rsid w:val="00E108E5"/>
    <w:rsid w:val="00E11198"/>
    <w:rsid w:val="00E114DD"/>
    <w:rsid w:val="00E1175A"/>
    <w:rsid w:val="00E11B3B"/>
    <w:rsid w:val="00E11BE8"/>
    <w:rsid w:val="00E11F66"/>
    <w:rsid w:val="00E11FBB"/>
    <w:rsid w:val="00E12271"/>
    <w:rsid w:val="00E12294"/>
    <w:rsid w:val="00E125D6"/>
    <w:rsid w:val="00E126DB"/>
    <w:rsid w:val="00E126F3"/>
    <w:rsid w:val="00E12953"/>
    <w:rsid w:val="00E12A65"/>
    <w:rsid w:val="00E12AD9"/>
    <w:rsid w:val="00E12CA2"/>
    <w:rsid w:val="00E12CFC"/>
    <w:rsid w:val="00E12CFD"/>
    <w:rsid w:val="00E12DA7"/>
    <w:rsid w:val="00E12DFF"/>
    <w:rsid w:val="00E13770"/>
    <w:rsid w:val="00E139C4"/>
    <w:rsid w:val="00E13A73"/>
    <w:rsid w:val="00E13ACC"/>
    <w:rsid w:val="00E13CE9"/>
    <w:rsid w:val="00E13E9A"/>
    <w:rsid w:val="00E13F0F"/>
    <w:rsid w:val="00E13FE8"/>
    <w:rsid w:val="00E140E4"/>
    <w:rsid w:val="00E142DA"/>
    <w:rsid w:val="00E143BF"/>
    <w:rsid w:val="00E14867"/>
    <w:rsid w:val="00E148F3"/>
    <w:rsid w:val="00E14B27"/>
    <w:rsid w:val="00E14D8F"/>
    <w:rsid w:val="00E14E5D"/>
    <w:rsid w:val="00E14EE2"/>
    <w:rsid w:val="00E1510B"/>
    <w:rsid w:val="00E15150"/>
    <w:rsid w:val="00E15A19"/>
    <w:rsid w:val="00E15C50"/>
    <w:rsid w:val="00E15EC4"/>
    <w:rsid w:val="00E15F6B"/>
    <w:rsid w:val="00E1639F"/>
    <w:rsid w:val="00E164E6"/>
    <w:rsid w:val="00E16625"/>
    <w:rsid w:val="00E168C9"/>
    <w:rsid w:val="00E16A30"/>
    <w:rsid w:val="00E16C7F"/>
    <w:rsid w:val="00E16CA0"/>
    <w:rsid w:val="00E16D13"/>
    <w:rsid w:val="00E170DC"/>
    <w:rsid w:val="00E17CB6"/>
    <w:rsid w:val="00E17DBD"/>
    <w:rsid w:val="00E17F53"/>
    <w:rsid w:val="00E17FFC"/>
    <w:rsid w:val="00E202A1"/>
    <w:rsid w:val="00E20608"/>
    <w:rsid w:val="00E20920"/>
    <w:rsid w:val="00E20BFF"/>
    <w:rsid w:val="00E20CE4"/>
    <w:rsid w:val="00E20F5D"/>
    <w:rsid w:val="00E2139B"/>
    <w:rsid w:val="00E214C0"/>
    <w:rsid w:val="00E2172B"/>
    <w:rsid w:val="00E2197C"/>
    <w:rsid w:val="00E21D4A"/>
    <w:rsid w:val="00E21DAC"/>
    <w:rsid w:val="00E21DED"/>
    <w:rsid w:val="00E22083"/>
    <w:rsid w:val="00E2209F"/>
    <w:rsid w:val="00E2220F"/>
    <w:rsid w:val="00E224D3"/>
    <w:rsid w:val="00E22744"/>
    <w:rsid w:val="00E22872"/>
    <w:rsid w:val="00E22A5C"/>
    <w:rsid w:val="00E22BDA"/>
    <w:rsid w:val="00E22DFC"/>
    <w:rsid w:val="00E23106"/>
    <w:rsid w:val="00E23226"/>
    <w:rsid w:val="00E238B1"/>
    <w:rsid w:val="00E23A3E"/>
    <w:rsid w:val="00E23AB5"/>
    <w:rsid w:val="00E23D41"/>
    <w:rsid w:val="00E23FDD"/>
    <w:rsid w:val="00E2418B"/>
    <w:rsid w:val="00E2435E"/>
    <w:rsid w:val="00E243B7"/>
    <w:rsid w:val="00E246CB"/>
    <w:rsid w:val="00E24711"/>
    <w:rsid w:val="00E24758"/>
    <w:rsid w:val="00E24851"/>
    <w:rsid w:val="00E24D05"/>
    <w:rsid w:val="00E24EDC"/>
    <w:rsid w:val="00E25057"/>
    <w:rsid w:val="00E251AE"/>
    <w:rsid w:val="00E25486"/>
    <w:rsid w:val="00E254E1"/>
    <w:rsid w:val="00E25683"/>
    <w:rsid w:val="00E25747"/>
    <w:rsid w:val="00E257B7"/>
    <w:rsid w:val="00E25807"/>
    <w:rsid w:val="00E2582B"/>
    <w:rsid w:val="00E25986"/>
    <w:rsid w:val="00E26086"/>
    <w:rsid w:val="00E264B7"/>
    <w:rsid w:val="00E2669C"/>
    <w:rsid w:val="00E266B3"/>
    <w:rsid w:val="00E266BD"/>
    <w:rsid w:val="00E266D9"/>
    <w:rsid w:val="00E26D5C"/>
    <w:rsid w:val="00E26E39"/>
    <w:rsid w:val="00E26F2E"/>
    <w:rsid w:val="00E2749D"/>
    <w:rsid w:val="00E27A11"/>
    <w:rsid w:val="00E27BA4"/>
    <w:rsid w:val="00E27BCB"/>
    <w:rsid w:val="00E27CC1"/>
    <w:rsid w:val="00E27FA4"/>
    <w:rsid w:val="00E300F0"/>
    <w:rsid w:val="00E30180"/>
    <w:rsid w:val="00E30338"/>
    <w:rsid w:val="00E303D0"/>
    <w:rsid w:val="00E30412"/>
    <w:rsid w:val="00E30428"/>
    <w:rsid w:val="00E307D1"/>
    <w:rsid w:val="00E307EB"/>
    <w:rsid w:val="00E309C9"/>
    <w:rsid w:val="00E30A7D"/>
    <w:rsid w:val="00E30B53"/>
    <w:rsid w:val="00E30BE7"/>
    <w:rsid w:val="00E30D3C"/>
    <w:rsid w:val="00E30F2F"/>
    <w:rsid w:val="00E31274"/>
    <w:rsid w:val="00E31BDF"/>
    <w:rsid w:val="00E31C3E"/>
    <w:rsid w:val="00E31C92"/>
    <w:rsid w:val="00E31D63"/>
    <w:rsid w:val="00E322FA"/>
    <w:rsid w:val="00E32312"/>
    <w:rsid w:val="00E3258E"/>
    <w:rsid w:val="00E325D9"/>
    <w:rsid w:val="00E327CF"/>
    <w:rsid w:val="00E32C1F"/>
    <w:rsid w:val="00E32E3A"/>
    <w:rsid w:val="00E33157"/>
    <w:rsid w:val="00E3316C"/>
    <w:rsid w:val="00E33283"/>
    <w:rsid w:val="00E332DD"/>
    <w:rsid w:val="00E332F6"/>
    <w:rsid w:val="00E33508"/>
    <w:rsid w:val="00E3366C"/>
    <w:rsid w:val="00E33A88"/>
    <w:rsid w:val="00E33AA9"/>
    <w:rsid w:val="00E33D69"/>
    <w:rsid w:val="00E33E33"/>
    <w:rsid w:val="00E33F01"/>
    <w:rsid w:val="00E33F66"/>
    <w:rsid w:val="00E34019"/>
    <w:rsid w:val="00E34021"/>
    <w:rsid w:val="00E34046"/>
    <w:rsid w:val="00E34050"/>
    <w:rsid w:val="00E342EB"/>
    <w:rsid w:val="00E34520"/>
    <w:rsid w:val="00E3469A"/>
    <w:rsid w:val="00E3489A"/>
    <w:rsid w:val="00E3490B"/>
    <w:rsid w:val="00E34912"/>
    <w:rsid w:val="00E34CBB"/>
    <w:rsid w:val="00E34D1B"/>
    <w:rsid w:val="00E34E10"/>
    <w:rsid w:val="00E34F8E"/>
    <w:rsid w:val="00E35113"/>
    <w:rsid w:val="00E3540D"/>
    <w:rsid w:val="00E35435"/>
    <w:rsid w:val="00E354C2"/>
    <w:rsid w:val="00E35590"/>
    <w:rsid w:val="00E35909"/>
    <w:rsid w:val="00E35AA8"/>
    <w:rsid w:val="00E35B52"/>
    <w:rsid w:val="00E35DAF"/>
    <w:rsid w:val="00E35EA7"/>
    <w:rsid w:val="00E3607F"/>
    <w:rsid w:val="00E36223"/>
    <w:rsid w:val="00E36AF2"/>
    <w:rsid w:val="00E37468"/>
    <w:rsid w:val="00E37593"/>
    <w:rsid w:val="00E377C8"/>
    <w:rsid w:val="00E37833"/>
    <w:rsid w:val="00E37855"/>
    <w:rsid w:val="00E378BB"/>
    <w:rsid w:val="00E379A3"/>
    <w:rsid w:val="00E37BBA"/>
    <w:rsid w:val="00E37DFA"/>
    <w:rsid w:val="00E37EB3"/>
    <w:rsid w:val="00E40007"/>
    <w:rsid w:val="00E40333"/>
    <w:rsid w:val="00E404B5"/>
    <w:rsid w:val="00E4089E"/>
    <w:rsid w:val="00E40AE5"/>
    <w:rsid w:val="00E410BD"/>
    <w:rsid w:val="00E41152"/>
    <w:rsid w:val="00E4121B"/>
    <w:rsid w:val="00E412CB"/>
    <w:rsid w:val="00E4139B"/>
    <w:rsid w:val="00E414EF"/>
    <w:rsid w:val="00E414FA"/>
    <w:rsid w:val="00E414FC"/>
    <w:rsid w:val="00E417BC"/>
    <w:rsid w:val="00E41ACB"/>
    <w:rsid w:val="00E41B45"/>
    <w:rsid w:val="00E41D23"/>
    <w:rsid w:val="00E41EEC"/>
    <w:rsid w:val="00E41FC8"/>
    <w:rsid w:val="00E42324"/>
    <w:rsid w:val="00E4258B"/>
    <w:rsid w:val="00E42693"/>
    <w:rsid w:val="00E42826"/>
    <w:rsid w:val="00E428D7"/>
    <w:rsid w:val="00E42D5B"/>
    <w:rsid w:val="00E42FF5"/>
    <w:rsid w:val="00E43301"/>
    <w:rsid w:val="00E438B8"/>
    <w:rsid w:val="00E43939"/>
    <w:rsid w:val="00E43A59"/>
    <w:rsid w:val="00E43C42"/>
    <w:rsid w:val="00E43DA5"/>
    <w:rsid w:val="00E43F28"/>
    <w:rsid w:val="00E4419C"/>
    <w:rsid w:val="00E44239"/>
    <w:rsid w:val="00E443A9"/>
    <w:rsid w:val="00E444AC"/>
    <w:rsid w:val="00E445DD"/>
    <w:rsid w:val="00E446C3"/>
    <w:rsid w:val="00E448D4"/>
    <w:rsid w:val="00E449F4"/>
    <w:rsid w:val="00E44AC2"/>
    <w:rsid w:val="00E44E52"/>
    <w:rsid w:val="00E4585A"/>
    <w:rsid w:val="00E4597E"/>
    <w:rsid w:val="00E45A7C"/>
    <w:rsid w:val="00E460A4"/>
    <w:rsid w:val="00E4617E"/>
    <w:rsid w:val="00E4618C"/>
    <w:rsid w:val="00E46468"/>
    <w:rsid w:val="00E465B9"/>
    <w:rsid w:val="00E46753"/>
    <w:rsid w:val="00E46AFC"/>
    <w:rsid w:val="00E46EAD"/>
    <w:rsid w:val="00E46ECE"/>
    <w:rsid w:val="00E473BB"/>
    <w:rsid w:val="00E473C7"/>
    <w:rsid w:val="00E47420"/>
    <w:rsid w:val="00E474A5"/>
    <w:rsid w:val="00E475AD"/>
    <w:rsid w:val="00E475F4"/>
    <w:rsid w:val="00E476A8"/>
    <w:rsid w:val="00E47AE3"/>
    <w:rsid w:val="00E47CB0"/>
    <w:rsid w:val="00E5000D"/>
    <w:rsid w:val="00E502E5"/>
    <w:rsid w:val="00E5031A"/>
    <w:rsid w:val="00E50422"/>
    <w:rsid w:val="00E5044B"/>
    <w:rsid w:val="00E505B5"/>
    <w:rsid w:val="00E506EB"/>
    <w:rsid w:val="00E508EE"/>
    <w:rsid w:val="00E509A8"/>
    <w:rsid w:val="00E50B1E"/>
    <w:rsid w:val="00E5103D"/>
    <w:rsid w:val="00E514CD"/>
    <w:rsid w:val="00E517BD"/>
    <w:rsid w:val="00E518EA"/>
    <w:rsid w:val="00E519F0"/>
    <w:rsid w:val="00E51A08"/>
    <w:rsid w:val="00E51ACE"/>
    <w:rsid w:val="00E51AEE"/>
    <w:rsid w:val="00E51C4D"/>
    <w:rsid w:val="00E51CC5"/>
    <w:rsid w:val="00E51D05"/>
    <w:rsid w:val="00E51DD2"/>
    <w:rsid w:val="00E51E78"/>
    <w:rsid w:val="00E52087"/>
    <w:rsid w:val="00E52173"/>
    <w:rsid w:val="00E522CF"/>
    <w:rsid w:val="00E52447"/>
    <w:rsid w:val="00E5249B"/>
    <w:rsid w:val="00E5252A"/>
    <w:rsid w:val="00E525C3"/>
    <w:rsid w:val="00E526F6"/>
    <w:rsid w:val="00E528F4"/>
    <w:rsid w:val="00E52B82"/>
    <w:rsid w:val="00E52D34"/>
    <w:rsid w:val="00E52D72"/>
    <w:rsid w:val="00E52E50"/>
    <w:rsid w:val="00E52F5A"/>
    <w:rsid w:val="00E52FED"/>
    <w:rsid w:val="00E53125"/>
    <w:rsid w:val="00E531CA"/>
    <w:rsid w:val="00E53396"/>
    <w:rsid w:val="00E535C0"/>
    <w:rsid w:val="00E53685"/>
    <w:rsid w:val="00E536DC"/>
    <w:rsid w:val="00E53779"/>
    <w:rsid w:val="00E53ADB"/>
    <w:rsid w:val="00E53BDC"/>
    <w:rsid w:val="00E53D7C"/>
    <w:rsid w:val="00E53E51"/>
    <w:rsid w:val="00E53F91"/>
    <w:rsid w:val="00E53FF5"/>
    <w:rsid w:val="00E5403E"/>
    <w:rsid w:val="00E54067"/>
    <w:rsid w:val="00E5416D"/>
    <w:rsid w:val="00E5423E"/>
    <w:rsid w:val="00E54316"/>
    <w:rsid w:val="00E54498"/>
    <w:rsid w:val="00E544E0"/>
    <w:rsid w:val="00E5459C"/>
    <w:rsid w:val="00E54945"/>
    <w:rsid w:val="00E54ED2"/>
    <w:rsid w:val="00E54F23"/>
    <w:rsid w:val="00E5538A"/>
    <w:rsid w:val="00E553AC"/>
    <w:rsid w:val="00E553E7"/>
    <w:rsid w:val="00E555D1"/>
    <w:rsid w:val="00E557F2"/>
    <w:rsid w:val="00E55889"/>
    <w:rsid w:val="00E55CF7"/>
    <w:rsid w:val="00E55E94"/>
    <w:rsid w:val="00E55FF7"/>
    <w:rsid w:val="00E5609B"/>
    <w:rsid w:val="00E560F5"/>
    <w:rsid w:val="00E562D2"/>
    <w:rsid w:val="00E56347"/>
    <w:rsid w:val="00E56885"/>
    <w:rsid w:val="00E568F4"/>
    <w:rsid w:val="00E56C5D"/>
    <w:rsid w:val="00E56C7F"/>
    <w:rsid w:val="00E56CA8"/>
    <w:rsid w:val="00E56D36"/>
    <w:rsid w:val="00E56FCE"/>
    <w:rsid w:val="00E5711F"/>
    <w:rsid w:val="00E57247"/>
    <w:rsid w:val="00E573AA"/>
    <w:rsid w:val="00E574C1"/>
    <w:rsid w:val="00E576E6"/>
    <w:rsid w:val="00E577B3"/>
    <w:rsid w:val="00E5780D"/>
    <w:rsid w:val="00E57895"/>
    <w:rsid w:val="00E57A14"/>
    <w:rsid w:val="00E57C09"/>
    <w:rsid w:val="00E57F18"/>
    <w:rsid w:val="00E60063"/>
    <w:rsid w:val="00E600B9"/>
    <w:rsid w:val="00E601D4"/>
    <w:rsid w:val="00E6029E"/>
    <w:rsid w:val="00E603FE"/>
    <w:rsid w:val="00E6063E"/>
    <w:rsid w:val="00E607E3"/>
    <w:rsid w:val="00E60983"/>
    <w:rsid w:val="00E60AE3"/>
    <w:rsid w:val="00E60C0E"/>
    <w:rsid w:val="00E60CA6"/>
    <w:rsid w:val="00E60DA5"/>
    <w:rsid w:val="00E610D5"/>
    <w:rsid w:val="00E6112F"/>
    <w:rsid w:val="00E611D6"/>
    <w:rsid w:val="00E61227"/>
    <w:rsid w:val="00E6199E"/>
    <w:rsid w:val="00E61AC1"/>
    <w:rsid w:val="00E61C35"/>
    <w:rsid w:val="00E61F8D"/>
    <w:rsid w:val="00E6241E"/>
    <w:rsid w:val="00E62485"/>
    <w:rsid w:val="00E6262A"/>
    <w:rsid w:val="00E629B4"/>
    <w:rsid w:val="00E62A07"/>
    <w:rsid w:val="00E62AE0"/>
    <w:rsid w:val="00E62E95"/>
    <w:rsid w:val="00E630E3"/>
    <w:rsid w:val="00E63172"/>
    <w:rsid w:val="00E632E7"/>
    <w:rsid w:val="00E63632"/>
    <w:rsid w:val="00E63C5E"/>
    <w:rsid w:val="00E63D82"/>
    <w:rsid w:val="00E63F7B"/>
    <w:rsid w:val="00E64124"/>
    <w:rsid w:val="00E644FB"/>
    <w:rsid w:val="00E64586"/>
    <w:rsid w:val="00E64646"/>
    <w:rsid w:val="00E647F5"/>
    <w:rsid w:val="00E64959"/>
    <w:rsid w:val="00E6564D"/>
    <w:rsid w:val="00E658DC"/>
    <w:rsid w:val="00E65A01"/>
    <w:rsid w:val="00E65B0D"/>
    <w:rsid w:val="00E65EB6"/>
    <w:rsid w:val="00E65ED4"/>
    <w:rsid w:val="00E6601B"/>
    <w:rsid w:val="00E66179"/>
    <w:rsid w:val="00E66197"/>
    <w:rsid w:val="00E663EF"/>
    <w:rsid w:val="00E66834"/>
    <w:rsid w:val="00E66A1F"/>
    <w:rsid w:val="00E66B09"/>
    <w:rsid w:val="00E66D24"/>
    <w:rsid w:val="00E673EC"/>
    <w:rsid w:val="00E67973"/>
    <w:rsid w:val="00E67F13"/>
    <w:rsid w:val="00E70323"/>
    <w:rsid w:val="00E70370"/>
    <w:rsid w:val="00E703B6"/>
    <w:rsid w:val="00E70411"/>
    <w:rsid w:val="00E70659"/>
    <w:rsid w:val="00E70673"/>
    <w:rsid w:val="00E7068E"/>
    <w:rsid w:val="00E70706"/>
    <w:rsid w:val="00E70934"/>
    <w:rsid w:val="00E70A89"/>
    <w:rsid w:val="00E70B28"/>
    <w:rsid w:val="00E70E00"/>
    <w:rsid w:val="00E71128"/>
    <w:rsid w:val="00E712DC"/>
    <w:rsid w:val="00E7130F"/>
    <w:rsid w:val="00E7139B"/>
    <w:rsid w:val="00E7165D"/>
    <w:rsid w:val="00E71685"/>
    <w:rsid w:val="00E7171E"/>
    <w:rsid w:val="00E71796"/>
    <w:rsid w:val="00E71A4B"/>
    <w:rsid w:val="00E71A96"/>
    <w:rsid w:val="00E71B29"/>
    <w:rsid w:val="00E72032"/>
    <w:rsid w:val="00E72B03"/>
    <w:rsid w:val="00E72D57"/>
    <w:rsid w:val="00E72E33"/>
    <w:rsid w:val="00E732EF"/>
    <w:rsid w:val="00E7341B"/>
    <w:rsid w:val="00E73B84"/>
    <w:rsid w:val="00E73BA5"/>
    <w:rsid w:val="00E742B4"/>
    <w:rsid w:val="00E742BF"/>
    <w:rsid w:val="00E74B09"/>
    <w:rsid w:val="00E74B4A"/>
    <w:rsid w:val="00E74CE6"/>
    <w:rsid w:val="00E74D95"/>
    <w:rsid w:val="00E74E0D"/>
    <w:rsid w:val="00E75885"/>
    <w:rsid w:val="00E75A6D"/>
    <w:rsid w:val="00E75AF5"/>
    <w:rsid w:val="00E75B74"/>
    <w:rsid w:val="00E75C77"/>
    <w:rsid w:val="00E75CB3"/>
    <w:rsid w:val="00E75EFE"/>
    <w:rsid w:val="00E76263"/>
    <w:rsid w:val="00E766E0"/>
    <w:rsid w:val="00E767EF"/>
    <w:rsid w:val="00E76812"/>
    <w:rsid w:val="00E768DE"/>
    <w:rsid w:val="00E773C6"/>
    <w:rsid w:val="00E77522"/>
    <w:rsid w:val="00E775D2"/>
    <w:rsid w:val="00E7760B"/>
    <w:rsid w:val="00E77828"/>
    <w:rsid w:val="00E77891"/>
    <w:rsid w:val="00E779D6"/>
    <w:rsid w:val="00E77A4C"/>
    <w:rsid w:val="00E77B2B"/>
    <w:rsid w:val="00E800B9"/>
    <w:rsid w:val="00E800C5"/>
    <w:rsid w:val="00E802E4"/>
    <w:rsid w:val="00E8035B"/>
    <w:rsid w:val="00E8052A"/>
    <w:rsid w:val="00E80873"/>
    <w:rsid w:val="00E808F2"/>
    <w:rsid w:val="00E80915"/>
    <w:rsid w:val="00E80A2C"/>
    <w:rsid w:val="00E80A5C"/>
    <w:rsid w:val="00E80B77"/>
    <w:rsid w:val="00E80C90"/>
    <w:rsid w:val="00E80E27"/>
    <w:rsid w:val="00E80FC4"/>
    <w:rsid w:val="00E8108A"/>
    <w:rsid w:val="00E812AB"/>
    <w:rsid w:val="00E81510"/>
    <w:rsid w:val="00E818E9"/>
    <w:rsid w:val="00E81BAC"/>
    <w:rsid w:val="00E81CE9"/>
    <w:rsid w:val="00E81E74"/>
    <w:rsid w:val="00E81EE0"/>
    <w:rsid w:val="00E81EFE"/>
    <w:rsid w:val="00E82231"/>
    <w:rsid w:val="00E82584"/>
    <w:rsid w:val="00E82783"/>
    <w:rsid w:val="00E8299C"/>
    <w:rsid w:val="00E82E91"/>
    <w:rsid w:val="00E82FB6"/>
    <w:rsid w:val="00E831AB"/>
    <w:rsid w:val="00E831F9"/>
    <w:rsid w:val="00E832EF"/>
    <w:rsid w:val="00E83315"/>
    <w:rsid w:val="00E83350"/>
    <w:rsid w:val="00E83363"/>
    <w:rsid w:val="00E83398"/>
    <w:rsid w:val="00E83842"/>
    <w:rsid w:val="00E83938"/>
    <w:rsid w:val="00E839F9"/>
    <w:rsid w:val="00E83A64"/>
    <w:rsid w:val="00E83CFD"/>
    <w:rsid w:val="00E83DF1"/>
    <w:rsid w:val="00E83E76"/>
    <w:rsid w:val="00E83F0F"/>
    <w:rsid w:val="00E84078"/>
    <w:rsid w:val="00E842AF"/>
    <w:rsid w:val="00E8462F"/>
    <w:rsid w:val="00E846BA"/>
    <w:rsid w:val="00E84AD8"/>
    <w:rsid w:val="00E84C0D"/>
    <w:rsid w:val="00E84D8A"/>
    <w:rsid w:val="00E84DD6"/>
    <w:rsid w:val="00E84E4F"/>
    <w:rsid w:val="00E84EDE"/>
    <w:rsid w:val="00E85073"/>
    <w:rsid w:val="00E85139"/>
    <w:rsid w:val="00E85339"/>
    <w:rsid w:val="00E853D5"/>
    <w:rsid w:val="00E8540A"/>
    <w:rsid w:val="00E8540D"/>
    <w:rsid w:val="00E857A4"/>
    <w:rsid w:val="00E859CC"/>
    <w:rsid w:val="00E85B25"/>
    <w:rsid w:val="00E85E41"/>
    <w:rsid w:val="00E8602D"/>
    <w:rsid w:val="00E86379"/>
    <w:rsid w:val="00E865BE"/>
    <w:rsid w:val="00E86E47"/>
    <w:rsid w:val="00E86E61"/>
    <w:rsid w:val="00E86EE8"/>
    <w:rsid w:val="00E86F7B"/>
    <w:rsid w:val="00E86F81"/>
    <w:rsid w:val="00E87446"/>
    <w:rsid w:val="00E875F7"/>
    <w:rsid w:val="00E877D1"/>
    <w:rsid w:val="00E87AE3"/>
    <w:rsid w:val="00E90193"/>
    <w:rsid w:val="00E9035D"/>
    <w:rsid w:val="00E9038C"/>
    <w:rsid w:val="00E90444"/>
    <w:rsid w:val="00E904B0"/>
    <w:rsid w:val="00E9053A"/>
    <w:rsid w:val="00E90630"/>
    <w:rsid w:val="00E9067D"/>
    <w:rsid w:val="00E906EE"/>
    <w:rsid w:val="00E908BB"/>
    <w:rsid w:val="00E9090B"/>
    <w:rsid w:val="00E90AB8"/>
    <w:rsid w:val="00E90D46"/>
    <w:rsid w:val="00E90D48"/>
    <w:rsid w:val="00E910BF"/>
    <w:rsid w:val="00E910ED"/>
    <w:rsid w:val="00E913D9"/>
    <w:rsid w:val="00E91463"/>
    <w:rsid w:val="00E915C3"/>
    <w:rsid w:val="00E915D7"/>
    <w:rsid w:val="00E91832"/>
    <w:rsid w:val="00E919D7"/>
    <w:rsid w:val="00E91BA6"/>
    <w:rsid w:val="00E92055"/>
    <w:rsid w:val="00E9206D"/>
    <w:rsid w:val="00E92148"/>
    <w:rsid w:val="00E9231E"/>
    <w:rsid w:val="00E92474"/>
    <w:rsid w:val="00E92714"/>
    <w:rsid w:val="00E92814"/>
    <w:rsid w:val="00E9281A"/>
    <w:rsid w:val="00E92B37"/>
    <w:rsid w:val="00E92CB6"/>
    <w:rsid w:val="00E92CCF"/>
    <w:rsid w:val="00E92F5B"/>
    <w:rsid w:val="00E930D9"/>
    <w:rsid w:val="00E931CB"/>
    <w:rsid w:val="00E9383E"/>
    <w:rsid w:val="00E939DE"/>
    <w:rsid w:val="00E93A8D"/>
    <w:rsid w:val="00E93C87"/>
    <w:rsid w:val="00E9434D"/>
    <w:rsid w:val="00E9437B"/>
    <w:rsid w:val="00E9438E"/>
    <w:rsid w:val="00E945F7"/>
    <w:rsid w:val="00E94767"/>
    <w:rsid w:val="00E9484B"/>
    <w:rsid w:val="00E94B17"/>
    <w:rsid w:val="00E94B35"/>
    <w:rsid w:val="00E94B94"/>
    <w:rsid w:val="00E94C81"/>
    <w:rsid w:val="00E94F60"/>
    <w:rsid w:val="00E95166"/>
    <w:rsid w:val="00E951DB"/>
    <w:rsid w:val="00E951DD"/>
    <w:rsid w:val="00E953F4"/>
    <w:rsid w:val="00E9550F"/>
    <w:rsid w:val="00E95A50"/>
    <w:rsid w:val="00E95B5B"/>
    <w:rsid w:val="00E95CCB"/>
    <w:rsid w:val="00E960BA"/>
    <w:rsid w:val="00E96318"/>
    <w:rsid w:val="00E964F0"/>
    <w:rsid w:val="00E96575"/>
    <w:rsid w:val="00E965AE"/>
    <w:rsid w:val="00E965E2"/>
    <w:rsid w:val="00E966C9"/>
    <w:rsid w:val="00E96817"/>
    <w:rsid w:val="00E969AF"/>
    <w:rsid w:val="00E96CB4"/>
    <w:rsid w:val="00E96E12"/>
    <w:rsid w:val="00E96E16"/>
    <w:rsid w:val="00E96E2B"/>
    <w:rsid w:val="00E96EBB"/>
    <w:rsid w:val="00E9706E"/>
    <w:rsid w:val="00E970AC"/>
    <w:rsid w:val="00E972EC"/>
    <w:rsid w:val="00E976EA"/>
    <w:rsid w:val="00E977EB"/>
    <w:rsid w:val="00E979CA"/>
    <w:rsid w:val="00EA006C"/>
    <w:rsid w:val="00EA030C"/>
    <w:rsid w:val="00EA03A5"/>
    <w:rsid w:val="00EA0513"/>
    <w:rsid w:val="00EA06C4"/>
    <w:rsid w:val="00EA0BB6"/>
    <w:rsid w:val="00EA0BCA"/>
    <w:rsid w:val="00EA0C43"/>
    <w:rsid w:val="00EA0E1E"/>
    <w:rsid w:val="00EA10CA"/>
    <w:rsid w:val="00EA10F1"/>
    <w:rsid w:val="00EA1277"/>
    <w:rsid w:val="00EA1522"/>
    <w:rsid w:val="00EA1755"/>
    <w:rsid w:val="00EA17B6"/>
    <w:rsid w:val="00EA196B"/>
    <w:rsid w:val="00EA1978"/>
    <w:rsid w:val="00EA1CD3"/>
    <w:rsid w:val="00EA1E15"/>
    <w:rsid w:val="00EA2330"/>
    <w:rsid w:val="00EA2363"/>
    <w:rsid w:val="00EA2581"/>
    <w:rsid w:val="00EA27FA"/>
    <w:rsid w:val="00EA28DE"/>
    <w:rsid w:val="00EA29F1"/>
    <w:rsid w:val="00EA2C09"/>
    <w:rsid w:val="00EA2C99"/>
    <w:rsid w:val="00EA2F4E"/>
    <w:rsid w:val="00EA3142"/>
    <w:rsid w:val="00EA32C9"/>
    <w:rsid w:val="00EA356A"/>
    <w:rsid w:val="00EA3584"/>
    <w:rsid w:val="00EA35F6"/>
    <w:rsid w:val="00EA3849"/>
    <w:rsid w:val="00EA3AC8"/>
    <w:rsid w:val="00EA3B13"/>
    <w:rsid w:val="00EA3DBA"/>
    <w:rsid w:val="00EA3F4D"/>
    <w:rsid w:val="00EA4600"/>
    <w:rsid w:val="00EA4637"/>
    <w:rsid w:val="00EA47A0"/>
    <w:rsid w:val="00EA47A8"/>
    <w:rsid w:val="00EA47B0"/>
    <w:rsid w:val="00EA4A78"/>
    <w:rsid w:val="00EA4AFD"/>
    <w:rsid w:val="00EA4B2A"/>
    <w:rsid w:val="00EA50C3"/>
    <w:rsid w:val="00EA52A1"/>
    <w:rsid w:val="00EA53F3"/>
    <w:rsid w:val="00EA563F"/>
    <w:rsid w:val="00EA56D4"/>
    <w:rsid w:val="00EA5844"/>
    <w:rsid w:val="00EA5901"/>
    <w:rsid w:val="00EA5CAD"/>
    <w:rsid w:val="00EA5D19"/>
    <w:rsid w:val="00EA5E8E"/>
    <w:rsid w:val="00EA6012"/>
    <w:rsid w:val="00EA606E"/>
    <w:rsid w:val="00EA63BA"/>
    <w:rsid w:val="00EA652F"/>
    <w:rsid w:val="00EA66F6"/>
    <w:rsid w:val="00EA6704"/>
    <w:rsid w:val="00EA6897"/>
    <w:rsid w:val="00EA6B19"/>
    <w:rsid w:val="00EA6D68"/>
    <w:rsid w:val="00EA6FA3"/>
    <w:rsid w:val="00EA6FF9"/>
    <w:rsid w:val="00EA70CE"/>
    <w:rsid w:val="00EA7736"/>
    <w:rsid w:val="00EA7B04"/>
    <w:rsid w:val="00EA7BDE"/>
    <w:rsid w:val="00EA7CB2"/>
    <w:rsid w:val="00EA7F01"/>
    <w:rsid w:val="00EA7F92"/>
    <w:rsid w:val="00EA7F9A"/>
    <w:rsid w:val="00EB011A"/>
    <w:rsid w:val="00EB0154"/>
    <w:rsid w:val="00EB053E"/>
    <w:rsid w:val="00EB07B9"/>
    <w:rsid w:val="00EB0B0B"/>
    <w:rsid w:val="00EB0B4C"/>
    <w:rsid w:val="00EB0BDB"/>
    <w:rsid w:val="00EB0C1B"/>
    <w:rsid w:val="00EB0CAE"/>
    <w:rsid w:val="00EB0D9F"/>
    <w:rsid w:val="00EB0DBC"/>
    <w:rsid w:val="00EB0F4A"/>
    <w:rsid w:val="00EB11FD"/>
    <w:rsid w:val="00EB181F"/>
    <w:rsid w:val="00EB19E3"/>
    <w:rsid w:val="00EB1B0B"/>
    <w:rsid w:val="00EB1B0C"/>
    <w:rsid w:val="00EB1BDB"/>
    <w:rsid w:val="00EB1F1E"/>
    <w:rsid w:val="00EB2443"/>
    <w:rsid w:val="00EB2446"/>
    <w:rsid w:val="00EB2CF2"/>
    <w:rsid w:val="00EB2E7B"/>
    <w:rsid w:val="00EB309E"/>
    <w:rsid w:val="00EB3149"/>
    <w:rsid w:val="00EB32A7"/>
    <w:rsid w:val="00EB3378"/>
    <w:rsid w:val="00EB3749"/>
    <w:rsid w:val="00EB3814"/>
    <w:rsid w:val="00EB383D"/>
    <w:rsid w:val="00EB3882"/>
    <w:rsid w:val="00EB394F"/>
    <w:rsid w:val="00EB39C9"/>
    <w:rsid w:val="00EB3A86"/>
    <w:rsid w:val="00EB3B26"/>
    <w:rsid w:val="00EB3F68"/>
    <w:rsid w:val="00EB4132"/>
    <w:rsid w:val="00EB4151"/>
    <w:rsid w:val="00EB450C"/>
    <w:rsid w:val="00EB47AC"/>
    <w:rsid w:val="00EB4940"/>
    <w:rsid w:val="00EB4A66"/>
    <w:rsid w:val="00EB4C44"/>
    <w:rsid w:val="00EB4E76"/>
    <w:rsid w:val="00EB5185"/>
    <w:rsid w:val="00EB51E1"/>
    <w:rsid w:val="00EB5356"/>
    <w:rsid w:val="00EB5601"/>
    <w:rsid w:val="00EB5664"/>
    <w:rsid w:val="00EB5751"/>
    <w:rsid w:val="00EB5F52"/>
    <w:rsid w:val="00EB6017"/>
    <w:rsid w:val="00EB6314"/>
    <w:rsid w:val="00EB649D"/>
    <w:rsid w:val="00EB6568"/>
    <w:rsid w:val="00EB66BD"/>
    <w:rsid w:val="00EB6A94"/>
    <w:rsid w:val="00EB6B4B"/>
    <w:rsid w:val="00EB6D15"/>
    <w:rsid w:val="00EB6DB8"/>
    <w:rsid w:val="00EB6F2C"/>
    <w:rsid w:val="00EB7098"/>
    <w:rsid w:val="00EB71BD"/>
    <w:rsid w:val="00EB721F"/>
    <w:rsid w:val="00EB7418"/>
    <w:rsid w:val="00EB767E"/>
    <w:rsid w:val="00EB7694"/>
    <w:rsid w:val="00EB7747"/>
    <w:rsid w:val="00EB7845"/>
    <w:rsid w:val="00EB786E"/>
    <w:rsid w:val="00EB78F5"/>
    <w:rsid w:val="00EB79FB"/>
    <w:rsid w:val="00EB7AFF"/>
    <w:rsid w:val="00EB7BC2"/>
    <w:rsid w:val="00EB7C7E"/>
    <w:rsid w:val="00EB7CF2"/>
    <w:rsid w:val="00EB7F36"/>
    <w:rsid w:val="00EB7FF6"/>
    <w:rsid w:val="00EC01C3"/>
    <w:rsid w:val="00EC01C7"/>
    <w:rsid w:val="00EC0405"/>
    <w:rsid w:val="00EC0432"/>
    <w:rsid w:val="00EC043A"/>
    <w:rsid w:val="00EC05BB"/>
    <w:rsid w:val="00EC0706"/>
    <w:rsid w:val="00EC0738"/>
    <w:rsid w:val="00EC07BB"/>
    <w:rsid w:val="00EC08D0"/>
    <w:rsid w:val="00EC0D5B"/>
    <w:rsid w:val="00EC0D8C"/>
    <w:rsid w:val="00EC1030"/>
    <w:rsid w:val="00EC10C9"/>
    <w:rsid w:val="00EC10CE"/>
    <w:rsid w:val="00EC12E6"/>
    <w:rsid w:val="00EC1376"/>
    <w:rsid w:val="00EC13D1"/>
    <w:rsid w:val="00EC1776"/>
    <w:rsid w:val="00EC1A3A"/>
    <w:rsid w:val="00EC1B2B"/>
    <w:rsid w:val="00EC1BB4"/>
    <w:rsid w:val="00EC1E1E"/>
    <w:rsid w:val="00EC269B"/>
    <w:rsid w:val="00EC26B9"/>
    <w:rsid w:val="00EC2B91"/>
    <w:rsid w:val="00EC2BF7"/>
    <w:rsid w:val="00EC2D71"/>
    <w:rsid w:val="00EC2E0C"/>
    <w:rsid w:val="00EC2EFE"/>
    <w:rsid w:val="00EC312E"/>
    <w:rsid w:val="00EC3155"/>
    <w:rsid w:val="00EC327C"/>
    <w:rsid w:val="00EC32AA"/>
    <w:rsid w:val="00EC33FC"/>
    <w:rsid w:val="00EC34A6"/>
    <w:rsid w:val="00EC35D6"/>
    <w:rsid w:val="00EC38CE"/>
    <w:rsid w:val="00EC393E"/>
    <w:rsid w:val="00EC3A52"/>
    <w:rsid w:val="00EC3B4D"/>
    <w:rsid w:val="00EC3D01"/>
    <w:rsid w:val="00EC3F0B"/>
    <w:rsid w:val="00EC422B"/>
    <w:rsid w:val="00EC42BD"/>
    <w:rsid w:val="00EC455B"/>
    <w:rsid w:val="00EC45F5"/>
    <w:rsid w:val="00EC4622"/>
    <w:rsid w:val="00EC47FF"/>
    <w:rsid w:val="00EC493E"/>
    <w:rsid w:val="00EC526E"/>
    <w:rsid w:val="00EC5404"/>
    <w:rsid w:val="00EC54B9"/>
    <w:rsid w:val="00EC5A09"/>
    <w:rsid w:val="00EC5BDD"/>
    <w:rsid w:val="00EC5CAD"/>
    <w:rsid w:val="00EC6159"/>
    <w:rsid w:val="00EC6330"/>
    <w:rsid w:val="00EC662C"/>
    <w:rsid w:val="00EC6E0E"/>
    <w:rsid w:val="00EC6F32"/>
    <w:rsid w:val="00EC6FFB"/>
    <w:rsid w:val="00EC7137"/>
    <w:rsid w:val="00EC743D"/>
    <w:rsid w:val="00EC75B3"/>
    <w:rsid w:val="00EC79BF"/>
    <w:rsid w:val="00EC7A50"/>
    <w:rsid w:val="00EC7A58"/>
    <w:rsid w:val="00EC7AB7"/>
    <w:rsid w:val="00EC7E02"/>
    <w:rsid w:val="00EC7F04"/>
    <w:rsid w:val="00ED007D"/>
    <w:rsid w:val="00ED04AA"/>
    <w:rsid w:val="00ED05F7"/>
    <w:rsid w:val="00ED0608"/>
    <w:rsid w:val="00ED066D"/>
    <w:rsid w:val="00ED06C2"/>
    <w:rsid w:val="00ED0846"/>
    <w:rsid w:val="00ED0905"/>
    <w:rsid w:val="00ED1004"/>
    <w:rsid w:val="00ED10BC"/>
    <w:rsid w:val="00ED1347"/>
    <w:rsid w:val="00ED1413"/>
    <w:rsid w:val="00ED1419"/>
    <w:rsid w:val="00ED1544"/>
    <w:rsid w:val="00ED1594"/>
    <w:rsid w:val="00ED171F"/>
    <w:rsid w:val="00ED183E"/>
    <w:rsid w:val="00ED1B5A"/>
    <w:rsid w:val="00ED1F2D"/>
    <w:rsid w:val="00ED1F40"/>
    <w:rsid w:val="00ED20FE"/>
    <w:rsid w:val="00ED2137"/>
    <w:rsid w:val="00ED22A1"/>
    <w:rsid w:val="00ED22A4"/>
    <w:rsid w:val="00ED2347"/>
    <w:rsid w:val="00ED236D"/>
    <w:rsid w:val="00ED2515"/>
    <w:rsid w:val="00ED251C"/>
    <w:rsid w:val="00ED268B"/>
    <w:rsid w:val="00ED26B3"/>
    <w:rsid w:val="00ED276E"/>
    <w:rsid w:val="00ED29CF"/>
    <w:rsid w:val="00ED2A70"/>
    <w:rsid w:val="00ED2B41"/>
    <w:rsid w:val="00ED2B4E"/>
    <w:rsid w:val="00ED2CAD"/>
    <w:rsid w:val="00ED2D2E"/>
    <w:rsid w:val="00ED2F02"/>
    <w:rsid w:val="00ED3064"/>
    <w:rsid w:val="00ED33C2"/>
    <w:rsid w:val="00ED341E"/>
    <w:rsid w:val="00ED37B5"/>
    <w:rsid w:val="00ED397D"/>
    <w:rsid w:val="00ED39F6"/>
    <w:rsid w:val="00ED3B49"/>
    <w:rsid w:val="00ED3CF6"/>
    <w:rsid w:val="00ED3EAB"/>
    <w:rsid w:val="00ED406C"/>
    <w:rsid w:val="00ED417E"/>
    <w:rsid w:val="00ED41AA"/>
    <w:rsid w:val="00ED46E4"/>
    <w:rsid w:val="00ED471E"/>
    <w:rsid w:val="00ED4BF3"/>
    <w:rsid w:val="00ED4CDC"/>
    <w:rsid w:val="00ED4D27"/>
    <w:rsid w:val="00ED503A"/>
    <w:rsid w:val="00ED51FE"/>
    <w:rsid w:val="00ED532D"/>
    <w:rsid w:val="00ED5578"/>
    <w:rsid w:val="00ED563D"/>
    <w:rsid w:val="00ED5678"/>
    <w:rsid w:val="00ED5980"/>
    <w:rsid w:val="00ED5E6E"/>
    <w:rsid w:val="00ED5F1F"/>
    <w:rsid w:val="00ED6262"/>
    <w:rsid w:val="00ED644F"/>
    <w:rsid w:val="00ED66D9"/>
    <w:rsid w:val="00ED69A8"/>
    <w:rsid w:val="00ED6C09"/>
    <w:rsid w:val="00ED6CAB"/>
    <w:rsid w:val="00ED7067"/>
    <w:rsid w:val="00ED709F"/>
    <w:rsid w:val="00ED7139"/>
    <w:rsid w:val="00ED7587"/>
    <w:rsid w:val="00ED7840"/>
    <w:rsid w:val="00ED7C4F"/>
    <w:rsid w:val="00EE04CA"/>
    <w:rsid w:val="00EE06FD"/>
    <w:rsid w:val="00EE091E"/>
    <w:rsid w:val="00EE0BE1"/>
    <w:rsid w:val="00EE0C59"/>
    <w:rsid w:val="00EE0E62"/>
    <w:rsid w:val="00EE0F38"/>
    <w:rsid w:val="00EE0F54"/>
    <w:rsid w:val="00EE1065"/>
    <w:rsid w:val="00EE1213"/>
    <w:rsid w:val="00EE12F9"/>
    <w:rsid w:val="00EE1727"/>
    <w:rsid w:val="00EE1847"/>
    <w:rsid w:val="00EE1867"/>
    <w:rsid w:val="00EE1915"/>
    <w:rsid w:val="00EE19C3"/>
    <w:rsid w:val="00EE1A90"/>
    <w:rsid w:val="00EE1DF6"/>
    <w:rsid w:val="00EE1FA6"/>
    <w:rsid w:val="00EE22AD"/>
    <w:rsid w:val="00EE24D2"/>
    <w:rsid w:val="00EE25BB"/>
    <w:rsid w:val="00EE2742"/>
    <w:rsid w:val="00EE2863"/>
    <w:rsid w:val="00EE2A2A"/>
    <w:rsid w:val="00EE2ABB"/>
    <w:rsid w:val="00EE2ADB"/>
    <w:rsid w:val="00EE2D4B"/>
    <w:rsid w:val="00EE2FFB"/>
    <w:rsid w:val="00EE31E6"/>
    <w:rsid w:val="00EE3210"/>
    <w:rsid w:val="00EE34C2"/>
    <w:rsid w:val="00EE386C"/>
    <w:rsid w:val="00EE388F"/>
    <w:rsid w:val="00EE3965"/>
    <w:rsid w:val="00EE3BF5"/>
    <w:rsid w:val="00EE3DA3"/>
    <w:rsid w:val="00EE3DAE"/>
    <w:rsid w:val="00EE3E14"/>
    <w:rsid w:val="00EE4366"/>
    <w:rsid w:val="00EE455F"/>
    <w:rsid w:val="00EE477A"/>
    <w:rsid w:val="00EE4BF5"/>
    <w:rsid w:val="00EE4E98"/>
    <w:rsid w:val="00EE51AD"/>
    <w:rsid w:val="00EE571D"/>
    <w:rsid w:val="00EE5959"/>
    <w:rsid w:val="00EE5BCC"/>
    <w:rsid w:val="00EE5C4D"/>
    <w:rsid w:val="00EE5FC9"/>
    <w:rsid w:val="00EE5FF0"/>
    <w:rsid w:val="00EE633F"/>
    <w:rsid w:val="00EE64B4"/>
    <w:rsid w:val="00EE6600"/>
    <w:rsid w:val="00EE6892"/>
    <w:rsid w:val="00EE6946"/>
    <w:rsid w:val="00EE6D00"/>
    <w:rsid w:val="00EE6D03"/>
    <w:rsid w:val="00EE6DCB"/>
    <w:rsid w:val="00EE705A"/>
    <w:rsid w:val="00EE709E"/>
    <w:rsid w:val="00EE74D5"/>
    <w:rsid w:val="00EE7583"/>
    <w:rsid w:val="00EE75D4"/>
    <w:rsid w:val="00EE7733"/>
    <w:rsid w:val="00EE7789"/>
    <w:rsid w:val="00EE77E5"/>
    <w:rsid w:val="00EE7882"/>
    <w:rsid w:val="00EE7C2C"/>
    <w:rsid w:val="00EF0742"/>
    <w:rsid w:val="00EF0861"/>
    <w:rsid w:val="00EF08D2"/>
    <w:rsid w:val="00EF0A30"/>
    <w:rsid w:val="00EF0D18"/>
    <w:rsid w:val="00EF11E1"/>
    <w:rsid w:val="00EF146D"/>
    <w:rsid w:val="00EF1B16"/>
    <w:rsid w:val="00EF1C90"/>
    <w:rsid w:val="00EF1FB0"/>
    <w:rsid w:val="00EF1FE4"/>
    <w:rsid w:val="00EF1FEA"/>
    <w:rsid w:val="00EF256F"/>
    <w:rsid w:val="00EF2853"/>
    <w:rsid w:val="00EF29DC"/>
    <w:rsid w:val="00EF29F6"/>
    <w:rsid w:val="00EF2A05"/>
    <w:rsid w:val="00EF2A95"/>
    <w:rsid w:val="00EF2BB8"/>
    <w:rsid w:val="00EF2C06"/>
    <w:rsid w:val="00EF2CC1"/>
    <w:rsid w:val="00EF2D75"/>
    <w:rsid w:val="00EF2D7C"/>
    <w:rsid w:val="00EF2E4B"/>
    <w:rsid w:val="00EF3150"/>
    <w:rsid w:val="00EF32E2"/>
    <w:rsid w:val="00EF3371"/>
    <w:rsid w:val="00EF3683"/>
    <w:rsid w:val="00EF3B9C"/>
    <w:rsid w:val="00EF3C70"/>
    <w:rsid w:val="00EF3CCA"/>
    <w:rsid w:val="00EF3D76"/>
    <w:rsid w:val="00EF3F8A"/>
    <w:rsid w:val="00EF46B7"/>
    <w:rsid w:val="00EF4E3E"/>
    <w:rsid w:val="00EF4E92"/>
    <w:rsid w:val="00EF4F36"/>
    <w:rsid w:val="00EF4F90"/>
    <w:rsid w:val="00EF4FD9"/>
    <w:rsid w:val="00EF54E3"/>
    <w:rsid w:val="00EF5668"/>
    <w:rsid w:val="00EF572A"/>
    <w:rsid w:val="00EF590E"/>
    <w:rsid w:val="00EF5A63"/>
    <w:rsid w:val="00EF5A7C"/>
    <w:rsid w:val="00EF5C07"/>
    <w:rsid w:val="00EF5F1C"/>
    <w:rsid w:val="00EF60BD"/>
    <w:rsid w:val="00EF61E2"/>
    <w:rsid w:val="00EF61EF"/>
    <w:rsid w:val="00EF62AA"/>
    <w:rsid w:val="00EF660C"/>
    <w:rsid w:val="00EF664F"/>
    <w:rsid w:val="00EF6727"/>
    <w:rsid w:val="00EF682C"/>
    <w:rsid w:val="00EF68EB"/>
    <w:rsid w:val="00EF6B23"/>
    <w:rsid w:val="00EF6CF3"/>
    <w:rsid w:val="00EF6DB9"/>
    <w:rsid w:val="00EF6E38"/>
    <w:rsid w:val="00EF70BD"/>
    <w:rsid w:val="00EF73C0"/>
    <w:rsid w:val="00EF742F"/>
    <w:rsid w:val="00EF7638"/>
    <w:rsid w:val="00EF7706"/>
    <w:rsid w:val="00EF798B"/>
    <w:rsid w:val="00EF7B4D"/>
    <w:rsid w:val="00EF7B9B"/>
    <w:rsid w:val="00EF7E8E"/>
    <w:rsid w:val="00F0026F"/>
    <w:rsid w:val="00F00323"/>
    <w:rsid w:val="00F00807"/>
    <w:rsid w:val="00F00C96"/>
    <w:rsid w:val="00F00DFC"/>
    <w:rsid w:val="00F00E47"/>
    <w:rsid w:val="00F00F7C"/>
    <w:rsid w:val="00F010D3"/>
    <w:rsid w:val="00F01270"/>
    <w:rsid w:val="00F012DD"/>
    <w:rsid w:val="00F0178D"/>
    <w:rsid w:val="00F01863"/>
    <w:rsid w:val="00F01DC4"/>
    <w:rsid w:val="00F01DD1"/>
    <w:rsid w:val="00F021E4"/>
    <w:rsid w:val="00F026E3"/>
    <w:rsid w:val="00F02A7D"/>
    <w:rsid w:val="00F02CEB"/>
    <w:rsid w:val="00F02D43"/>
    <w:rsid w:val="00F02D45"/>
    <w:rsid w:val="00F02F31"/>
    <w:rsid w:val="00F02F98"/>
    <w:rsid w:val="00F03535"/>
    <w:rsid w:val="00F035E9"/>
    <w:rsid w:val="00F03888"/>
    <w:rsid w:val="00F038DC"/>
    <w:rsid w:val="00F03954"/>
    <w:rsid w:val="00F03A47"/>
    <w:rsid w:val="00F03ACF"/>
    <w:rsid w:val="00F03C77"/>
    <w:rsid w:val="00F03DA4"/>
    <w:rsid w:val="00F03DFB"/>
    <w:rsid w:val="00F03E05"/>
    <w:rsid w:val="00F040E3"/>
    <w:rsid w:val="00F04276"/>
    <w:rsid w:val="00F04683"/>
    <w:rsid w:val="00F04B91"/>
    <w:rsid w:val="00F04C15"/>
    <w:rsid w:val="00F04E3E"/>
    <w:rsid w:val="00F04ED8"/>
    <w:rsid w:val="00F0513D"/>
    <w:rsid w:val="00F0556B"/>
    <w:rsid w:val="00F055FB"/>
    <w:rsid w:val="00F056A5"/>
    <w:rsid w:val="00F0578F"/>
    <w:rsid w:val="00F058E5"/>
    <w:rsid w:val="00F0593B"/>
    <w:rsid w:val="00F05B84"/>
    <w:rsid w:val="00F05C17"/>
    <w:rsid w:val="00F05C21"/>
    <w:rsid w:val="00F05D3C"/>
    <w:rsid w:val="00F05E2C"/>
    <w:rsid w:val="00F06084"/>
    <w:rsid w:val="00F06212"/>
    <w:rsid w:val="00F0632E"/>
    <w:rsid w:val="00F064F9"/>
    <w:rsid w:val="00F06523"/>
    <w:rsid w:val="00F06578"/>
    <w:rsid w:val="00F06693"/>
    <w:rsid w:val="00F067E4"/>
    <w:rsid w:val="00F0681D"/>
    <w:rsid w:val="00F06893"/>
    <w:rsid w:val="00F06A4C"/>
    <w:rsid w:val="00F06B63"/>
    <w:rsid w:val="00F06F24"/>
    <w:rsid w:val="00F0709E"/>
    <w:rsid w:val="00F07166"/>
    <w:rsid w:val="00F072E7"/>
    <w:rsid w:val="00F07521"/>
    <w:rsid w:val="00F0766E"/>
    <w:rsid w:val="00F07832"/>
    <w:rsid w:val="00F07872"/>
    <w:rsid w:val="00F07BFE"/>
    <w:rsid w:val="00F07C64"/>
    <w:rsid w:val="00F07D49"/>
    <w:rsid w:val="00F10118"/>
    <w:rsid w:val="00F103A5"/>
    <w:rsid w:val="00F103BC"/>
    <w:rsid w:val="00F10567"/>
    <w:rsid w:val="00F107E6"/>
    <w:rsid w:val="00F10821"/>
    <w:rsid w:val="00F10B1E"/>
    <w:rsid w:val="00F10B2D"/>
    <w:rsid w:val="00F10B88"/>
    <w:rsid w:val="00F10C0D"/>
    <w:rsid w:val="00F11042"/>
    <w:rsid w:val="00F11161"/>
    <w:rsid w:val="00F117D5"/>
    <w:rsid w:val="00F11ACB"/>
    <w:rsid w:val="00F11DFD"/>
    <w:rsid w:val="00F12085"/>
    <w:rsid w:val="00F12131"/>
    <w:rsid w:val="00F12C64"/>
    <w:rsid w:val="00F12EF2"/>
    <w:rsid w:val="00F12F2B"/>
    <w:rsid w:val="00F1310B"/>
    <w:rsid w:val="00F13804"/>
    <w:rsid w:val="00F13AA2"/>
    <w:rsid w:val="00F13B19"/>
    <w:rsid w:val="00F13C1E"/>
    <w:rsid w:val="00F13FAB"/>
    <w:rsid w:val="00F140AE"/>
    <w:rsid w:val="00F14112"/>
    <w:rsid w:val="00F14115"/>
    <w:rsid w:val="00F1421F"/>
    <w:rsid w:val="00F14242"/>
    <w:rsid w:val="00F1453D"/>
    <w:rsid w:val="00F1457E"/>
    <w:rsid w:val="00F1468A"/>
    <w:rsid w:val="00F146F7"/>
    <w:rsid w:val="00F1484D"/>
    <w:rsid w:val="00F1492B"/>
    <w:rsid w:val="00F14AF8"/>
    <w:rsid w:val="00F14DE9"/>
    <w:rsid w:val="00F14F0D"/>
    <w:rsid w:val="00F15049"/>
    <w:rsid w:val="00F15129"/>
    <w:rsid w:val="00F15226"/>
    <w:rsid w:val="00F1538B"/>
    <w:rsid w:val="00F155A6"/>
    <w:rsid w:val="00F155F2"/>
    <w:rsid w:val="00F156F1"/>
    <w:rsid w:val="00F15725"/>
    <w:rsid w:val="00F15938"/>
    <w:rsid w:val="00F159B8"/>
    <w:rsid w:val="00F15B2F"/>
    <w:rsid w:val="00F15CCC"/>
    <w:rsid w:val="00F15F53"/>
    <w:rsid w:val="00F1612C"/>
    <w:rsid w:val="00F1616B"/>
    <w:rsid w:val="00F1622F"/>
    <w:rsid w:val="00F16574"/>
    <w:rsid w:val="00F16838"/>
    <w:rsid w:val="00F16999"/>
    <w:rsid w:val="00F169CA"/>
    <w:rsid w:val="00F169D8"/>
    <w:rsid w:val="00F16C02"/>
    <w:rsid w:val="00F16CB8"/>
    <w:rsid w:val="00F16DCB"/>
    <w:rsid w:val="00F16EAA"/>
    <w:rsid w:val="00F16F08"/>
    <w:rsid w:val="00F16FD9"/>
    <w:rsid w:val="00F16FEC"/>
    <w:rsid w:val="00F1742D"/>
    <w:rsid w:val="00F17604"/>
    <w:rsid w:val="00F1762C"/>
    <w:rsid w:val="00F17801"/>
    <w:rsid w:val="00F17909"/>
    <w:rsid w:val="00F179A3"/>
    <w:rsid w:val="00F17EA5"/>
    <w:rsid w:val="00F2001F"/>
    <w:rsid w:val="00F20299"/>
    <w:rsid w:val="00F20467"/>
    <w:rsid w:val="00F204EA"/>
    <w:rsid w:val="00F2068F"/>
    <w:rsid w:val="00F20787"/>
    <w:rsid w:val="00F20959"/>
    <w:rsid w:val="00F20A45"/>
    <w:rsid w:val="00F20C6D"/>
    <w:rsid w:val="00F20D6E"/>
    <w:rsid w:val="00F21107"/>
    <w:rsid w:val="00F21126"/>
    <w:rsid w:val="00F211B8"/>
    <w:rsid w:val="00F217A3"/>
    <w:rsid w:val="00F2195F"/>
    <w:rsid w:val="00F21E29"/>
    <w:rsid w:val="00F22338"/>
    <w:rsid w:val="00F223C9"/>
    <w:rsid w:val="00F228B2"/>
    <w:rsid w:val="00F229B0"/>
    <w:rsid w:val="00F22A2F"/>
    <w:rsid w:val="00F22A51"/>
    <w:rsid w:val="00F22B28"/>
    <w:rsid w:val="00F22B76"/>
    <w:rsid w:val="00F22C19"/>
    <w:rsid w:val="00F22D84"/>
    <w:rsid w:val="00F22EA2"/>
    <w:rsid w:val="00F22F67"/>
    <w:rsid w:val="00F23112"/>
    <w:rsid w:val="00F2325B"/>
    <w:rsid w:val="00F23267"/>
    <w:rsid w:val="00F2347F"/>
    <w:rsid w:val="00F23768"/>
    <w:rsid w:val="00F23961"/>
    <w:rsid w:val="00F23E71"/>
    <w:rsid w:val="00F23FF6"/>
    <w:rsid w:val="00F247A4"/>
    <w:rsid w:val="00F2497C"/>
    <w:rsid w:val="00F249DA"/>
    <w:rsid w:val="00F24DD0"/>
    <w:rsid w:val="00F24DFC"/>
    <w:rsid w:val="00F24E0E"/>
    <w:rsid w:val="00F24EF6"/>
    <w:rsid w:val="00F24F30"/>
    <w:rsid w:val="00F24F47"/>
    <w:rsid w:val="00F2510B"/>
    <w:rsid w:val="00F251F0"/>
    <w:rsid w:val="00F25652"/>
    <w:rsid w:val="00F256AA"/>
    <w:rsid w:val="00F258ED"/>
    <w:rsid w:val="00F258EF"/>
    <w:rsid w:val="00F259A4"/>
    <w:rsid w:val="00F25BAF"/>
    <w:rsid w:val="00F25E2D"/>
    <w:rsid w:val="00F25F2C"/>
    <w:rsid w:val="00F2615B"/>
    <w:rsid w:val="00F261C2"/>
    <w:rsid w:val="00F262BC"/>
    <w:rsid w:val="00F26402"/>
    <w:rsid w:val="00F265D6"/>
    <w:rsid w:val="00F2677E"/>
    <w:rsid w:val="00F2683A"/>
    <w:rsid w:val="00F268FA"/>
    <w:rsid w:val="00F26A14"/>
    <w:rsid w:val="00F26BBB"/>
    <w:rsid w:val="00F26D96"/>
    <w:rsid w:val="00F26E33"/>
    <w:rsid w:val="00F26FA6"/>
    <w:rsid w:val="00F2704B"/>
    <w:rsid w:val="00F2705D"/>
    <w:rsid w:val="00F27555"/>
    <w:rsid w:val="00F277E6"/>
    <w:rsid w:val="00F2792E"/>
    <w:rsid w:val="00F27B23"/>
    <w:rsid w:val="00F27B40"/>
    <w:rsid w:val="00F27C2E"/>
    <w:rsid w:val="00F27C9F"/>
    <w:rsid w:val="00F27D50"/>
    <w:rsid w:val="00F27E7F"/>
    <w:rsid w:val="00F30118"/>
    <w:rsid w:val="00F30140"/>
    <w:rsid w:val="00F301FF"/>
    <w:rsid w:val="00F30397"/>
    <w:rsid w:val="00F3059D"/>
    <w:rsid w:val="00F3084B"/>
    <w:rsid w:val="00F3086F"/>
    <w:rsid w:val="00F30B68"/>
    <w:rsid w:val="00F30CA1"/>
    <w:rsid w:val="00F30EBC"/>
    <w:rsid w:val="00F30ED6"/>
    <w:rsid w:val="00F30F79"/>
    <w:rsid w:val="00F30FD0"/>
    <w:rsid w:val="00F3105E"/>
    <w:rsid w:val="00F31156"/>
    <w:rsid w:val="00F311B8"/>
    <w:rsid w:val="00F31502"/>
    <w:rsid w:val="00F31B8A"/>
    <w:rsid w:val="00F31C3D"/>
    <w:rsid w:val="00F3201C"/>
    <w:rsid w:val="00F321F9"/>
    <w:rsid w:val="00F3262D"/>
    <w:rsid w:val="00F329AA"/>
    <w:rsid w:val="00F32F69"/>
    <w:rsid w:val="00F330DE"/>
    <w:rsid w:val="00F3313A"/>
    <w:rsid w:val="00F332D5"/>
    <w:rsid w:val="00F3330E"/>
    <w:rsid w:val="00F33391"/>
    <w:rsid w:val="00F3342B"/>
    <w:rsid w:val="00F33457"/>
    <w:rsid w:val="00F335AA"/>
    <w:rsid w:val="00F336DF"/>
    <w:rsid w:val="00F3379F"/>
    <w:rsid w:val="00F33914"/>
    <w:rsid w:val="00F339F0"/>
    <w:rsid w:val="00F33BE9"/>
    <w:rsid w:val="00F33C41"/>
    <w:rsid w:val="00F3424B"/>
    <w:rsid w:val="00F3440E"/>
    <w:rsid w:val="00F345EB"/>
    <w:rsid w:val="00F348CB"/>
    <w:rsid w:val="00F34EA0"/>
    <w:rsid w:val="00F352E6"/>
    <w:rsid w:val="00F3543C"/>
    <w:rsid w:val="00F35507"/>
    <w:rsid w:val="00F35A0B"/>
    <w:rsid w:val="00F35DD5"/>
    <w:rsid w:val="00F36294"/>
    <w:rsid w:val="00F364BE"/>
    <w:rsid w:val="00F36619"/>
    <w:rsid w:val="00F36A23"/>
    <w:rsid w:val="00F36B4C"/>
    <w:rsid w:val="00F36BC9"/>
    <w:rsid w:val="00F36DD0"/>
    <w:rsid w:val="00F36F47"/>
    <w:rsid w:val="00F36F54"/>
    <w:rsid w:val="00F36F73"/>
    <w:rsid w:val="00F37063"/>
    <w:rsid w:val="00F3706C"/>
    <w:rsid w:val="00F37113"/>
    <w:rsid w:val="00F37151"/>
    <w:rsid w:val="00F372E7"/>
    <w:rsid w:val="00F3751A"/>
    <w:rsid w:val="00F37559"/>
    <w:rsid w:val="00F3765D"/>
    <w:rsid w:val="00F37759"/>
    <w:rsid w:val="00F377EA"/>
    <w:rsid w:val="00F377F3"/>
    <w:rsid w:val="00F3791E"/>
    <w:rsid w:val="00F37A36"/>
    <w:rsid w:val="00F37CED"/>
    <w:rsid w:val="00F37E38"/>
    <w:rsid w:val="00F37FDB"/>
    <w:rsid w:val="00F4003F"/>
    <w:rsid w:val="00F400AB"/>
    <w:rsid w:val="00F40127"/>
    <w:rsid w:val="00F40227"/>
    <w:rsid w:val="00F40268"/>
    <w:rsid w:val="00F40A66"/>
    <w:rsid w:val="00F40AE9"/>
    <w:rsid w:val="00F40D69"/>
    <w:rsid w:val="00F40D7D"/>
    <w:rsid w:val="00F40F12"/>
    <w:rsid w:val="00F410D7"/>
    <w:rsid w:val="00F412FE"/>
    <w:rsid w:val="00F413E6"/>
    <w:rsid w:val="00F41445"/>
    <w:rsid w:val="00F4178C"/>
    <w:rsid w:val="00F41A13"/>
    <w:rsid w:val="00F41BD5"/>
    <w:rsid w:val="00F41C5E"/>
    <w:rsid w:val="00F427E2"/>
    <w:rsid w:val="00F428D6"/>
    <w:rsid w:val="00F4292E"/>
    <w:rsid w:val="00F42A6B"/>
    <w:rsid w:val="00F42BDB"/>
    <w:rsid w:val="00F42F15"/>
    <w:rsid w:val="00F4363E"/>
    <w:rsid w:val="00F439D2"/>
    <w:rsid w:val="00F44006"/>
    <w:rsid w:val="00F44092"/>
    <w:rsid w:val="00F44130"/>
    <w:rsid w:val="00F44385"/>
    <w:rsid w:val="00F4446B"/>
    <w:rsid w:val="00F447AF"/>
    <w:rsid w:val="00F449B3"/>
    <w:rsid w:val="00F44A46"/>
    <w:rsid w:val="00F44B75"/>
    <w:rsid w:val="00F44CF7"/>
    <w:rsid w:val="00F45405"/>
    <w:rsid w:val="00F456C5"/>
    <w:rsid w:val="00F45994"/>
    <w:rsid w:val="00F459CE"/>
    <w:rsid w:val="00F45B46"/>
    <w:rsid w:val="00F45C1B"/>
    <w:rsid w:val="00F45D0D"/>
    <w:rsid w:val="00F45D66"/>
    <w:rsid w:val="00F45DE8"/>
    <w:rsid w:val="00F45F6E"/>
    <w:rsid w:val="00F460C9"/>
    <w:rsid w:val="00F46579"/>
    <w:rsid w:val="00F46968"/>
    <w:rsid w:val="00F46B61"/>
    <w:rsid w:val="00F46BE3"/>
    <w:rsid w:val="00F46E45"/>
    <w:rsid w:val="00F46F33"/>
    <w:rsid w:val="00F4704C"/>
    <w:rsid w:val="00F471B1"/>
    <w:rsid w:val="00F4731D"/>
    <w:rsid w:val="00F47430"/>
    <w:rsid w:val="00F477E8"/>
    <w:rsid w:val="00F47FC9"/>
    <w:rsid w:val="00F500B5"/>
    <w:rsid w:val="00F5014A"/>
    <w:rsid w:val="00F50159"/>
    <w:rsid w:val="00F503C1"/>
    <w:rsid w:val="00F503FF"/>
    <w:rsid w:val="00F50410"/>
    <w:rsid w:val="00F504E9"/>
    <w:rsid w:val="00F5075E"/>
    <w:rsid w:val="00F5095D"/>
    <w:rsid w:val="00F50A5A"/>
    <w:rsid w:val="00F50AD2"/>
    <w:rsid w:val="00F50BC3"/>
    <w:rsid w:val="00F50CBE"/>
    <w:rsid w:val="00F50D43"/>
    <w:rsid w:val="00F50F5E"/>
    <w:rsid w:val="00F5132E"/>
    <w:rsid w:val="00F51760"/>
    <w:rsid w:val="00F51A62"/>
    <w:rsid w:val="00F51AE7"/>
    <w:rsid w:val="00F51AF3"/>
    <w:rsid w:val="00F51C26"/>
    <w:rsid w:val="00F51F3C"/>
    <w:rsid w:val="00F51F66"/>
    <w:rsid w:val="00F52460"/>
    <w:rsid w:val="00F527AF"/>
    <w:rsid w:val="00F52BED"/>
    <w:rsid w:val="00F52FE2"/>
    <w:rsid w:val="00F53004"/>
    <w:rsid w:val="00F53182"/>
    <w:rsid w:val="00F53358"/>
    <w:rsid w:val="00F53407"/>
    <w:rsid w:val="00F5367B"/>
    <w:rsid w:val="00F53910"/>
    <w:rsid w:val="00F5399F"/>
    <w:rsid w:val="00F539C9"/>
    <w:rsid w:val="00F54288"/>
    <w:rsid w:val="00F5437F"/>
    <w:rsid w:val="00F544E7"/>
    <w:rsid w:val="00F54A32"/>
    <w:rsid w:val="00F54AA2"/>
    <w:rsid w:val="00F54ACB"/>
    <w:rsid w:val="00F54BFB"/>
    <w:rsid w:val="00F54C12"/>
    <w:rsid w:val="00F54C47"/>
    <w:rsid w:val="00F54EF2"/>
    <w:rsid w:val="00F550A3"/>
    <w:rsid w:val="00F551C8"/>
    <w:rsid w:val="00F55381"/>
    <w:rsid w:val="00F55585"/>
    <w:rsid w:val="00F55B01"/>
    <w:rsid w:val="00F55F3C"/>
    <w:rsid w:val="00F55F59"/>
    <w:rsid w:val="00F56116"/>
    <w:rsid w:val="00F56141"/>
    <w:rsid w:val="00F562E8"/>
    <w:rsid w:val="00F5662A"/>
    <w:rsid w:val="00F566AF"/>
    <w:rsid w:val="00F567F2"/>
    <w:rsid w:val="00F5683E"/>
    <w:rsid w:val="00F56F21"/>
    <w:rsid w:val="00F56F6C"/>
    <w:rsid w:val="00F57216"/>
    <w:rsid w:val="00F57421"/>
    <w:rsid w:val="00F5774E"/>
    <w:rsid w:val="00F5787D"/>
    <w:rsid w:val="00F57B78"/>
    <w:rsid w:val="00F57BE9"/>
    <w:rsid w:val="00F57CAE"/>
    <w:rsid w:val="00F57F4E"/>
    <w:rsid w:val="00F57F5C"/>
    <w:rsid w:val="00F57F8A"/>
    <w:rsid w:val="00F57FC7"/>
    <w:rsid w:val="00F6011C"/>
    <w:rsid w:val="00F6013A"/>
    <w:rsid w:val="00F60160"/>
    <w:rsid w:val="00F601E8"/>
    <w:rsid w:val="00F6020A"/>
    <w:rsid w:val="00F60727"/>
    <w:rsid w:val="00F60ADA"/>
    <w:rsid w:val="00F60BBD"/>
    <w:rsid w:val="00F60C74"/>
    <w:rsid w:val="00F60C82"/>
    <w:rsid w:val="00F60DAC"/>
    <w:rsid w:val="00F60DBA"/>
    <w:rsid w:val="00F60F6F"/>
    <w:rsid w:val="00F6101B"/>
    <w:rsid w:val="00F610D1"/>
    <w:rsid w:val="00F61222"/>
    <w:rsid w:val="00F61358"/>
    <w:rsid w:val="00F615C1"/>
    <w:rsid w:val="00F617B9"/>
    <w:rsid w:val="00F61A7F"/>
    <w:rsid w:val="00F62274"/>
    <w:rsid w:val="00F62470"/>
    <w:rsid w:val="00F625A3"/>
    <w:rsid w:val="00F6268C"/>
    <w:rsid w:val="00F626EC"/>
    <w:rsid w:val="00F6278F"/>
    <w:rsid w:val="00F627FA"/>
    <w:rsid w:val="00F6287A"/>
    <w:rsid w:val="00F628EB"/>
    <w:rsid w:val="00F62B07"/>
    <w:rsid w:val="00F62B2B"/>
    <w:rsid w:val="00F63058"/>
    <w:rsid w:val="00F6320D"/>
    <w:rsid w:val="00F63257"/>
    <w:rsid w:val="00F632BC"/>
    <w:rsid w:val="00F63361"/>
    <w:rsid w:val="00F63B99"/>
    <w:rsid w:val="00F63D5F"/>
    <w:rsid w:val="00F64054"/>
    <w:rsid w:val="00F64059"/>
    <w:rsid w:val="00F64096"/>
    <w:rsid w:val="00F642BD"/>
    <w:rsid w:val="00F643CF"/>
    <w:rsid w:val="00F647B8"/>
    <w:rsid w:val="00F64812"/>
    <w:rsid w:val="00F64BD6"/>
    <w:rsid w:val="00F64C1F"/>
    <w:rsid w:val="00F64CF1"/>
    <w:rsid w:val="00F65001"/>
    <w:rsid w:val="00F655A7"/>
    <w:rsid w:val="00F657AC"/>
    <w:rsid w:val="00F657F4"/>
    <w:rsid w:val="00F659A7"/>
    <w:rsid w:val="00F65A4F"/>
    <w:rsid w:val="00F65A6F"/>
    <w:rsid w:val="00F65C12"/>
    <w:rsid w:val="00F65E6C"/>
    <w:rsid w:val="00F66012"/>
    <w:rsid w:val="00F6601E"/>
    <w:rsid w:val="00F66099"/>
    <w:rsid w:val="00F661B0"/>
    <w:rsid w:val="00F664B0"/>
    <w:rsid w:val="00F6667C"/>
    <w:rsid w:val="00F66833"/>
    <w:rsid w:val="00F66CD7"/>
    <w:rsid w:val="00F66E62"/>
    <w:rsid w:val="00F67307"/>
    <w:rsid w:val="00F67361"/>
    <w:rsid w:val="00F67397"/>
    <w:rsid w:val="00F6740E"/>
    <w:rsid w:val="00F677D0"/>
    <w:rsid w:val="00F67FFA"/>
    <w:rsid w:val="00F70113"/>
    <w:rsid w:val="00F701BF"/>
    <w:rsid w:val="00F702DC"/>
    <w:rsid w:val="00F70408"/>
    <w:rsid w:val="00F705E6"/>
    <w:rsid w:val="00F706E0"/>
    <w:rsid w:val="00F707AD"/>
    <w:rsid w:val="00F708CA"/>
    <w:rsid w:val="00F708DC"/>
    <w:rsid w:val="00F70A2A"/>
    <w:rsid w:val="00F70AE5"/>
    <w:rsid w:val="00F70C39"/>
    <w:rsid w:val="00F70F0D"/>
    <w:rsid w:val="00F71117"/>
    <w:rsid w:val="00F71310"/>
    <w:rsid w:val="00F714CB"/>
    <w:rsid w:val="00F715B1"/>
    <w:rsid w:val="00F71617"/>
    <w:rsid w:val="00F7164A"/>
    <w:rsid w:val="00F718B6"/>
    <w:rsid w:val="00F719D4"/>
    <w:rsid w:val="00F71BC4"/>
    <w:rsid w:val="00F71DA1"/>
    <w:rsid w:val="00F71FD4"/>
    <w:rsid w:val="00F72003"/>
    <w:rsid w:val="00F723F4"/>
    <w:rsid w:val="00F725E9"/>
    <w:rsid w:val="00F728E6"/>
    <w:rsid w:val="00F72932"/>
    <w:rsid w:val="00F72C04"/>
    <w:rsid w:val="00F72C4A"/>
    <w:rsid w:val="00F72C4F"/>
    <w:rsid w:val="00F731BC"/>
    <w:rsid w:val="00F732B8"/>
    <w:rsid w:val="00F732CA"/>
    <w:rsid w:val="00F7341E"/>
    <w:rsid w:val="00F736EA"/>
    <w:rsid w:val="00F737FA"/>
    <w:rsid w:val="00F73AF3"/>
    <w:rsid w:val="00F73B13"/>
    <w:rsid w:val="00F73BC5"/>
    <w:rsid w:val="00F73C6C"/>
    <w:rsid w:val="00F73C7D"/>
    <w:rsid w:val="00F73D5A"/>
    <w:rsid w:val="00F73E0B"/>
    <w:rsid w:val="00F741E9"/>
    <w:rsid w:val="00F7421E"/>
    <w:rsid w:val="00F74445"/>
    <w:rsid w:val="00F74670"/>
    <w:rsid w:val="00F74905"/>
    <w:rsid w:val="00F74953"/>
    <w:rsid w:val="00F749FF"/>
    <w:rsid w:val="00F74A69"/>
    <w:rsid w:val="00F74EF9"/>
    <w:rsid w:val="00F75164"/>
    <w:rsid w:val="00F7525C"/>
    <w:rsid w:val="00F7545D"/>
    <w:rsid w:val="00F754AA"/>
    <w:rsid w:val="00F756E3"/>
    <w:rsid w:val="00F75715"/>
    <w:rsid w:val="00F75807"/>
    <w:rsid w:val="00F759F2"/>
    <w:rsid w:val="00F75D85"/>
    <w:rsid w:val="00F76064"/>
    <w:rsid w:val="00F76290"/>
    <w:rsid w:val="00F76354"/>
    <w:rsid w:val="00F76546"/>
    <w:rsid w:val="00F77258"/>
    <w:rsid w:val="00F7750A"/>
    <w:rsid w:val="00F7774C"/>
    <w:rsid w:val="00F77C5B"/>
    <w:rsid w:val="00F77CB9"/>
    <w:rsid w:val="00F77EB0"/>
    <w:rsid w:val="00F77F59"/>
    <w:rsid w:val="00F77F70"/>
    <w:rsid w:val="00F77FBF"/>
    <w:rsid w:val="00F80139"/>
    <w:rsid w:val="00F80264"/>
    <w:rsid w:val="00F8068C"/>
    <w:rsid w:val="00F806E7"/>
    <w:rsid w:val="00F806EF"/>
    <w:rsid w:val="00F806F6"/>
    <w:rsid w:val="00F80BC1"/>
    <w:rsid w:val="00F80EA0"/>
    <w:rsid w:val="00F80F5B"/>
    <w:rsid w:val="00F81030"/>
    <w:rsid w:val="00F811B7"/>
    <w:rsid w:val="00F8175D"/>
    <w:rsid w:val="00F8183F"/>
    <w:rsid w:val="00F81BE8"/>
    <w:rsid w:val="00F81C89"/>
    <w:rsid w:val="00F81D46"/>
    <w:rsid w:val="00F82031"/>
    <w:rsid w:val="00F821AA"/>
    <w:rsid w:val="00F8245D"/>
    <w:rsid w:val="00F8248F"/>
    <w:rsid w:val="00F824A7"/>
    <w:rsid w:val="00F82538"/>
    <w:rsid w:val="00F828A0"/>
    <w:rsid w:val="00F829C3"/>
    <w:rsid w:val="00F82A53"/>
    <w:rsid w:val="00F82C75"/>
    <w:rsid w:val="00F82CEB"/>
    <w:rsid w:val="00F82E7D"/>
    <w:rsid w:val="00F8338F"/>
    <w:rsid w:val="00F836FE"/>
    <w:rsid w:val="00F83747"/>
    <w:rsid w:val="00F83839"/>
    <w:rsid w:val="00F83AE7"/>
    <w:rsid w:val="00F83C0D"/>
    <w:rsid w:val="00F83D54"/>
    <w:rsid w:val="00F83FE4"/>
    <w:rsid w:val="00F84090"/>
    <w:rsid w:val="00F840B8"/>
    <w:rsid w:val="00F8424A"/>
    <w:rsid w:val="00F84334"/>
    <w:rsid w:val="00F847F4"/>
    <w:rsid w:val="00F8492F"/>
    <w:rsid w:val="00F84960"/>
    <w:rsid w:val="00F8509E"/>
    <w:rsid w:val="00F85191"/>
    <w:rsid w:val="00F851CB"/>
    <w:rsid w:val="00F858C9"/>
    <w:rsid w:val="00F85947"/>
    <w:rsid w:val="00F859F4"/>
    <w:rsid w:val="00F85BD0"/>
    <w:rsid w:val="00F85C67"/>
    <w:rsid w:val="00F85DC1"/>
    <w:rsid w:val="00F85E5A"/>
    <w:rsid w:val="00F85FA9"/>
    <w:rsid w:val="00F85FF3"/>
    <w:rsid w:val="00F8603C"/>
    <w:rsid w:val="00F861F9"/>
    <w:rsid w:val="00F862C6"/>
    <w:rsid w:val="00F863E9"/>
    <w:rsid w:val="00F865D7"/>
    <w:rsid w:val="00F86691"/>
    <w:rsid w:val="00F869B6"/>
    <w:rsid w:val="00F869D9"/>
    <w:rsid w:val="00F86EFD"/>
    <w:rsid w:val="00F86F43"/>
    <w:rsid w:val="00F86FC1"/>
    <w:rsid w:val="00F86FEE"/>
    <w:rsid w:val="00F86FFD"/>
    <w:rsid w:val="00F8723F"/>
    <w:rsid w:val="00F872F7"/>
    <w:rsid w:val="00F87643"/>
    <w:rsid w:val="00F87673"/>
    <w:rsid w:val="00F879BA"/>
    <w:rsid w:val="00F87C56"/>
    <w:rsid w:val="00F87D90"/>
    <w:rsid w:val="00F87EF4"/>
    <w:rsid w:val="00F90016"/>
    <w:rsid w:val="00F90051"/>
    <w:rsid w:val="00F9006F"/>
    <w:rsid w:val="00F900F8"/>
    <w:rsid w:val="00F902D8"/>
    <w:rsid w:val="00F903A4"/>
    <w:rsid w:val="00F9047F"/>
    <w:rsid w:val="00F904A8"/>
    <w:rsid w:val="00F90998"/>
    <w:rsid w:val="00F90B3B"/>
    <w:rsid w:val="00F90BBD"/>
    <w:rsid w:val="00F90EA1"/>
    <w:rsid w:val="00F9115E"/>
    <w:rsid w:val="00F9125E"/>
    <w:rsid w:val="00F9136D"/>
    <w:rsid w:val="00F91831"/>
    <w:rsid w:val="00F91893"/>
    <w:rsid w:val="00F91932"/>
    <w:rsid w:val="00F91AF2"/>
    <w:rsid w:val="00F91C3B"/>
    <w:rsid w:val="00F91E67"/>
    <w:rsid w:val="00F92014"/>
    <w:rsid w:val="00F9206A"/>
    <w:rsid w:val="00F92265"/>
    <w:rsid w:val="00F92357"/>
    <w:rsid w:val="00F9265A"/>
    <w:rsid w:val="00F928C2"/>
    <w:rsid w:val="00F92A9B"/>
    <w:rsid w:val="00F92B92"/>
    <w:rsid w:val="00F92CA1"/>
    <w:rsid w:val="00F92FCC"/>
    <w:rsid w:val="00F930C8"/>
    <w:rsid w:val="00F93122"/>
    <w:rsid w:val="00F9317E"/>
    <w:rsid w:val="00F93243"/>
    <w:rsid w:val="00F93665"/>
    <w:rsid w:val="00F9385E"/>
    <w:rsid w:val="00F939CE"/>
    <w:rsid w:val="00F93A7F"/>
    <w:rsid w:val="00F93B1E"/>
    <w:rsid w:val="00F93DD8"/>
    <w:rsid w:val="00F93FA7"/>
    <w:rsid w:val="00F9411C"/>
    <w:rsid w:val="00F941FF"/>
    <w:rsid w:val="00F943FF"/>
    <w:rsid w:val="00F9454E"/>
    <w:rsid w:val="00F9498D"/>
    <w:rsid w:val="00F94A92"/>
    <w:rsid w:val="00F94BC9"/>
    <w:rsid w:val="00F951CD"/>
    <w:rsid w:val="00F952D8"/>
    <w:rsid w:val="00F9561C"/>
    <w:rsid w:val="00F95911"/>
    <w:rsid w:val="00F959DB"/>
    <w:rsid w:val="00F95AC3"/>
    <w:rsid w:val="00F95BA9"/>
    <w:rsid w:val="00F95C77"/>
    <w:rsid w:val="00F95C92"/>
    <w:rsid w:val="00F95F4C"/>
    <w:rsid w:val="00F95F90"/>
    <w:rsid w:val="00F95FCF"/>
    <w:rsid w:val="00F96343"/>
    <w:rsid w:val="00F964CA"/>
    <w:rsid w:val="00F96659"/>
    <w:rsid w:val="00F9684B"/>
    <w:rsid w:val="00F96C8F"/>
    <w:rsid w:val="00F96E48"/>
    <w:rsid w:val="00F970F1"/>
    <w:rsid w:val="00F9725E"/>
    <w:rsid w:val="00F975CE"/>
    <w:rsid w:val="00F97780"/>
    <w:rsid w:val="00F977DB"/>
    <w:rsid w:val="00F97824"/>
    <w:rsid w:val="00F97B37"/>
    <w:rsid w:val="00F97DB6"/>
    <w:rsid w:val="00F97E64"/>
    <w:rsid w:val="00F97F09"/>
    <w:rsid w:val="00FA0213"/>
    <w:rsid w:val="00FA021C"/>
    <w:rsid w:val="00FA027B"/>
    <w:rsid w:val="00FA0DDF"/>
    <w:rsid w:val="00FA0EE1"/>
    <w:rsid w:val="00FA1054"/>
    <w:rsid w:val="00FA1294"/>
    <w:rsid w:val="00FA12AA"/>
    <w:rsid w:val="00FA1473"/>
    <w:rsid w:val="00FA1562"/>
    <w:rsid w:val="00FA18C5"/>
    <w:rsid w:val="00FA1CDC"/>
    <w:rsid w:val="00FA1E33"/>
    <w:rsid w:val="00FA1E5C"/>
    <w:rsid w:val="00FA2249"/>
    <w:rsid w:val="00FA2346"/>
    <w:rsid w:val="00FA244F"/>
    <w:rsid w:val="00FA268C"/>
    <w:rsid w:val="00FA298C"/>
    <w:rsid w:val="00FA2CED"/>
    <w:rsid w:val="00FA2CF5"/>
    <w:rsid w:val="00FA2D04"/>
    <w:rsid w:val="00FA34AB"/>
    <w:rsid w:val="00FA3555"/>
    <w:rsid w:val="00FA3C3C"/>
    <w:rsid w:val="00FA3F80"/>
    <w:rsid w:val="00FA3FC1"/>
    <w:rsid w:val="00FA4106"/>
    <w:rsid w:val="00FA421E"/>
    <w:rsid w:val="00FA47F8"/>
    <w:rsid w:val="00FA4A95"/>
    <w:rsid w:val="00FA4AB6"/>
    <w:rsid w:val="00FA4B11"/>
    <w:rsid w:val="00FA4D7E"/>
    <w:rsid w:val="00FA4DB2"/>
    <w:rsid w:val="00FA518A"/>
    <w:rsid w:val="00FA5197"/>
    <w:rsid w:val="00FA53EB"/>
    <w:rsid w:val="00FA540F"/>
    <w:rsid w:val="00FA551A"/>
    <w:rsid w:val="00FA5B3F"/>
    <w:rsid w:val="00FA5C0A"/>
    <w:rsid w:val="00FA5CD9"/>
    <w:rsid w:val="00FA6030"/>
    <w:rsid w:val="00FA6501"/>
    <w:rsid w:val="00FA659F"/>
    <w:rsid w:val="00FA6707"/>
    <w:rsid w:val="00FA672E"/>
    <w:rsid w:val="00FA682B"/>
    <w:rsid w:val="00FA687B"/>
    <w:rsid w:val="00FA6A61"/>
    <w:rsid w:val="00FA6DEC"/>
    <w:rsid w:val="00FA6E8B"/>
    <w:rsid w:val="00FA6EB1"/>
    <w:rsid w:val="00FA6FC0"/>
    <w:rsid w:val="00FA6FCA"/>
    <w:rsid w:val="00FA7232"/>
    <w:rsid w:val="00FA762B"/>
    <w:rsid w:val="00FA79B1"/>
    <w:rsid w:val="00FA7B40"/>
    <w:rsid w:val="00FA7B65"/>
    <w:rsid w:val="00FA7CCC"/>
    <w:rsid w:val="00FB05D7"/>
    <w:rsid w:val="00FB0686"/>
    <w:rsid w:val="00FB0AF4"/>
    <w:rsid w:val="00FB0DEC"/>
    <w:rsid w:val="00FB0E2C"/>
    <w:rsid w:val="00FB103D"/>
    <w:rsid w:val="00FB14F2"/>
    <w:rsid w:val="00FB17D4"/>
    <w:rsid w:val="00FB1C40"/>
    <w:rsid w:val="00FB1CC5"/>
    <w:rsid w:val="00FB1D4B"/>
    <w:rsid w:val="00FB2102"/>
    <w:rsid w:val="00FB2174"/>
    <w:rsid w:val="00FB2408"/>
    <w:rsid w:val="00FB255D"/>
    <w:rsid w:val="00FB281D"/>
    <w:rsid w:val="00FB2844"/>
    <w:rsid w:val="00FB2B7A"/>
    <w:rsid w:val="00FB2BF5"/>
    <w:rsid w:val="00FB2C93"/>
    <w:rsid w:val="00FB2EDF"/>
    <w:rsid w:val="00FB2F14"/>
    <w:rsid w:val="00FB30EE"/>
    <w:rsid w:val="00FB3182"/>
    <w:rsid w:val="00FB31BF"/>
    <w:rsid w:val="00FB3342"/>
    <w:rsid w:val="00FB35C1"/>
    <w:rsid w:val="00FB36FD"/>
    <w:rsid w:val="00FB3718"/>
    <w:rsid w:val="00FB38C7"/>
    <w:rsid w:val="00FB3B56"/>
    <w:rsid w:val="00FB3B6A"/>
    <w:rsid w:val="00FB3F8D"/>
    <w:rsid w:val="00FB41A9"/>
    <w:rsid w:val="00FB43CC"/>
    <w:rsid w:val="00FB4402"/>
    <w:rsid w:val="00FB44C6"/>
    <w:rsid w:val="00FB4540"/>
    <w:rsid w:val="00FB4905"/>
    <w:rsid w:val="00FB4CD4"/>
    <w:rsid w:val="00FB4F14"/>
    <w:rsid w:val="00FB4FFC"/>
    <w:rsid w:val="00FB5079"/>
    <w:rsid w:val="00FB537C"/>
    <w:rsid w:val="00FB53CA"/>
    <w:rsid w:val="00FB5480"/>
    <w:rsid w:val="00FB5866"/>
    <w:rsid w:val="00FB5AB3"/>
    <w:rsid w:val="00FB5AF6"/>
    <w:rsid w:val="00FB5B87"/>
    <w:rsid w:val="00FB5C1A"/>
    <w:rsid w:val="00FB5DDB"/>
    <w:rsid w:val="00FB6046"/>
    <w:rsid w:val="00FB6095"/>
    <w:rsid w:val="00FB6097"/>
    <w:rsid w:val="00FB645F"/>
    <w:rsid w:val="00FB65A5"/>
    <w:rsid w:val="00FB65DC"/>
    <w:rsid w:val="00FB6872"/>
    <w:rsid w:val="00FB6BF3"/>
    <w:rsid w:val="00FB6BFA"/>
    <w:rsid w:val="00FB6E4F"/>
    <w:rsid w:val="00FB6E85"/>
    <w:rsid w:val="00FB6FFE"/>
    <w:rsid w:val="00FB70EC"/>
    <w:rsid w:val="00FB713C"/>
    <w:rsid w:val="00FB7219"/>
    <w:rsid w:val="00FB7237"/>
    <w:rsid w:val="00FB743F"/>
    <w:rsid w:val="00FB76C7"/>
    <w:rsid w:val="00FB793C"/>
    <w:rsid w:val="00FB7AE6"/>
    <w:rsid w:val="00FB7EAB"/>
    <w:rsid w:val="00FB7FC9"/>
    <w:rsid w:val="00FC015A"/>
    <w:rsid w:val="00FC01FB"/>
    <w:rsid w:val="00FC0663"/>
    <w:rsid w:val="00FC0830"/>
    <w:rsid w:val="00FC0956"/>
    <w:rsid w:val="00FC0A59"/>
    <w:rsid w:val="00FC11DD"/>
    <w:rsid w:val="00FC1293"/>
    <w:rsid w:val="00FC163E"/>
    <w:rsid w:val="00FC1666"/>
    <w:rsid w:val="00FC168B"/>
    <w:rsid w:val="00FC1AD9"/>
    <w:rsid w:val="00FC1CE6"/>
    <w:rsid w:val="00FC1D73"/>
    <w:rsid w:val="00FC2398"/>
    <w:rsid w:val="00FC245C"/>
    <w:rsid w:val="00FC2550"/>
    <w:rsid w:val="00FC2658"/>
    <w:rsid w:val="00FC2851"/>
    <w:rsid w:val="00FC2930"/>
    <w:rsid w:val="00FC29A8"/>
    <w:rsid w:val="00FC2D5C"/>
    <w:rsid w:val="00FC2E90"/>
    <w:rsid w:val="00FC3227"/>
    <w:rsid w:val="00FC32EA"/>
    <w:rsid w:val="00FC3322"/>
    <w:rsid w:val="00FC33A0"/>
    <w:rsid w:val="00FC34D6"/>
    <w:rsid w:val="00FC350B"/>
    <w:rsid w:val="00FC353E"/>
    <w:rsid w:val="00FC35C3"/>
    <w:rsid w:val="00FC35E7"/>
    <w:rsid w:val="00FC36AB"/>
    <w:rsid w:val="00FC3868"/>
    <w:rsid w:val="00FC3AB7"/>
    <w:rsid w:val="00FC3B03"/>
    <w:rsid w:val="00FC3D74"/>
    <w:rsid w:val="00FC3EEC"/>
    <w:rsid w:val="00FC3FCB"/>
    <w:rsid w:val="00FC4032"/>
    <w:rsid w:val="00FC4072"/>
    <w:rsid w:val="00FC40AA"/>
    <w:rsid w:val="00FC415A"/>
    <w:rsid w:val="00FC41A9"/>
    <w:rsid w:val="00FC4210"/>
    <w:rsid w:val="00FC42CD"/>
    <w:rsid w:val="00FC4318"/>
    <w:rsid w:val="00FC437E"/>
    <w:rsid w:val="00FC46FC"/>
    <w:rsid w:val="00FC4970"/>
    <w:rsid w:val="00FC4CF6"/>
    <w:rsid w:val="00FC4D41"/>
    <w:rsid w:val="00FC5511"/>
    <w:rsid w:val="00FC580D"/>
    <w:rsid w:val="00FC58B0"/>
    <w:rsid w:val="00FC58D8"/>
    <w:rsid w:val="00FC5963"/>
    <w:rsid w:val="00FC5ABE"/>
    <w:rsid w:val="00FC5B53"/>
    <w:rsid w:val="00FC5E54"/>
    <w:rsid w:val="00FC5E6E"/>
    <w:rsid w:val="00FC6169"/>
    <w:rsid w:val="00FC61F0"/>
    <w:rsid w:val="00FC6224"/>
    <w:rsid w:val="00FC65D9"/>
    <w:rsid w:val="00FC670D"/>
    <w:rsid w:val="00FC6871"/>
    <w:rsid w:val="00FC68DE"/>
    <w:rsid w:val="00FC6BBD"/>
    <w:rsid w:val="00FC6BE6"/>
    <w:rsid w:val="00FC6C5D"/>
    <w:rsid w:val="00FC6D6A"/>
    <w:rsid w:val="00FC6E44"/>
    <w:rsid w:val="00FC703B"/>
    <w:rsid w:val="00FC72C9"/>
    <w:rsid w:val="00FC77CA"/>
    <w:rsid w:val="00FC7B44"/>
    <w:rsid w:val="00FC7C28"/>
    <w:rsid w:val="00FC7D6F"/>
    <w:rsid w:val="00FC7DD9"/>
    <w:rsid w:val="00FC7E40"/>
    <w:rsid w:val="00FC7E75"/>
    <w:rsid w:val="00FD0023"/>
    <w:rsid w:val="00FD02C3"/>
    <w:rsid w:val="00FD0330"/>
    <w:rsid w:val="00FD0705"/>
    <w:rsid w:val="00FD084D"/>
    <w:rsid w:val="00FD0DB8"/>
    <w:rsid w:val="00FD0EAD"/>
    <w:rsid w:val="00FD0F29"/>
    <w:rsid w:val="00FD1021"/>
    <w:rsid w:val="00FD12E6"/>
    <w:rsid w:val="00FD1565"/>
    <w:rsid w:val="00FD159C"/>
    <w:rsid w:val="00FD161A"/>
    <w:rsid w:val="00FD16B5"/>
    <w:rsid w:val="00FD1735"/>
    <w:rsid w:val="00FD17C1"/>
    <w:rsid w:val="00FD1813"/>
    <w:rsid w:val="00FD1980"/>
    <w:rsid w:val="00FD19AA"/>
    <w:rsid w:val="00FD1A7F"/>
    <w:rsid w:val="00FD1B34"/>
    <w:rsid w:val="00FD1B88"/>
    <w:rsid w:val="00FD1BDD"/>
    <w:rsid w:val="00FD1C93"/>
    <w:rsid w:val="00FD1EF5"/>
    <w:rsid w:val="00FD1F1D"/>
    <w:rsid w:val="00FD1FAD"/>
    <w:rsid w:val="00FD1FEF"/>
    <w:rsid w:val="00FD1FF6"/>
    <w:rsid w:val="00FD2150"/>
    <w:rsid w:val="00FD2202"/>
    <w:rsid w:val="00FD239A"/>
    <w:rsid w:val="00FD23AB"/>
    <w:rsid w:val="00FD2526"/>
    <w:rsid w:val="00FD2570"/>
    <w:rsid w:val="00FD29E3"/>
    <w:rsid w:val="00FD2AC0"/>
    <w:rsid w:val="00FD2CB3"/>
    <w:rsid w:val="00FD2DF0"/>
    <w:rsid w:val="00FD2E83"/>
    <w:rsid w:val="00FD325C"/>
    <w:rsid w:val="00FD3449"/>
    <w:rsid w:val="00FD352A"/>
    <w:rsid w:val="00FD37E5"/>
    <w:rsid w:val="00FD3AC1"/>
    <w:rsid w:val="00FD3C80"/>
    <w:rsid w:val="00FD3FA5"/>
    <w:rsid w:val="00FD4109"/>
    <w:rsid w:val="00FD4124"/>
    <w:rsid w:val="00FD4214"/>
    <w:rsid w:val="00FD450A"/>
    <w:rsid w:val="00FD4845"/>
    <w:rsid w:val="00FD49F1"/>
    <w:rsid w:val="00FD4A40"/>
    <w:rsid w:val="00FD4BB9"/>
    <w:rsid w:val="00FD4D1F"/>
    <w:rsid w:val="00FD4D45"/>
    <w:rsid w:val="00FD4D79"/>
    <w:rsid w:val="00FD4EEC"/>
    <w:rsid w:val="00FD4F49"/>
    <w:rsid w:val="00FD4FE2"/>
    <w:rsid w:val="00FD507A"/>
    <w:rsid w:val="00FD509F"/>
    <w:rsid w:val="00FD531B"/>
    <w:rsid w:val="00FD53EB"/>
    <w:rsid w:val="00FD547D"/>
    <w:rsid w:val="00FD5888"/>
    <w:rsid w:val="00FD5A9F"/>
    <w:rsid w:val="00FD5B99"/>
    <w:rsid w:val="00FD5F49"/>
    <w:rsid w:val="00FD661F"/>
    <w:rsid w:val="00FD69CE"/>
    <w:rsid w:val="00FD69EE"/>
    <w:rsid w:val="00FD6AF9"/>
    <w:rsid w:val="00FD6D65"/>
    <w:rsid w:val="00FD6E52"/>
    <w:rsid w:val="00FD6EF3"/>
    <w:rsid w:val="00FD76D0"/>
    <w:rsid w:val="00FD770E"/>
    <w:rsid w:val="00FD77C0"/>
    <w:rsid w:val="00FD7824"/>
    <w:rsid w:val="00FD7965"/>
    <w:rsid w:val="00FD7AEF"/>
    <w:rsid w:val="00FE03AB"/>
    <w:rsid w:val="00FE047D"/>
    <w:rsid w:val="00FE05A3"/>
    <w:rsid w:val="00FE0608"/>
    <w:rsid w:val="00FE0678"/>
    <w:rsid w:val="00FE071C"/>
    <w:rsid w:val="00FE0734"/>
    <w:rsid w:val="00FE0739"/>
    <w:rsid w:val="00FE08C6"/>
    <w:rsid w:val="00FE0943"/>
    <w:rsid w:val="00FE099A"/>
    <w:rsid w:val="00FE0B35"/>
    <w:rsid w:val="00FE0DFE"/>
    <w:rsid w:val="00FE0E16"/>
    <w:rsid w:val="00FE0F4B"/>
    <w:rsid w:val="00FE1085"/>
    <w:rsid w:val="00FE123A"/>
    <w:rsid w:val="00FE12DC"/>
    <w:rsid w:val="00FE1331"/>
    <w:rsid w:val="00FE1485"/>
    <w:rsid w:val="00FE1487"/>
    <w:rsid w:val="00FE1523"/>
    <w:rsid w:val="00FE17EE"/>
    <w:rsid w:val="00FE1A68"/>
    <w:rsid w:val="00FE1BF2"/>
    <w:rsid w:val="00FE1D39"/>
    <w:rsid w:val="00FE1D84"/>
    <w:rsid w:val="00FE1E2F"/>
    <w:rsid w:val="00FE1FBC"/>
    <w:rsid w:val="00FE2268"/>
    <w:rsid w:val="00FE24F9"/>
    <w:rsid w:val="00FE2637"/>
    <w:rsid w:val="00FE2653"/>
    <w:rsid w:val="00FE2AA9"/>
    <w:rsid w:val="00FE2B6A"/>
    <w:rsid w:val="00FE2C57"/>
    <w:rsid w:val="00FE2D65"/>
    <w:rsid w:val="00FE2E91"/>
    <w:rsid w:val="00FE2F6B"/>
    <w:rsid w:val="00FE306F"/>
    <w:rsid w:val="00FE30EB"/>
    <w:rsid w:val="00FE370A"/>
    <w:rsid w:val="00FE3734"/>
    <w:rsid w:val="00FE37DA"/>
    <w:rsid w:val="00FE3808"/>
    <w:rsid w:val="00FE3938"/>
    <w:rsid w:val="00FE45D2"/>
    <w:rsid w:val="00FE4977"/>
    <w:rsid w:val="00FE4B34"/>
    <w:rsid w:val="00FE4CD3"/>
    <w:rsid w:val="00FE4DDE"/>
    <w:rsid w:val="00FE504C"/>
    <w:rsid w:val="00FE5376"/>
    <w:rsid w:val="00FE55DB"/>
    <w:rsid w:val="00FE5827"/>
    <w:rsid w:val="00FE5C8A"/>
    <w:rsid w:val="00FE5D73"/>
    <w:rsid w:val="00FE5EB3"/>
    <w:rsid w:val="00FE603B"/>
    <w:rsid w:val="00FE62BD"/>
    <w:rsid w:val="00FE6687"/>
    <w:rsid w:val="00FE66C0"/>
    <w:rsid w:val="00FE676A"/>
    <w:rsid w:val="00FE677A"/>
    <w:rsid w:val="00FE67C5"/>
    <w:rsid w:val="00FE67E6"/>
    <w:rsid w:val="00FE680E"/>
    <w:rsid w:val="00FE6A49"/>
    <w:rsid w:val="00FE6C83"/>
    <w:rsid w:val="00FE6F68"/>
    <w:rsid w:val="00FE6FC6"/>
    <w:rsid w:val="00FE7295"/>
    <w:rsid w:val="00FE7461"/>
    <w:rsid w:val="00FE7699"/>
    <w:rsid w:val="00FE778F"/>
    <w:rsid w:val="00FE799F"/>
    <w:rsid w:val="00FE7A01"/>
    <w:rsid w:val="00FE7A08"/>
    <w:rsid w:val="00FE7A0B"/>
    <w:rsid w:val="00FE7D55"/>
    <w:rsid w:val="00FF007E"/>
    <w:rsid w:val="00FF038A"/>
    <w:rsid w:val="00FF04EB"/>
    <w:rsid w:val="00FF050B"/>
    <w:rsid w:val="00FF0656"/>
    <w:rsid w:val="00FF0690"/>
    <w:rsid w:val="00FF0709"/>
    <w:rsid w:val="00FF07C5"/>
    <w:rsid w:val="00FF081E"/>
    <w:rsid w:val="00FF08DC"/>
    <w:rsid w:val="00FF09EA"/>
    <w:rsid w:val="00FF0A24"/>
    <w:rsid w:val="00FF0A45"/>
    <w:rsid w:val="00FF0AFB"/>
    <w:rsid w:val="00FF107A"/>
    <w:rsid w:val="00FF11A3"/>
    <w:rsid w:val="00FF124D"/>
    <w:rsid w:val="00FF12B4"/>
    <w:rsid w:val="00FF13FA"/>
    <w:rsid w:val="00FF16D1"/>
    <w:rsid w:val="00FF1923"/>
    <w:rsid w:val="00FF1DE6"/>
    <w:rsid w:val="00FF1EBB"/>
    <w:rsid w:val="00FF1FD4"/>
    <w:rsid w:val="00FF21DE"/>
    <w:rsid w:val="00FF2212"/>
    <w:rsid w:val="00FF2812"/>
    <w:rsid w:val="00FF2AAD"/>
    <w:rsid w:val="00FF2C2C"/>
    <w:rsid w:val="00FF2E90"/>
    <w:rsid w:val="00FF30BF"/>
    <w:rsid w:val="00FF337B"/>
    <w:rsid w:val="00FF38B5"/>
    <w:rsid w:val="00FF3BF0"/>
    <w:rsid w:val="00FF3C87"/>
    <w:rsid w:val="00FF3E08"/>
    <w:rsid w:val="00FF404D"/>
    <w:rsid w:val="00FF42F8"/>
    <w:rsid w:val="00FF432B"/>
    <w:rsid w:val="00FF4368"/>
    <w:rsid w:val="00FF4378"/>
    <w:rsid w:val="00FF452D"/>
    <w:rsid w:val="00FF454D"/>
    <w:rsid w:val="00FF48C7"/>
    <w:rsid w:val="00FF4BD1"/>
    <w:rsid w:val="00FF4D01"/>
    <w:rsid w:val="00FF4DB5"/>
    <w:rsid w:val="00FF51FB"/>
    <w:rsid w:val="00FF52E5"/>
    <w:rsid w:val="00FF56DD"/>
    <w:rsid w:val="00FF58DF"/>
    <w:rsid w:val="00FF5947"/>
    <w:rsid w:val="00FF5E5E"/>
    <w:rsid w:val="00FF6143"/>
    <w:rsid w:val="00FF670D"/>
    <w:rsid w:val="00FF6946"/>
    <w:rsid w:val="00FF69A0"/>
    <w:rsid w:val="00FF6A4A"/>
    <w:rsid w:val="00FF6AF6"/>
    <w:rsid w:val="00FF6D20"/>
    <w:rsid w:val="00FF6E76"/>
    <w:rsid w:val="00FF6EBD"/>
    <w:rsid w:val="00FF6F81"/>
    <w:rsid w:val="00FF6FD6"/>
    <w:rsid w:val="00FF709B"/>
    <w:rsid w:val="00FF718D"/>
    <w:rsid w:val="00FF719F"/>
    <w:rsid w:val="00FF76B9"/>
    <w:rsid w:val="00FF76D4"/>
    <w:rsid w:val="00FF7B93"/>
    <w:rsid w:val="00FF7C1B"/>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025EB"/>
  <w15:docId w15:val="{3E46FC31-890E-4FF0-B773-2316A568C7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semiHidden="1" w:uiPriority="0" w:unhideWhenUsed="1" w:qFormat="1"/>
    <w:lsdException w:name="heading 6" w:locked="1" w:qFormat="1"/>
    <w:lsdException w:name="heading 7" w:locked="1" w:semiHidden="1" w:uiPriority="0" w:unhideWhenUsed="1" w:qFormat="1"/>
    <w:lsdException w:name="heading 8" w:locked="1" w:semiHidden="1" w:uiPriority="0" w:unhideWhenUs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7237"/>
    <w:rPr>
      <w:sz w:val="24"/>
      <w:szCs w:val="24"/>
    </w:rPr>
  </w:style>
  <w:style w:type="paragraph" w:styleId="Heading1">
    <w:name w:val="heading 1"/>
    <w:basedOn w:val="Normal"/>
    <w:next w:val="Normal"/>
    <w:link w:val="Heading1Char"/>
    <w:uiPriority w:val="99"/>
    <w:qFormat/>
    <w:rsid w:val="004122D2"/>
    <w:pPr>
      <w:keepNext/>
      <w:jc w:val="center"/>
      <w:outlineLvl w:val="0"/>
    </w:pPr>
    <w:rPr>
      <w:b/>
      <w:bCs/>
      <w:lang w:eastAsia="en-US"/>
    </w:rPr>
  </w:style>
  <w:style w:type="paragraph" w:styleId="Heading2">
    <w:name w:val="heading 2"/>
    <w:basedOn w:val="Normal"/>
    <w:next w:val="Normal"/>
    <w:link w:val="Heading2Char"/>
    <w:uiPriority w:val="99"/>
    <w:qFormat/>
    <w:rsid w:val="009C5217"/>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uiPriority w:val="99"/>
    <w:qFormat/>
    <w:rsid w:val="009C5217"/>
    <w:pPr>
      <w:keepNext/>
      <w:spacing w:before="240" w:after="60"/>
      <w:outlineLvl w:val="2"/>
    </w:pPr>
    <w:rPr>
      <w:rFonts w:ascii="Arial" w:hAnsi="Arial" w:cs="Arial"/>
      <w:b/>
      <w:bCs/>
      <w:sz w:val="26"/>
      <w:szCs w:val="26"/>
      <w:lang w:val="en-AU"/>
    </w:rPr>
  </w:style>
  <w:style w:type="paragraph" w:styleId="Heading4">
    <w:name w:val="heading 4"/>
    <w:basedOn w:val="Normal"/>
    <w:next w:val="Normal"/>
    <w:link w:val="Heading4Char"/>
    <w:uiPriority w:val="99"/>
    <w:qFormat/>
    <w:rsid w:val="009C5217"/>
    <w:pPr>
      <w:keepNext/>
      <w:spacing w:before="240" w:after="60"/>
      <w:outlineLvl w:val="3"/>
    </w:pPr>
    <w:rPr>
      <w:b/>
      <w:bCs/>
      <w:sz w:val="28"/>
      <w:szCs w:val="28"/>
    </w:rPr>
  </w:style>
  <w:style w:type="paragraph" w:styleId="Heading5">
    <w:name w:val="heading 5"/>
    <w:basedOn w:val="Normal"/>
    <w:next w:val="Normal"/>
    <w:link w:val="Heading5Char"/>
    <w:unhideWhenUsed/>
    <w:qFormat/>
    <w:locked/>
    <w:rsid w:val="00E15A19"/>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9"/>
    <w:qFormat/>
    <w:rsid w:val="00600F9D"/>
    <w:pPr>
      <w:spacing w:before="240" w:after="60"/>
      <w:outlineLvl w:val="5"/>
    </w:pPr>
    <w:rPr>
      <w:b/>
      <w:bCs/>
      <w:sz w:val="22"/>
      <w:szCs w:val="22"/>
    </w:rPr>
  </w:style>
  <w:style w:type="paragraph" w:styleId="Heading9">
    <w:name w:val="heading 9"/>
    <w:basedOn w:val="Normal"/>
    <w:next w:val="Normal"/>
    <w:link w:val="Heading9Char"/>
    <w:uiPriority w:val="99"/>
    <w:qFormat/>
    <w:rsid w:val="004D0E90"/>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17007"/>
    <w:rPr>
      <w:rFonts w:ascii="Cambria" w:hAnsi="Cambria" w:cs="Times New Roman"/>
      <w:b/>
      <w:bCs/>
      <w:kern w:val="32"/>
      <w:sz w:val="32"/>
      <w:szCs w:val="32"/>
    </w:rPr>
  </w:style>
  <w:style w:type="character" w:customStyle="1" w:styleId="Heading2Char">
    <w:name w:val="Heading 2 Char"/>
    <w:link w:val="Heading2"/>
    <w:uiPriority w:val="99"/>
    <w:locked/>
    <w:rsid w:val="00B17007"/>
    <w:rPr>
      <w:rFonts w:ascii="Cambria" w:hAnsi="Cambria" w:cs="Times New Roman"/>
      <w:b/>
      <w:bCs/>
      <w:i/>
      <w:iCs/>
      <w:sz w:val="28"/>
      <w:szCs w:val="28"/>
    </w:rPr>
  </w:style>
  <w:style w:type="character" w:customStyle="1" w:styleId="Heading3Char">
    <w:name w:val="Heading 3 Char"/>
    <w:uiPriority w:val="99"/>
    <w:locked/>
    <w:rsid w:val="002C3782"/>
    <w:rPr>
      <w:rFonts w:ascii="Arial" w:hAnsi="Arial" w:cs="Arial"/>
      <w:b/>
      <w:bCs/>
      <w:sz w:val="26"/>
      <w:szCs w:val="26"/>
      <w:lang w:val="en-AU" w:eastAsia="bg-BG" w:bidi="ar-SA"/>
    </w:rPr>
  </w:style>
  <w:style w:type="character" w:customStyle="1" w:styleId="Heading4Char">
    <w:name w:val="Heading 4 Char"/>
    <w:link w:val="Heading4"/>
    <w:uiPriority w:val="99"/>
    <w:locked/>
    <w:rsid w:val="00B17007"/>
    <w:rPr>
      <w:rFonts w:ascii="Calibri" w:hAnsi="Calibri" w:cs="Times New Roman"/>
      <w:b/>
      <w:bCs/>
      <w:sz w:val="28"/>
      <w:szCs w:val="28"/>
    </w:rPr>
  </w:style>
  <w:style w:type="character" w:customStyle="1" w:styleId="Heading6Char">
    <w:name w:val="Heading 6 Char"/>
    <w:link w:val="Heading6"/>
    <w:uiPriority w:val="99"/>
    <w:locked/>
    <w:rsid w:val="00B17007"/>
    <w:rPr>
      <w:rFonts w:ascii="Calibri" w:hAnsi="Calibri" w:cs="Times New Roman"/>
      <w:b/>
      <w:bCs/>
    </w:rPr>
  </w:style>
  <w:style w:type="character" w:customStyle="1" w:styleId="Heading9Char">
    <w:name w:val="Heading 9 Char"/>
    <w:link w:val="Heading9"/>
    <w:uiPriority w:val="99"/>
    <w:locked/>
    <w:rsid w:val="00B17007"/>
    <w:rPr>
      <w:rFonts w:ascii="Cambria" w:hAnsi="Cambria" w:cs="Times New Roman"/>
    </w:rPr>
  </w:style>
  <w:style w:type="paragraph" w:styleId="BalloonText">
    <w:name w:val="Balloon Text"/>
    <w:basedOn w:val="Normal"/>
    <w:link w:val="BalloonTextChar"/>
    <w:uiPriority w:val="99"/>
    <w:semiHidden/>
    <w:rsid w:val="00FE5827"/>
    <w:rPr>
      <w:rFonts w:ascii="Tahoma" w:hAnsi="Tahoma" w:cs="Tahoma"/>
      <w:sz w:val="16"/>
      <w:szCs w:val="16"/>
    </w:rPr>
  </w:style>
  <w:style w:type="character" w:customStyle="1" w:styleId="BalloonTextChar">
    <w:name w:val="Balloon Text Char"/>
    <w:link w:val="BalloonText"/>
    <w:uiPriority w:val="99"/>
    <w:semiHidden/>
    <w:locked/>
    <w:rsid w:val="00B17007"/>
    <w:rPr>
      <w:rFonts w:cs="Times New Roman"/>
      <w:sz w:val="2"/>
    </w:rPr>
  </w:style>
  <w:style w:type="character" w:customStyle="1" w:styleId="Heading3Char1">
    <w:name w:val="Heading 3 Char1"/>
    <w:link w:val="Heading3"/>
    <w:uiPriority w:val="99"/>
    <w:locked/>
    <w:rsid w:val="009C5217"/>
    <w:rPr>
      <w:rFonts w:ascii="Arial" w:hAnsi="Arial" w:cs="Arial"/>
      <w:b/>
      <w:bCs/>
      <w:sz w:val="26"/>
      <w:szCs w:val="26"/>
      <w:lang w:val="en-AU" w:eastAsia="bg-BG" w:bidi="ar-SA"/>
    </w:rPr>
  </w:style>
  <w:style w:type="paragraph" w:styleId="FootnoteText">
    <w:name w:val="footnote text"/>
    <w:aliases w:val="Fußnotentext arial,Footnote1,Footnote2,Footnote3,stile 1,Footnote4,Footnote5,Footnote6,Footnote7,Footnote8,Footnote9,Footnote10,Footnote11,Footnote21,Footnote31,Footnote41,Footnote51,Footnote61,Footnote71,Footnote81,Footnote91,single space"/>
    <w:basedOn w:val="Normal"/>
    <w:link w:val="FootnoteTextChar"/>
    <w:qFormat/>
    <w:rsid w:val="004122D2"/>
    <w:rPr>
      <w:sz w:val="20"/>
      <w:szCs w:val="20"/>
    </w:rPr>
  </w:style>
  <w:style w:type="character" w:customStyle="1" w:styleId="FootnoteTextChar">
    <w:name w:val="Footnote Text Char"/>
    <w:aliases w:val="Fußnotentext arial Char,Footnote1 Char,Footnote2 Char,Footnote3 Char,stile 1 Char,Footnote4 Char,Footnote5 Char,Footnote6 Char,Footnote7 Char,Footnote8 Char,Footnote9 Char,Footnote10 Char,Footnote11 Char,Footnote21 Char"/>
    <w:link w:val="FootnoteText"/>
    <w:locked/>
    <w:rsid w:val="00B17007"/>
    <w:rPr>
      <w:rFonts w:cs="Times New Roman"/>
      <w:sz w:val="20"/>
      <w:szCs w:val="20"/>
    </w:rPr>
  </w:style>
  <w:style w:type="character" w:styleId="FootnoteReference">
    <w:name w:val="footnote reference"/>
    <w:aliases w:val="Footnote,Footnote symbol,SUPERS,BVI fnr,Footnote reference number,Times 10 Point,Exposant 3 Point,Ref,de nota al pie,note TESI,EN Footnote text,EN Footnote Reference,Footnote Reference Number,E FNZ,Appel note de bas de p,Nota,BVI fnr1"/>
    <w:rsid w:val="004122D2"/>
    <w:rPr>
      <w:rFonts w:cs="Times New Roman"/>
      <w:vertAlign w:val="superscript"/>
    </w:rPr>
  </w:style>
  <w:style w:type="paragraph" w:styleId="BodyTextIndent">
    <w:name w:val="Body Text Indent"/>
    <w:basedOn w:val="Normal"/>
    <w:link w:val="BodyTextIndentChar"/>
    <w:uiPriority w:val="99"/>
    <w:rsid w:val="004122D2"/>
    <w:pPr>
      <w:spacing w:after="120"/>
      <w:ind w:left="283"/>
    </w:pPr>
    <w:rPr>
      <w:lang w:val="en-GB" w:eastAsia="en-US"/>
    </w:rPr>
  </w:style>
  <w:style w:type="character" w:customStyle="1" w:styleId="BodyTextIndentChar">
    <w:name w:val="Body Text Indent Char"/>
    <w:link w:val="BodyTextIndent"/>
    <w:uiPriority w:val="99"/>
    <w:locked/>
    <w:rsid w:val="00B17007"/>
    <w:rPr>
      <w:rFonts w:cs="Times New Roman"/>
      <w:sz w:val="24"/>
      <w:szCs w:val="24"/>
    </w:rPr>
  </w:style>
  <w:style w:type="paragraph" w:customStyle="1" w:styleId="Char1CharCharChar">
    <w:name w:val="Char1 Char Char Char"/>
    <w:basedOn w:val="Normal"/>
    <w:uiPriority w:val="99"/>
    <w:semiHidden/>
    <w:rsid w:val="004122D2"/>
    <w:pPr>
      <w:tabs>
        <w:tab w:val="left" w:pos="709"/>
      </w:tabs>
    </w:pPr>
    <w:rPr>
      <w:rFonts w:ascii="Futura Bk" w:hAnsi="Futura Bk"/>
      <w:lang w:val="pl-PL" w:eastAsia="pl-PL"/>
    </w:rPr>
  </w:style>
  <w:style w:type="paragraph" w:styleId="Header">
    <w:name w:val="header"/>
    <w:aliases w:val="Header Char,Header Char1 Char,Header Char Char Char,Header Char3 Char Char Char,Header Char1 Char Char Char Char1 Char,Header Char Char Char Char Char Char1 Char,Header Char2 Char1 Char Char Char,Header Char Char Char Char Char"/>
    <w:basedOn w:val="Normal"/>
    <w:link w:val="HeaderChar2"/>
    <w:uiPriority w:val="99"/>
    <w:rsid w:val="009C5217"/>
    <w:pPr>
      <w:tabs>
        <w:tab w:val="center" w:pos="4153"/>
        <w:tab w:val="right" w:pos="8306"/>
      </w:tabs>
    </w:pPr>
  </w:style>
  <w:style w:type="character" w:customStyle="1" w:styleId="HeaderChar1">
    <w:name w:val="Header Char1"/>
    <w:aliases w:val="Header Char Char,Header Char1 Char Char,Header Char Char Char Char,Header Char3 Char Char Char Char,Header Char1 Char Char Char Char1 Char Char,Header Char Char Char Char Char Char1 Char Char,Header Char2 Char1 Char Char Char Char"/>
    <w:uiPriority w:val="99"/>
    <w:semiHidden/>
    <w:locked/>
    <w:rsid w:val="00B17007"/>
    <w:rPr>
      <w:rFonts w:cs="Times New Roman"/>
      <w:sz w:val="24"/>
      <w:szCs w:val="24"/>
    </w:rPr>
  </w:style>
  <w:style w:type="character" w:customStyle="1" w:styleId="HeaderChar2">
    <w:name w:val="Header Char2"/>
    <w:aliases w:val="Header Char Char1,Header Char1 Char Char1,Header Char Char Char Char1,Header Char3 Char Char Char Char1,Header Char1 Char Char Char Char1 Char Char1,Header Char Char Char Char Char Char1 Char Char1,Header Char2 Char1 Char Char Char Char1"/>
    <w:link w:val="Header"/>
    <w:uiPriority w:val="99"/>
    <w:locked/>
    <w:rsid w:val="00964429"/>
    <w:rPr>
      <w:rFonts w:cs="Times New Roman"/>
      <w:sz w:val="24"/>
      <w:szCs w:val="24"/>
      <w:lang w:val="bg-BG" w:eastAsia="bg-BG" w:bidi="ar-SA"/>
    </w:rPr>
  </w:style>
  <w:style w:type="paragraph" w:customStyle="1" w:styleId="font5">
    <w:name w:val="font5"/>
    <w:basedOn w:val="Normal"/>
    <w:uiPriority w:val="99"/>
    <w:rsid w:val="009C5217"/>
    <w:pPr>
      <w:spacing w:before="100" w:beforeAutospacing="1" w:after="100" w:afterAutospacing="1"/>
    </w:pPr>
    <w:rPr>
      <w:b/>
      <w:bCs/>
      <w:sz w:val="16"/>
      <w:szCs w:val="16"/>
      <w:lang w:eastAsia="en-US"/>
    </w:rPr>
  </w:style>
  <w:style w:type="paragraph" w:customStyle="1" w:styleId="font6">
    <w:name w:val="font6"/>
    <w:basedOn w:val="Normal"/>
    <w:uiPriority w:val="99"/>
    <w:rsid w:val="009C5217"/>
    <w:pPr>
      <w:spacing w:before="100" w:beforeAutospacing="1" w:after="100" w:afterAutospacing="1"/>
    </w:pPr>
    <w:rPr>
      <w:sz w:val="16"/>
      <w:szCs w:val="16"/>
      <w:lang w:eastAsia="en-US"/>
    </w:rPr>
  </w:style>
  <w:style w:type="paragraph" w:customStyle="1" w:styleId="Default">
    <w:name w:val="Default"/>
    <w:rsid w:val="009C5217"/>
    <w:pPr>
      <w:autoSpaceDE w:val="0"/>
      <w:autoSpaceDN w:val="0"/>
      <w:adjustRightInd w:val="0"/>
    </w:pPr>
    <w:rPr>
      <w:rFonts w:ascii="Arial" w:hAnsi="Arial" w:cs="Arial"/>
      <w:color w:val="000000"/>
      <w:sz w:val="24"/>
      <w:szCs w:val="24"/>
    </w:rPr>
  </w:style>
  <w:style w:type="paragraph" w:customStyle="1" w:styleId="NormalFirstline">
    <w:name w:val="Normal + First line"/>
    <w:aliases w:val="1.25 cm,After 6 pt"/>
    <w:basedOn w:val="Normal"/>
    <w:uiPriority w:val="99"/>
    <w:rsid w:val="009C5217"/>
    <w:rPr>
      <w:sz w:val="20"/>
      <w:szCs w:val="20"/>
      <w:lang w:eastAsia="en-US"/>
    </w:rPr>
  </w:style>
  <w:style w:type="paragraph" w:customStyle="1" w:styleId="Char">
    <w:name w:val="Char"/>
    <w:basedOn w:val="Normal"/>
    <w:uiPriority w:val="99"/>
    <w:semiHidden/>
    <w:rsid w:val="00D4044A"/>
    <w:pPr>
      <w:tabs>
        <w:tab w:val="left" w:pos="709"/>
      </w:tabs>
    </w:pPr>
    <w:rPr>
      <w:rFonts w:ascii="Futura Bk" w:hAnsi="Futura Bk"/>
      <w:lang w:val="pl-PL" w:eastAsia="pl-PL"/>
    </w:rPr>
  </w:style>
  <w:style w:type="paragraph" w:customStyle="1" w:styleId="Char1">
    <w:name w:val="Char1"/>
    <w:basedOn w:val="Normal"/>
    <w:uiPriority w:val="99"/>
    <w:semiHidden/>
    <w:rsid w:val="00443C14"/>
    <w:pPr>
      <w:tabs>
        <w:tab w:val="left" w:pos="709"/>
      </w:tabs>
    </w:pPr>
    <w:rPr>
      <w:rFonts w:ascii="Futura Bk" w:hAnsi="Futura Bk"/>
      <w:lang w:val="pl-PL" w:eastAsia="pl-PL"/>
    </w:rPr>
  </w:style>
  <w:style w:type="paragraph" w:styleId="BodyTextIndent2">
    <w:name w:val="Body Text Indent 2"/>
    <w:basedOn w:val="Normal"/>
    <w:link w:val="BodyTextIndent2Char"/>
    <w:uiPriority w:val="99"/>
    <w:rsid w:val="006D3A7B"/>
    <w:pPr>
      <w:spacing w:after="120" w:line="480" w:lineRule="auto"/>
      <w:ind w:left="283"/>
    </w:pPr>
  </w:style>
  <w:style w:type="character" w:customStyle="1" w:styleId="BodyTextIndent2Char">
    <w:name w:val="Body Text Indent 2 Char"/>
    <w:link w:val="BodyTextIndent2"/>
    <w:uiPriority w:val="99"/>
    <w:locked/>
    <w:rsid w:val="00B17007"/>
    <w:rPr>
      <w:rFonts w:cs="Times New Roman"/>
      <w:sz w:val="24"/>
      <w:szCs w:val="24"/>
    </w:rPr>
  </w:style>
  <w:style w:type="paragraph" w:styleId="BodyText">
    <w:name w:val="Body Text"/>
    <w:basedOn w:val="Normal"/>
    <w:link w:val="BodyTextChar1"/>
    <w:rsid w:val="000A652B"/>
    <w:pPr>
      <w:spacing w:after="120"/>
    </w:pPr>
  </w:style>
  <w:style w:type="character" w:customStyle="1" w:styleId="BodyTextChar">
    <w:name w:val="Body Text Char"/>
    <w:aliases w:val="block style Char"/>
    <w:locked/>
    <w:rsid w:val="00B17007"/>
    <w:rPr>
      <w:rFonts w:cs="Times New Roman"/>
      <w:sz w:val="24"/>
      <w:szCs w:val="24"/>
    </w:rPr>
  </w:style>
  <w:style w:type="character" w:customStyle="1" w:styleId="BodyTextChar1">
    <w:name w:val="Body Text Char1"/>
    <w:link w:val="BodyText"/>
    <w:locked/>
    <w:rsid w:val="00C159EE"/>
    <w:rPr>
      <w:rFonts w:cs="Times New Roman"/>
      <w:sz w:val="24"/>
      <w:szCs w:val="24"/>
      <w:lang w:val="bg-BG" w:eastAsia="bg-BG" w:bidi="ar-SA"/>
    </w:rPr>
  </w:style>
  <w:style w:type="paragraph" w:customStyle="1" w:styleId="CharCharCharChar1CharCharCharCharCharCharCharCharChar">
    <w:name w:val="Char Char Char Char1 Char Char Char Char Char Char Char Char Char"/>
    <w:basedOn w:val="Normal"/>
    <w:uiPriority w:val="99"/>
    <w:rsid w:val="005623A7"/>
    <w:pPr>
      <w:spacing w:after="160" w:line="240" w:lineRule="exact"/>
    </w:pPr>
    <w:rPr>
      <w:rFonts w:ascii="Tahoma" w:hAnsi="Tahoma"/>
      <w:sz w:val="20"/>
      <w:szCs w:val="20"/>
      <w:lang w:val="en-US" w:eastAsia="en-US"/>
    </w:rPr>
  </w:style>
  <w:style w:type="paragraph" w:styleId="BodyText3">
    <w:name w:val="Body Text 3"/>
    <w:basedOn w:val="Normal"/>
    <w:link w:val="BodyText3Char"/>
    <w:uiPriority w:val="99"/>
    <w:rsid w:val="005623A7"/>
    <w:pPr>
      <w:spacing w:after="120"/>
    </w:pPr>
    <w:rPr>
      <w:sz w:val="16"/>
      <w:szCs w:val="16"/>
    </w:rPr>
  </w:style>
  <w:style w:type="character" w:customStyle="1" w:styleId="BodyText3Char">
    <w:name w:val="Body Text 3 Char"/>
    <w:link w:val="BodyText3"/>
    <w:uiPriority w:val="99"/>
    <w:locked/>
    <w:rsid w:val="00B17007"/>
    <w:rPr>
      <w:rFonts w:cs="Times New Roman"/>
      <w:sz w:val="16"/>
      <w:szCs w:val="16"/>
    </w:rPr>
  </w:style>
  <w:style w:type="paragraph" w:styleId="BodyText2">
    <w:name w:val="Body Text 2"/>
    <w:basedOn w:val="Normal"/>
    <w:link w:val="BodyText2Char"/>
    <w:uiPriority w:val="99"/>
    <w:rsid w:val="005623A7"/>
    <w:pPr>
      <w:spacing w:after="120" w:line="480" w:lineRule="auto"/>
    </w:pPr>
  </w:style>
  <w:style w:type="character" w:customStyle="1" w:styleId="BodyText2Char">
    <w:name w:val="Body Text 2 Char"/>
    <w:link w:val="BodyText2"/>
    <w:uiPriority w:val="99"/>
    <w:locked/>
    <w:rsid w:val="00B17007"/>
    <w:rPr>
      <w:rFonts w:cs="Times New Roman"/>
      <w:sz w:val="24"/>
      <w:szCs w:val="24"/>
    </w:rPr>
  </w:style>
  <w:style w:type="paragraph" w:styleId="BodyTextIndent3">
    <w:name w:val="Body Text Indent 3"/>
    <w:basedOn w:val="Normal"/>
    <w:link w:val="BodyTextIndent3Char"/>
    <w:uiPriority w:val="99"/>
    <w:rsid w:val="005623A7"/>
    <w:pPr>
      <w:spacing w:after="120"/>
      <w:ind w:left="283"/>
    </w:pPr>
    <w:rPr>
      <w:sz w:val="16"/>
      <w:szCs w:val="16"/>
    </w:rPr>
  </w:style>
  <w:style w:type="character" w:customStyle="1" w:styleId="BodyTextIndent3Char">
    <w:name w:val="Body Text Indent 3 Char"/>
    <w:link w:val="BodyTextIndent3"/>
    <w:uiPriority w:val="99"/>
    <w:locked/>
    <w:rsid w:val="00B17007"/>
    <w:rPr>
      <w:rFonts w:cs="Times New Roman"/>
      <w:sz w:val="16"/>
      <w:szCs w:val="16"/>
    </w:rPr>
  </w:style>
  <w:style w:type="paragraph" w:customStyle="1" w:styleId="Style">
    <w:name w:val="Style"/>
    <w:uiPriority w:val="99"/>
    <w:rsid w:val="005623A7"/>
    <w:pPr>
      <w:widowControl w:val="0"/>
      <w:autoSpaceDE w:val="0"/>
      <w:autoSpaceDN w:val="0"/>
      <w:adjustRightInd w:val="0"/>
      <w:ind w:left="140" w:right="140" w:firstLine="840"/>
      <w:jc w:val="both"/>
    </w:pPr>
    <w:rPr>
      <w:sz w:val="24"/>
      <w:szCs w:val="24"/>
    </w:rPr>
  </w:style>
  <w:style w:type="paragraph" w:styleId="BlockText">
    <w:name w:val="Block Text"/>
    <w:basedOn w:val="Normal"/>
    <w:uiPriority w:val="99"/>
    <w:rsid w:val="005623A7"/>
    <w:pPr>
      <w:ind w:left="-851" w:right="-99"/>
    </w:pPr>
    <w:rPr>
      <w:rFonts w:ascii="Arial" w:hAnsi="Arial"/>
      <w:szCs w:val="20"/>
      <w:lang w:eastAsia="en-US"/>
    </w:rPr>
  </w:style>
  <w:style w:type="paragraph" w:customStyle="1" w:styleId="Char1CharChar1CharCharCharChar1CharCharChar">
    <w:name w:val="Char1 Char Char1 Char Char Char Char1 Char Char Char"/>
    <w:basedOn w:val="Normal"/>
    <w:uiPriority w:val="99"/>
    <w:rsid w:val="005623A7"/>
    <w:pPr>
      <w:tabs>
        <w:tab w:val="left" w:pos="709"/>
      </w:tabs>
      <w:spacing w:line="360" w:lineRule="auto"/>
    </w:pPr>
    <w:rPr>
      <w:rFonts w:ascii="Tahoma" w:hAnsi="Tahoma"/>
      <w:lang w:val="pl-PL" w:eastAsia="pl-PL"/>
    </w:rPr>
  </w:style>
  <w:style w:type="paragraph" w:customStyle="1" w:styleId="a">
    <w:name w:val="Знак"/>
    <w:basedOn w:val="Normal"/>
    <w:uiPriority w:val="99"/>
    <w:rsid w:val="005623A7"/>
    <w:pPr>
      <w:spacing w:after="160" w:line="240" w:lineRule="exact"/>
    </w:pPr>
    <w:rPr>
      <w:rFonts w:ascii="Tahoma" w:hAnsi="Tahoma"/>
      <w:sz w:val="20"/>
      <w:szCs w:val="20"/>
      <w:lang w:val="en-US" w:eastAsia="en-US"/>
    </w:rPr>
  </w:style>
  <w:style w:type="paragraph" w:styleId="TOC1">
    <w:name w:val="toc 1"/>
    <w:basedOn w:val="Normal"/>
    <w:next w:val="Normal"/>
    <w:autoRedefine/>
    <w:uiPriority w:val="39"/>
    <w:rsid w:val="003A7277"/>
    <w:pPr>
      <w:tabs>
        <w:tab w:val="right" w:leader="dot" w:pos="9720"/>
      </w:tabs>
      <w:ind w:left="363" w:right="-516" w:hanging="363"/>
    </w:pPr>
    <w:rPr>
      <w:b/>
      <w:noProof/>
      <w:color w:val="000000"/>
      <w:sz w:val="22"/>
      <w:szCs w:val="22"/>
    </w:rPr>
  </w:style>
  <w:style w:type="paragraph" w:styleId="TOC2">
    <w:name w:val="toc 2"/>
    <w:basedOn w:val="Normal"/>
    <w:next w:val="Normal"/>
    <w:autoRedefine/>
    <w:uiPriority w:val="39"/>
    <w:rsid w:val="001C38E8"/>
    <w:pPr>
      <w:tabs>
        <w:tab w:val="right" w:leader="dot" w:pos="9720"/>
      </w:tabs>
      <w:ind w:left="363" w:right="-516" w:hanging="363"/>
    </w:pPr>
    <w:rPr>
      <w:b/>
      <w:noProof/>
      <w:color w:val="000000"/>
      <w:sz w:val="22"/>
      <w:szCs w:val="22"/>
    </w:rPr>
  </w:style>
  <w:style w:type="paragraph" w:styleId="TOC3">
    <w:name w:val="toc 3"/>
    <w:basedOn w:val="Normal"/>
    <w:next w:val="Normal"/>
    <w:autoRedefine/>
    <w:uiPriority w:val="39"/>
    <w:rsid w:val="00D252CA"/>
    <w:pPr>
      <w:tabs>
        <w:tab w:val="left" w:pos="540"/>
        <w:tab w:val="left" w:pos="720"/>
        <w:tab w:val="left" w:pos="900"/>
        <w:tab w:val="right" w:leader="dot" w:pos="9720"/>
      </w:tabs>
      <w:ind w:left="284" w:right="-516" w:hanging="142"/>
    </w:pPr>
    <w:rPr>
      <w:noProof/>
      <w:color w:val="000000"/>
    </w:rPr>
  </w:style>
  <w:style w:type="character" w:styleId="Hyperlink">
    <w:name w:val="Hyperlink"/>
    <w:uiPriority w:val="99"/>
    <w:rsid w:val="00ED5678"/>
    <w:rPr>
      <w:rFonts w:cs="Times New Roman"/>
      <w:color w:val="0000FF"/>
      <w:u w:val="single"/>
    </w:rPr>
  </w:style>
  <w:style w:type="character" w:styleId="CommentReference">
    <w:name w:val="annotation reference"/>
    <w:semiHidden/>
    <w:rsid w:val="00FE5827"/>
    <w:rPr>
      <w:rFonts w:cs="Times New Roman"/>
      <w:sz w:val="16"/>
      <w:szCs w:val="16"/>
    </w:rPr>
  </w:style>
  <w:style w:type="paragraph" w:styleId="CommentText">
    <w:name w:val="annotation text"/>
    <w:basedOn w:val="Normal"/>
    <w:link w:val="CommentTextChar"/>
    <w:semiHidden/>
    <w:rsid w:val="00FE5827"/>
    <w:rPr>
      <w:sz w:val="20"/>
      <w:szCs w:val="20"/>
    </w:rPr>
  </w:style>
  <w:style w:type="character" w:customStyle="1" w:styleId="CommentTextChar">
    <w:name w:val="Comment Text Char"/>
    <w:link w:val="CommentText"/>
    <w:semiHidden/>
    <w:locked/>
    <w:rsid w:val="00B17007"/>
    <w:rPr>
      <w:rFonts w:cs="Times New Roman"/>
      <w:sz w:val="20"/>
      <w:szCs w:val="20"/>
    </w:rPr>
  </w:style>
  <w:style w:type="paragraph" w:customStyle="1" w:styleId="a0">
    <w:name w:val="Обикн. параграф"/>
    <w:basedOn w:val="Normal"/>
    <w:uiPriority w:val="99"/>
    <w:rsid w:val="00964429"/>
    <w:pPr>
      <w:spacing w:before="120" w:line="360" w:lineRule="auto"/>
      <w:ind w:firstLine="720"/>
      <w:jc w:val="both"/>
    </w:pPr>
    <w:rPr>
      <w:szCs w:val="20"/>
      <w:lang w:eastAsia="en-US"/>
    </w:rPr>
  </w:style>
  <w:style w:type="paragraph" w:styleId="Caption">
    <w:name w:val="caption"/>
    <w:basedOn w:val="Normal"/>
    <w:next w:val="Normal"/>
    <w:link w:val="CaptionChar"/>
    <w:qFormat/>
    <w:rsid w:val="00964429"/>
    <w:pPr>
      <w:spacing w:before="120" w:after="120"/>
    </w:pPr>
    <w:rPr>
      <w:b/>
      <w:bCs/>
      <w:sz w:val="20"/>
      <w:szCs w:val="20"/>
      <w:lang w:val="en-GB" w:eastAsia="en-US"/>
    </w:rPr>
  </w:style>
  <w:style w:type="paragraph" w:customStyle="1" w:styleId="CharCharCharCharCharCharCharCharCharCharCharChar">
    <w:name w:val="Знак Char Char Char Знак Char Char Char Char Знак Char Знак Char Char Char Знак Char Знак"/>
    <w:basedOn w:val="Normal"/>
    <w:uiPriority w:val="99"/>
    <w:semiHidden/>
    <w:rsid w:val="00FF0656"/>
    <w:pPr>
      <w:tabs>
        <w:tab w:val="left" w:pos="709"/>
      </w:tabs>
    </w:pPr>
    <w:rPr>
      <w:rFonts w:ascii="Futura Bk" w:hAnsi="Futura Bk"/>
      <w:sz w:val="20"/>
      <w:lang w:val="pl-PL" w:eastAsia="pl-PL"/>
    </w:rPr>
  </w:style>
  <w:style w:type="character" w:styleId="PageNumber">
    <w:name w:val="page number"/>
    <w:uiPriority w:val="99"/>
    <w:rsid w:val="00600F9D"/>
    <w:rPr>
      <w:rFonts w:cs="Times New Roman"/>
    </w:rPr>
  </w:style>
  <w:style w:type="paragraph" w:customStyle="1" w:styleId="NormalFirstline1">
    <w:name w:val="Normal+First line:1"/>
    <w:aliases w:val="25 cm,After:6 pt"/>
    <w:basedOn w:val="Normal"/>
    <w:uiPriority w:val="99"/>
    <w:rsid w:val="00674C44"/>
    <w:pPr>
      <w:spacing w:after="120"/>
      <w:ind w:firstLine="720"/>
    </w:pPr>
    <w:rPr>
      <w:lang w:eastAsia="en-US"/>
    </w:rPr>
  </w:style>
  <w:style w:type="character" w:styleId="FollowedHyperlink">
    <w:name w:val="FollowedHyperlink"/>
    <w:uiPriority w:val="99"/>
    <w:rsid w:val="0029769D"/>
    <w:rPr>
      <w:rFonts w:cs="Times New Roman"/>
      <w:color w:val="800080"/>
      <w:u w:val="single"/>
    </w:rPr>
  </w:style>
  <w:style w:type="paragraph" w:customStyle="1" w:styleId="firstline">
    <w:name w:val="firstline"/>
    <w:basedOn w:val="Normal"/>
    <w:uiPriority w:val="99"/>
    <w:rsid w:val="002D7859"/>
    <w:pPr>
      <w:spacing w:line="240" w:lineRule="atLeast"/>
      <w:ind w:firstLine="640"/>
      <w:jc w:val="both"/>
    </w:pPr>
    <w:rPr>
      <w:color w:val="000000"/>
    </w:rPr>
  </w:style>
  <w:style w:type="paragraph" w:styleId="PlainText">
    <w:name w:val="Plain Text"/>
    <w:basedOn w:val="Normal"/>
    <w:link w:val="PlainTextChar"/>
    <w:uiPriority w:val="99"/>
    <w:rsid w:val="00C37C2F"/>
    <w:pPr>
      <w:spacing w:before="100" w:beforeAutospacing="1" w:after="100" w:afterAutospacing="1"/>
    </w:pPr>
  </w:style>
  <w:style w:type="character" w:customStyle="1" w:styleId="PlainTextChar">
    <w:name w:val="Plain Text Char"/>
    <w:link w:val="PlainText"/>
    <w:uiPriority w:val="99"/>
    <w:locked/>
    <w:rsid w:val="00B17007"/>
    <w:rPr>
      <w:rFonts w:ascii="Courier New" w:hAnsi="Courier New" w:cs="Courier New"/>
      <w:sz w:val="20"/>
      <w:szCs w:val="20"/>
    </w:rPr>
  </w:style>
  <w:style w:type="character" w:customStyle="1" w:styleId="selection">
    <w:name w:val="selection"/>
    <w:uiPriority w:val="99"/>
    <w:rsid w:val="005806ED"/>
    <w:rPr>
      <w:rFonts w:cs="Times New Roman"/>
    </w:rPr>
  </w:style>
  <w:style w:type="paragraph" w:styleId="Footer">
    <w:name w:val="footer"/>
    <w:basedOn w:val="Normal"/>
    <w:link w:val="FooterChar"/>
    <w:uiPriority w:val="99"/>
    <w:rsid w:val="00797BA4"/>
    <w:pPr>
      <w:tabs>
        <w:tab w:val="center" w:pos="4536"/>
        <w:tab w:val="right" w:pos="9072"/>
      </w:tabs>
    </w:pPr>
  </w:style>
  <w:style w:type="character" w:customStyle="1" w:styleId="FooterChar">
    <w:name w:val="Footer Char"/>
    <w:link w:val="Footer"/>
    <w:uiPriority w:val="99"/>
    <w:locked/>
    <w:rsid w:val="00B17007"/>
    <w:rPr>
      <w:rFonts w:cs="Times New Roman"/>
      <w:sz w:val="24"/>
      <w:szCs w:val="24"/>
    </w:rPr>
  </w:style>
  <w:style w:type="paragraph" w:styleId="Title">
    <w:name w:val="Title"/>
    <w:basedOn w:val="Normal"/>
    <w:link w:val="TitleChar"/>
    <w:uiPriority w:val="99"/>
    <w:qFormat/>
    <w:rsid w:val="008E5000"/>
    <w:pPr>
      <w:spacing w:after="200"/>
      <w:ind w:firstLine="720"/>
      <w:jc w:val="center"/>
    </w:pPr>
    <w:rPr>
      <w:b/>
      <w:bCs/>
      <w:szCs w:val="20"/>
      <w:lang w:eastAsia="en-US"/>
    </w:rPr>
  </w:style>
  <w:style w:type="character" w:customStyle="1" w:styleId="TitleChar">
    <w:name w:val="Title Char"/>
    <w:link w:val="Title"/>
    <w:uiPriority w:val="99"/>
    <w:locked/>
    <w:rsid w:val="00B17007"/>
    <w:rPr>
      <w:rFonts w:ascii="Cambria" w:hAnsi="Cambria" w:cs="Times New Roman"/>
      <w:b/>
      <w:bCs/>
      <w:kern w:val="28"/>
      <w:sz w:val="32"/>
      <w:szCs w:val="32"/>
    </w:rPr>
  </w:style>
  <w:style w:type="paragraph" w:styleId="Index1">
    <w:name w:val="index 1"/>
    <w:basedOn w:val="Normal"/>
    <w:next w:val="Normal"/>
    <w:autoRedefine/>
    <w:uiPriority w:val="99"/>
    <w:semiHidden/>
    <w:rsid w:val="00D90A8E"/>
    <w:pPr>
      <w:ind w:left="240" w:hanging="240"/>
    </w:pPr>
  </w:style>
  <w:style w:type="paragraph" w:styleId="DocumentMap">
    <w:name w:val="Document Map"/>
    <w:basedOn w:val="Normal"/>
    <w:link w:val="DocumentMapChar"/>
    <w:uiPriority w:val="99"/>
    <w:semiHidden/>
    <w:rsid w:val="00017EB1"/>
    <w:pPr>
      <w:shd w:val="clear" w:color="auto" w:fill="000080"/>
    </w:pPr>
    <w:rPr>
      <w:rFonts w:ascii="Tahoma" w:hAnsi="Tahoma" w:cs="Tahoma"/>
      <w:sz w:val="20"/>
      <w:szCs w:val="20"/>
    </w:rPr>
  </w:style>
  <w:style w:type="character" w:customStyle="1" w:styleId="DocumentMapChar">
    <w:name w:val="Document Map Char"/>
    <w:link w:val="DocumentMap"/>
    <w:uiPriority w:val="99"/>
    <w:semiHidden/>
    <w:locked/>
    <w:rsid w:val="00B17007"/>
    <w:rPr>
      <w:rFonts w:cs="Times New Roman"/>
      <w:sz w:val="2"/>
    </w:rPr>
  </w:style>
  <w:style w:type="character" w:styleId="Strong">
    <w:name w:val="Strong"/>
    <w:uiPriority w:val="22"/>
    <w:qFormat/>
    <w:rsid w:val="001A4F7D"/>
    <w:rPr>
      <w:rFonts w:cs="Times New Roman"/>
      <w:b/>
      <w:bCs/>
    </w:rPr>
  </w:style>
  <w:style w:type="paragraph" w:styleId="NormalWeb">
    <w:name w:val="Normal (Web)"/>
    <w:basedOn w:val="Normal"/>
    <w:uiPriority w:val="99"/>
    <w:rsid w:val="00507250"/>
    <w:pPr>
      <w:spacing w:before="100" w:beforeAutospacing="1" w:after="100" w:afterAutospacing="1"/>
    </w:pPr>
  </w:style>
  <w:style w:type="table" w:styleId="TableGrid">
    <w:name w:val="Table Grid"/>
    <w:basedOn w:val="TableNormal"/>
    <w:uiPriority w:val="99"/>
    <w:rsid w:val="00E66B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ws">
    <w:name w:val="news"/>
    <w:basedOn w:val="Normal"/>
    <w:uiPriority w:val="99"/>
    <w:rsid w:val="00C159EE"/>
    <w:pPr>
      <w:spacing w:before="100" w:after="100"/>
    </w:pPr>
    <w:rPr>
      <w:rFonts w:ascii="Verdana" w:hAnsi="Verdana"/>
      <w:color w:val="000000"/>
      <w:sz w:val="17"/>
      <w:szCs w:val="20"/>
      <w:lang w:val="en-US"/>
    </w:rPr>
  </w:style>
  <w:style w:type="paragraph" w:customStyle="1" w:styleId="a1">
    <w:name w:val="Знак Знак"/>
    <w:basedOn w:val="Normal"/>
    <w:uiPriority w:val="99"/>
    <w:rsid w:val="009201BB"/>
    <w:pPr>
      <w:tabs>
        <w:tab w:val="left" w:pos="709"/>
      </w:tabs>
    </w:pPr>
    <w:rPr>
      <w:rFonts w:ascii="Tahoma" w:hAnsi="Tahoma"/>
      <w:lang w:val="pl-PL" w:eastAsia="pl-PL"/>
    </w:rPr>
  </w:style>
  <w:style w:type="paragraph" w:customStyle="1" w:styleId="NormalBold">
    <w:name w:val="Normal + Bold"/>
    <w:basedOn w:val="Normal"/>
    <w:uiPriority w:val="99"/>
    <w:rsid w:val="00632D9F"/>
    <w:pPr>
      <w:ind w:firstLine="708"/>
      <w:jc w:val="both"/>
    </w:pPr>
    <w:rPr>
      <w:b/>
    </w:rPr>
  </w:style>
  <w:style w:type="paragraph" w:styleId="CommentSubject">
    <w:name w:val="annotation subject"/>
    <w:basedOn w:val="CommentText"/>
    <w:next w:val="CommentText"/>
    <w:link w:val="CommentSubjectChar"/>
    <w:uiPriority w:val="99"/>
    <w:semiHidden/>
    <w:rsid w:val="008B6959"/>
    <w:rPr>
      <w:b/>
      <w:bCs/>
    </w:rPr>
  </w:style>
  <w:style w:type="character" w:customStyle="1" w:styleId="CommentSubjectChar">
    <w:name w:val="Comment Subject Char"/>
    <w:link w:val="CommentSubject"/>
    <w:uiPriority w:val="99"/>
    <w:semiHidden/>
    <w:locked/>
    <w:rsid w:val="00B17007"/>
    <w:rPr>
      <w:rFonts w:cs="Times New Roman"/>
      <w:b/>
      <w:bCs/>
      <w:sz w:val="20"/>
      <w:szCs w:val="20"/>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Normal"/>
    <w:uiPriority w:val="99"/>
    <w:rsid w:val="00BC0C49"/>
    <w:pPr>
      <w:tabs>
        <w:tab w:val="left" w:pos="709"/>
      </w:tabs>
    </w:pPr>
    <w:rPr>
      <w:rFonts w:ascii="Tahoma" w:hAnsi="Tahoma"/>
      <w:lang w:val="pl-PL" w:eastAsia="pl-PL"/>
    </w:rPr>
  </w:style>
  <w:style w:type="paragraph" w:customStyle="1" w:styleId="xl35">
    <w:name w:val="xl35"/>
    <w:basedOn w:val="Normal"/>
    <w:uiPriority w:val="99"/>
    <w:rsid w:val="00BC0C49"/>
    <w:pPr>
      <w:pBdr>
        <w:left w:val="single" w:sz="4" w:space="0" w:color="auto"/>
        <w:right w:val="single" w:sz="4" w:space="0" w:color="auto"/>
      </w:pBdr>
      <w:shd w:val="clear" w:color="auto" w:fill="C0C0C0"/>
      <w:spacing w:before="100" w:beforeAutospacing="1" w:after="100" w:afterAutospacing="1"/>
    </w:pPr>
    <w:rPr>
      <w:b/>
      <w:bCs/>
      <w:lang w:val="en-GB" w:eastAsia="en-US"/>
    </w:rPr>
  </w:style>
  <w:style w:type="paragraph" w:styleId="EndnoteText">
    <w:name w:val="endnote text"/>
    <w:basedOn w:val="Normal"/>
    <w:link w:val="EndnoteTextChar"/>
    <w:uiPriority w:val="99"/>
    <w:semiHidden/>
    <w:rsid w:val="00586A07"/>
    <w:rPr>
      <w:sz w:val="20"/>
      <w:szCs w:val="20"/>
    </w:rPr>
  </w:style>
  <w:style w:type="character" w:customStyle="1" w:styleId="EndnoteTextChar">
    <w:name w:val="Endnote Text Char"/>
    <w:link w:val="EndnoteText"/>
    <w:uiPriority w:val="99"/>
    <w:semiHidden/>
    <w:locked/>
    <w:rsid w:val="00B17007"/>
    <w:rPr>
      <w:rFonts w:cs="Times New Roman"/>
      <w:sz w:val="20"/>
      <w:szCs w:val="20"/>
    </w:rPr>
  </w:style>
  <w:style w:type="character" w:styleId="EndnoteReference">
    <w:name w:val="endnote reference"/>
    <w:uiPriority w:val="99"/>
    <w:semiHidden/>
    <w:rsid w:val="00586A07"/>
    <w:rPr>
      <w:rFonts w:cs="Times New Roman"/>
      <w:vertAlign w:val="superscript"/>
    </w:rPr>
  </w:style>
  <w:style w:type="paragraph" w:customStyle="1" w:styleId="CharCharCharChar">
    <w:name w:val="Char Char Char Char"/>
    <w:basedOn w:val="Normal"/>
    <w:rsid w:val="002F7471"/>
    <w:pPr>
      <w:spacing w:after="160" w:line="240" w:lineRule="exact"/>
    </w:pPr>
    <w:rPr>
      <w:rFonts w:ascii="Tahoma" w:hAnsi="Tahoma"/>
      <w:sz w:val="20"/>
      <w:szCs w:val="20"/>
      <w:lang w:val="en-US" w:eastAsia="en-US"/>
    </w:rPr>
  </w:style>
  <w:style w:type="character" w:customStyle="1" w:styleId="FontStyle17">
    <w:name w:val="Font Style17"/>
    <w:uiPriority w:val="99"/>
    <w:rsid w:val="00C65203"/>
    <w:rPr>
      <w:rFonts w:ascii="Times New Roman" w:hAnsi="Times New Roman"/>
      <w:sz w:val="22"/>
    </w:rPr>
  </w:style>
  <w:style w:type="character" w:customStyle="1" w:styleId="FontStyle25">
    <w:name w:val="Font Style25"/>
    <w:uiPriority w:val="99"/>
    <w:rsid w:val="00C65203"/>
    <w:rPr>
      <w:rFonts w:ascii="Arial" w:hAnsi="Arial"/>
      <w:sz w:val="20"/>
    </w:rPr>
  </w:style>
  <w:style w:type="paragraph" w:styleId="ListParagraph">
    <w:name w:val="List Paragraph"/>
    <w:aliases w:val="Recommendatio,Párrafo de lista,Recommendation,OBC Bullet,Dot pt,F5 List Paragraph,No Spacing1,List Paragraph Char Char Char,Indicator Text,Numbered Para 1,Bullet 1,Bullet Points,List Paragraph2,L,3,References,Colorful List - Accent 11"/>
    <w:basedOn w:val="Normal"/>
    <w:link w:val="ListParagraphChar"/>
    <w:uiPriority w:val="34"/>
    <w:qFormat/>
    <w:rsid w:val="00174EA8"/>
    <w:pPr>
      <w:ind w:left="720"/>
      <w:contextualSpacing/>
    </w:pPr>
  </w:style>
  <w:style w:type="character" w:customStyle="1" w:styleId="FootnoteCharacters">
    <w:name w:val="Footnote Characters"/>
    <w:uiPriority w:val="99"/>
    <w:rsid w:val="0027644C"/>
    <w:rPr>
      <w:rFonts w:cs="Times New Roman"/>
      <w:vertAlign w:val="superscript"/>
    </w:rPr>
  </w:style>
  <w:style w:type="character" w:customStyle="1" w:styleId="longtext">
    <w:name w:val="long_text"/>
    <w:uiPriority w:val="99"/>
    <w:rsid w:val="00B722CB"/>
    <w:rPr>
      <w:rFonts w:cs="Times New Roman"/>
    </w:rPr>
  </w:style>
  <w:style w:type="table" w:styleId="TableWeb3">
    <w:name w:val="Table Web 3"/>
    <w:basedOn w:val="TableNormal"/>
    <w:uiPriority w:val="99"/>
    <w:rsid w:val="00C26BEB"/>
    <w:rPr>
      <w:rFonts w:eastAsia="Batan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paragraph" w:customStyle="1" w:styleId="Style2">
    <w:name w:val="Style2"/>
    <w:basedOn w:val="Normal"/>
    <w:uiPriority w:val="99"/>
    <w:rsid w:val="00C26BEB"/>
    <w:rPr>
      <w:rFonts w:eastAsia="Batang"/>
      <w:lang w:eastAsia="ko-KR"/>
    </w:rPr>
  </w:style>
  <w:style w:type="paragraph" w:customStyle="1" w:styleId="footnot">
    <w:name w:val="footnot"/>
    <w:basedOn w:val="FootnoteText"/>
    <w:link w:val="footnotChar"/>
    <w:uiPriority w:val="99"/>
    <w:rsid w:val="0065435E"/>
    <w:pPr>
      <w:spacing w:after="60"/>
      <w:jc w:val="both"/>
    </w:pPr>
    <w:rPr>
      <w:rFonts w:ascii="Verdana" w:hAnsi="Verdana"/>
      <w:i/>
      <w:w w:val="90"/>
      <w:sz w:val="16"/>
    </w:rPr>
  </w:style>
  <w:style w:type="character" w:customStyle="1" w:styleId="footnotChar">
    <w:name w:val="footnot Char"/>
    <w:link w:val="footnot"/>
    <w:uiPriority w:val="99"/>
    <w:locked/>
    <w:rsid w:val="0065435E"/>
    <w:rPr>
      <w:rFonts w:ascii="Verdana" w:hAnsi="Verdana"/>
      <w:i/>
      <w:w w:val="90"/>
      <w:sz w:val="16"/>
      <w:lang w:val="bg-BG" w:eastAsia="bg-BG"/>
    </w:rPr>
  </w:style>
  <w:style w:type="table" w:styleId="TableContemporary">
    <w:name w:val="Table Contemporary"/>
    <w:basedOn w:val="TableNormal"/>
    <w:uiPriority w:val="99"/>
    <w:rsid w:val="00AE0517"/>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customStyle="1" w:styleId="CharCharCharCharCharCharChar">
    <w:name w:val="Char Char Знак Знак Char Знак Знак Char Char Char Знак Знак Char"/>
    <w:basedOn w:val="Normal"/>
    <w:uiPriority w:val="99"/>
    <w:rsid w:val="00D12312"/>
    <w:pPr>
      <w:tabs>
        <w:tab w:val="left" w:pos="709"/>
      </w:tabs>
    </w:pPr>
    <w:rPr>
      <w:rFonts w:ascii="Tahoma" w:hAnsi="Tahoma"/>
      <w:lang w:val="pl-PL" w:eastAsia="pl-PL"/>
    </w:rPr>
  </w:style>
  <w:style w:type="paragraph" w:customStyle="1" w:styleId="footnote">
    <w:name w:val="footnote"/>
    <w:basedOn w:val="Normal"/>
    <w:link w:val="footnoteChar"/>
    <w:uiPriority w:val="99"/>
    <w:rsid w:val="00211F7E"/>
    <w:pPr>
      <w:jc w:val="both"/>
    </w:pPr>
    <w:rPr>
      <w:rFonts w:ascii="Verdana" w:hAnsi="Verdana"/>
      <w:sz w:val="14"/>
      <w:szCs w:val="20"/>
      <w:lang w:eastAsia="en-US"/>
    </w:rPr>
  </w:style>
  <w:style w:type="character" w:customStyle="1" w:styleId="footnoteChar">
    <w:name w:val="footnote Char"/>
    <w:link w:val="footnote"/>
    <w:uiPriority w:val="99"/>
    <w:locked/>
    <w:rsid w:val="00211F7E"/>
    <w:rPr>
      <w:rFonts w:ascii="Verdana" w:hAnsi="Verdana"/>
      <w:sz w:val="14"/>
      <w:lang w:val="bg-BG" w:eastAsia="en-US"/>
    </w:rPr>
  </w:style>
  <w:style w:type="paragraph" w:customStyle="1" w:styleId="thefirstparagraph">
    <w:name w:val="the first paragraph"/>
    <w:basedOn w:val="Normal"/>
    <w:link w:val="thefirstparagraphChar"/>
    <w:uiPriority w:val="99"/>
    <w:rsid w:val="00211F7E"/>
    <w:pPr>
      <w:spacing w:after="120" w:line="260" w:lineRule="atLeast"/>
      <w:ind w:firstLine="567"/>
      <w:jc w:val="both"/>
    </w:pPr>
    <w:rPr>
      <w:rFonts w:ascii="Verdana" w:hAnsi="Verdana"/>
      <w:szCs w:val="20"/>
      <w:lang w:eastAsia="en-US"/>
    </w:rPr>
  </w:style>
  <w:style w:type="character" w:customStyle="1" w:styleId="thefirstparagraphChar">
    <w:name w:val="the first paragraph Char"/>
    <w:link w:val="thefirstparagraph"/>
    <w:uiPriority w:val="99"/>
    <w:locked/>
    <w:rsid w:val="00211F7E"/>
    <w:rPr>
      <w:rFonts w:ascii="Verdana" w:hAnsi="Verdana"/>
      <w:sz w:val="24"/>
      <w:lang w:val="bg-BG" w:eastAsia="en-US"/>
    </w:rPr>
  </w:style>
  <w:style w:type="character" w:styleId="Emphasis">
    <w:name w:val="Emphasis"/>
    <w:qFormat/>
    <w:rsid w:val="0030043D"/>
    <w:rPr>
      <w:rFonts w:cs="Times New Roman"/>
      <w:i/>
      <w:iCs/>
    </w:rPr>
  </w:style>
  <w:style w:type="character" w:customStyle="1" w:styleId="CharChar">
    <w:name w:val="Char Char"/>
    <w:uiPriority w:val="99"/>
    <w:rsid w:val="00FD1A7F"/>
    <w:rPr>
      <w:sz w:val="24"/>
      <w:lang w:val="bg-BG" w:eastAsia="bg-BG"/>
    </w:rPr>
  </w:style>
  <w:style w:type="paragraph" w:styleId="TOC4">
    <w:name w:val="toc 4"/>
    <w:basedOn w:val="Normal"/>
    <w:next w:val="Normal"/>
    <w:autoRedefine/>
    <w:uiPriority w:val="99"/>
    <w:locked/>
    <w:rsid w:val="002A7AB2"/>
    <w:pPr>
      <w:ind w:left="720"/>
    </w:pPr>
  </w:style>
  <w:style w:type="paragraph" w:styleId="TOC5">
    <w:name w:val="toc 5"/>
    <w:basedOn w:val="Normal"/>
    <w:next w:val="Normal"/>
    <w:autoRedefine/>
    <w:uiPriority w:val="99"/>
    <w:locked/>
    <w:rsid w:val="002A7AB2"/>
    <w:pPr>
      <w:ind w:left="960"/>
    </w:pPr>
  </w:style>
  <w:style w:type="paragraph" w:styleId="TOC6">
    <w:name w:val="toc 6"/>
    <w:basedOn w:val="Normal"/>
    <w:next w:val="Normal"/>
    <w:autoRedefine/>
    <w:uiPriority w:val="99"/>
    <w:locked/>
    <w:rsid w:val="002A7AB2"/>
    <w:pPr>
      <w:ind w:left="1200"/>
    </w:pPr>
  </w:style>
  <w:style w:type="paragraph" w:styleId="TOC7">
    <w:name w:val="toc 7"/>
    <w:basedOn w:val="Normal"/>
    <w:next w:val="Normal"/>
    <w:autoRedefine/>
    <w:uiPriority w:val="99"/>
    <w:locked/>
    <w:rsid w:val="002A7AB2"/>
    <w:pPr>
      <w:ind w:left="1440"/>
    </w:pPr>
  </w:style>
  <w:style w:type="paragraph" w:styleId="TOC8">
    <w:name w:val="toc 8"/>
    <w:basedOn w:val="Normal"/>
    <w:next w:val="Normal"/>
    <w:autoRedefine/>
    <w:uiPriority w:val="99"/>
    <w:locked/>
    <w:rsid w:val="002A7AB2"/>
    <w:pPr>
      <w:ind w:left="1680"/>
    </w:pPr>
  </w:style>
  <w:style w:type="paragraph" w:styleId="TOC9">
    <w:name w:val="toc 9"/>
    <w:basedOn w:val="Normal"/>
    <w:next w:val="Normal"/>
    <w:autoRedefine/>
    <w:uiPriority w:val="99"/>
    <w:locked/>
    <w:rsid w:val="002A7AB2"/>
    <w:pPr>
      <w:ind w:left="1920"/>
    </w:pPr>
  </w:style>
  <w:style w:type="character" w:customStyle="1" w:styleId="CharChar1">
    <w:name w:val="Char Char1"/>
    <w:uiPriority w:val="99"/>
    <w:rsid w:val="00287093"/>
    <w:rPr>
      <w:rFonts w:cs="Times New Roman"/>
      <w:sz w:val="24"/>
      <w:szCs w:val="24"/>
      <w:lang w:val="bg-BG" w:eastAsia="bg-BG" w:bidi="ar-SA"/>
    </w:rPr>
  </w:style>
  <w:style w:type="character" w:customStyle="1" w:styleId="CharChar11">
    <w:name w:val="Char Char11"/>
    <w:uiPriority w:val="99"/>
    <w:rsid w:val="00EC12E6"/>
    <w:rPr>
      <w:rFonts w:ascii="Arial" w:hAnsi="Arial" w:cs="Arial"/>
      <w:b/>
      <w:bCs/>
      <w:sz w:val="26"/>
      <w:szCs w:val="26"/>
      <w:lang w:val="en-AU" w:eastAsia="bg-BG" w:bidi="ar-SA"/>
    </w:rPr>
  </w:style>
  <w:style w:type="character" w:customStyle="1" w:styleId="CharChar2">
    <w:name w:val="Char Char2"/>
    <w:uiPriority w:val="99"/>
    <w:rsid w:val="006E4DEB"/>
    <w:rPr>
      <w:rFonts w:cs="Times New Roman"/>
      <w:sz w:val="24"/>
      <w:szCs w:val="24"/>
      <w:lang w:val="bg-BG" w:eastAsia="bg-BG" w:bidi="ar-SA"/>
    </w:rPr>
  </w:style>
  <w:style w:type="paragraph" w:customStyle="1" w:styleId="Char11">
    <w:name w:val="Char11"/>
    <w:basedOn w:val="Normal"/>
    <w:uiPriority w:val="99"/>
    <w:semiHidden/>
    <w:rsid w:val="00890890"/>
    <w:pPr>
      <w:tabs>
        <w:tab w:val="left" w:pos="709"/>
      </w:tabs>
    </w:pPr>
    <w:rPr>
      <w:rFonts w:ascii="Futura Bk" w:hAnsi="Futura Bk"/>
      <w:lang w:val="pl-PL" w:eastAsia="pl-PL"/>
    </w:rPr>
  </w:style>
  <w:style w:type="paragraph" w:styleId="NoSpacing">
    <w:name w:val="No Spacing"/>
    <w:uiPriority w:val="99"/>
    <w:qFormat/>
    <w:rsid w:val="00350AB2"/>
    <w:rPr>
      <w:sz w:val="24"/>
      <w:szCs w:val="24"/>
    </w:rPr>
  </w:style>
  <w:style w:type="character" w:customStyle="1" w:styleId="TablesourceChar">
    <w:name w:val="Table source Char"/>
    <w:link w:val="Tablesource"/>
    <w:locked/>
    <w:rsid w:val="002C4BAC"/>
    <w:rPr>
      <w:rFonts w:ascii="Calibri" w:hAnsi="Calibri"/>
      <w:bCs/>
      <w:i/>
    </w:rPr>
  </w:style>
  <w:style w:type="paragraph" w:customStyle="1" w:styleId="Tablesource">
    <w:name w:val="Table source"/>
    <w:basedOn w:val="Normal"/>
    <w:link w:val="TablesourceChar"/>
    <w:qFormat/>
    <w:rsid w:val="002C4BAC"/>
    <w:pPr>
      <w:spacing w:before="120" w:after="240"/>
      <w:ind w:right="432"/>
      <w:jc w:val="right"/>
      <w:outlineLvl w:val="3"/>
    </w:pPr>
    <w:rPr>
      <w:rFonts w:ascii="Calibri" w:hAnsi="Calibri"/>
      <w:bCs/>
      <w:i/>
      <w:sz w:val="22"/>
      <w:szCs w:val="22"/>
    </w:rPr>
  </w:style>
  <w:style w:type="paragraph" w:customStyle="1" w:styleId="listparagraphcxspmiddle">
    <w:name w:val="listparagraphcxspmiddle"/>
    <w:basedOn w:val="Normal"/>
    <w:rsid w:val="00621B56"/>
    <w:pPr>
      <w:spacing w:before="100" w:beforeAutospacing="1" w:after="100" w:afterAutospacing="1"/>
    </w:pPr>
  </w:style>
  <w:style w:type="paragraph" w:customStyle="1" w:styleId="Normal12pt">
    <w:name w:val="Normal + 12 pt"/>
    <w:basedOn w:val="BodyText"/>
    <w:link w:val="Normal12ptChar"/>
    <w:rsid w:val="005328CD"/>
    <w:pPr>
      <w:spacing w:after="0" w:line="288" w:lineRule="auto"/>
      <w:ind w:firstLine="720"/>
    </w:pPr>
    <w:rPr>
      <w:lang w:eastAsia="en-US"/>
    </w:rPr>
  </w:style>
  <w:style w:type="character" w:customStyle="1" w:styleId="Normal12ptChar">
    <w:name w:val="Normal + 12 pt Char"/>
    <w:link w:val="Normal12pt"/>
    <w:rsid w:val="005328CD"/>
    <w:rPr>
      <w:sz w:val="24"/>
      <w:szCs w:val="24"/>
      <w:lang w:eastAsia="en-US"/>
    </w:rPr>
  </w:style>
  <w:style w:type="numbering" w:customStyle="1" w:styleId="NoList1">
    <w:name w:val="No List1"/>
    <w:next w:val="NoList"/>
    <w:uiPriority w:val="99"/>
    <w:semiHidden/>
    <w:unhideWhenUsed/>
    <w:rsid w:val="00A45931"/>
  </w:style>
  <w:style w:type="numbering" w:customStyle="1" w:styleId="NoList11">
    <w:name w:val="No List11"/>
    <w:next w:val="NoList"/>
    <w:uiPriority w:val="99"/>
    <w:semiHidden/>
    <w:unhideWhenUsed/>
    <w:rsid w:val="00A45931"/>
  </w:style>
  <w:style w:type="table" w:customStyle="1" w:styleId="TableGrid1">
    <w:name w:val="Table Grid1"/>
    <w:basedOn w:val="TableNormal"/>
    <w:next w:val="TableGrid"/>
    <w:uiPriority w:val="39"/>
    <w:rsid w:val="00A459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31">
    <w:name w:val="Table Web 31"/>
    <w:basedOn w:val="TableNormal"/>
    <w:next w:val="TableWeb3"/>
    <w:uiPriority w:val="99"/>
    <w:rsid w:val="00A45931"/>
    <w:rPr>
      <w:rFonts w:eastAsia="Batan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1">
    <w:name w:val="Table Contemporary1"/>
    <w:basedOn w:val="TableNormal"/>
    <w:next w:val="TableContemporary"/>
    <w:uiPriority w:val="99"/>
    <w:rsid w:val="00A45931"/>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character" w:customStyle="1" w:styleId="FootnoteTextChar1">
    <w:name w:val="Footnote Text Char1"/>
    <w:aliases w:val="Fußnotentext arial Char1,Footnote1 Char1,Footnote2 Char1,Footnote3 Char1,stile 1 Char1,Footnote4 Char1,Footnote5 Char1,Footnote6 Char1,Footnote7 Char1,Footnote8 Char1,Footnote9 Char1,Footnote10 Char1,Footnote11 Char1,Footnote21 Char1"/>
    <w:uiPriority w:val="99"/>
    <w:semiHidden/>
    <w:rsid w:val="006E5AE0"/>
  </w:style>
  <w:style w:type="numbering" w:customStyle="1" w:styleId="NoList2">
    <w:name w:val="No List2"/>
    <w:next w:val="NoList"/>
    <w:uiPriority w:val="99"/>
    <w:semiHidden/>
    <w:unhideWhenUsed/>
    <w:rsid w:val="005B7425"/>
  </w:style>
  <w:style w:type="numbering" w:customStyle="1" w:styleId="NoList12">
    <w:name w:val="No List12"/>
    <w:next w:val="NoList"/>
    <w:uiPriority w:val="99"/>
    <w:semiHidden/>
    <w:unhideWhenUsed/>
    <w:rsid w:val="005B7425"/>
  </w:style>
  <w:style w:type="table" w:customStyle="1" w:styleId="TableGrid2">
    <w:name w:val="Table Grid2"/>
    <w:basedOn w:val="TableNormal"/>
    <w:next w:val="TableGrid"/>
    <w:rsid w:val="005B74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32">
    <w:name w:val="Table Web 32"/>
    <w:basedOn w:val="TableNormal"/>
    <w:next w:val="TableWeb3"/>
    <w:uiPriority w:val="99"/>
    <w:rsid w:val="005B7425"/>
    <w:rPr>
      <w:rFonts w:eastAsia="Batan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2">
    <w:name w:val="Table Contemporary2"/>
    <w:basedOn w:val="TableNormal"/>
    <w:next w:val="TableContemporary"/>
    <w:uiPriority w:val="99"/>
    <w:rsid w:val="005B7425"/>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customStyle="1" w:styleId="Style-1">
    <w:name w:val="Style-1"/>
    <w:rsid w:val="005B7425"/>
  </w:style>
  <w:style w:type="numbering" w:customStyle="1" w:styleId="NoList111">
    <w:name w:val="No List111"/>
    <w:next w:val="NoList"/>
    <w:uiPriority w:val="99"/>
    <w:semiHidden/>
    <w:unhideWhenUsed/>
    <w:rsid w:val="000C0975"/>
  </w:style>
  <w:style w:type="character" w:customStyle="1" w:styleId="Heading5Char">
    <w:name w:val="Heading 5 Char"/>
    <w:basedOn w:val="DefaultParagraphFont"/>
    <w:link w:val="Heading5"/>
    <w:rsid w:val="00E15A19"/>
    <w:rPr>
      <w:rFonts w:asciiTheme="majorHAnsi" w:eastAsiaTheme="majorEastAsia" w:hAnsiTheme="majorHAnsi" w:cstheme="majorBidi"/>
      <w:color w:val="365F91" w:themeColor="accent1" w:themeShade="BF"/>
      <w:sz w:val="24"/>
      <w:szCs w:val="24"/>
    </w:rPr>
  </w:style>
  <w:style w:type="numbering" w:customStyle="1" w:styleId="NoList3">
    <w:name w:val="No List3"/>
    <w:next w:val="NoList"/>
    <w:uiPriority w:val="99"/>
    <w:semiHidden/>
    <w:unhideWhenUsed/>
    <w:rsid w:val="00E15A19"/>
  </w:style>
  <w:style w:type="numbering" w:customStyle="1" w:styleId="NoList13">
    <w:name w:val="No List13"/>
    <w:next w:val="NoList"/>
    <w:uiPriority w:val="99"/>
    <w:semiHidden/>
    <w:unhideWhenUsed/>
    <w:rsid w:val="00E15A19"/>
  </w:style>
  <w:style w:type="table" w:customStyle="1" w:styleId="TableGrid3">
    <w:name w:val="Table Grid3"/>
    <w:basedOn w:val="TableNormal"/>
    <w:next w:val="TableGrid"/>
    <w:uiPriority w:val="99"/>
    <w:rsid w:val="00E15A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33">
    <w:name w:val="Table Web 33"/>
    <w:basedOn w:val="TableNormal"/>
    <w:next w:val="TableWeb3"/>
    <w:uiPriority w:val="99"/>
    <w:rsid w:val="00E15A19"/>
    <w:rPr>
      <w:rFonts w:eastAsia="Batan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3">
    <w:name w:val="Table Contemporary3"/>
    <w:basedOn w:val="TableNormal"/>
    <w:next w:val="TableContemporary"/>
    <w:uiPriority w:val="99"/>
    <w:rsid w:val="00E15A19"/>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numbering" w:customStyle="1" w:styleId="NoList112">
    <w:name w:val="No List112"/>
    <w:next w:val="NoList"/>
    <w:uiPriority w:val="99"/>
    <w:semiHidden/>
    <w:unhideWhenUsed/>
    <w:rsid w:val="00E15A19"/>
  </w:style>
  <w:style w:type="numbering" w:customStyle="1" w:styleId="NoList1111">
    <w:name w:val="No List1111"/>
    <w:next w:val="NoList"/>
    <w:uiPriority w:val="99"/>
    <w:semiHidden/>
    <w:unhideWhenUsed/>
    <w:rsid w:val="00E15A19"/>
  </w:style>
  <w:style w:type="table" w:customStyle="1" w:styleId="TableGrid11">
    <w:name w:val="Table Grid11"/>
    <w:basedOn w:val="TableNormal"/>
    <w:next w:val="TableGrid"/>
    <w:uiPriority w:val="39"/>
    <w:rsid w:val="00E15A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311">
    <w:name w:val="Table Web 311"/>
    <w:basedOn w:val="TableNormal"/>
    <w:next w:val="TableWeb3"/>
    <w:uiPriority w:val="99"/>
    <w:rsid w:val="00E15A19"/>
    <w:rPr>
      <w:rFonts w:eastAsia="Batan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11">
    <w:name w:val="Table Contemporary11"/>
    <w:basedOn w:val="TableNormal"/>
    <w:next w:val="TableContemporary"/>
    <w:uiPriority w:val="99"/>
    <w:rsid w:val="00E15A19"/>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numbering" w:customStyle="1" w:styleId="NoList21">
    <w:name w:val="No List21"/>
    <w:next w:val="NoList"/>
    <w:uiPriority w:val="99"/>
    <w:semiHidden/>
    <w:unhideWhenUsed/>
    <w:rsid w:val="00E15A19"/>
  </w:style>
  <w:style w:type="numbering" w:customStyle="1" w:styleId="NoList121">
    <w:name w:val="No List121"/>
    <w:next w:val="NoList"/>
    <w:uiPriority w:val="99"/>
    <w:semiHidden/>
    <w:unhideWhenUsed/>
    <w:rsid w:val="00E15A19"/>
  </w:style>
  <w:style w:type="table" w:customStyle="1" w:styleId="TableGrid21">
    <w:name w:val="Table Grid21"/>
    <w:basedOn w:val="TableNormal"/>
    <w:next w:val="TableGrid"/>
    <w:rsid w:val="00E15A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321">
    <w:name w:val="Table Web 321"/>
    <w:basedOn w:val="TableNormal"/>
    <w:next w:val="TableWeb3"/>
    <w:uiPriority w:val="99"/>
    <w:rsid w:val="00E15A19"/>
    <w:rPr>
      <w:rFonts w:eastAsia="Batan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21">
    <w:name w:val="Table Contemporary21"/>
    <w:basedOn w:val="TableNormal"/>
    <w:next w:val="TableContemporary"/>
    <w:uiPriority w:val="99"/>
    <w:rsid w:val="00E15A19"/>
    <w:tblPr>
      <w:tblStyleRowBandSize w:val="1"/>
      <w:tblBorders>
        <w:insideH w:val="single" w:sz="18" w:space="0" w:color="FFFFFF"/>
        <w:insideV w:val="single" w:sz="18" w:space="0" w:color="FFFFFF"/>
      </w:tblBorders>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numbering" w:customStyle="1" w:styleId="NoList4">
    <w:name w:val="No List4"/>
    <w:next w:val="NoList"/>
    <w:uiPriority w:val="99"/>
    <w:semiHidden/>
    <w:unhideWhenUsed/>
    <w:rsid w:val="000A3A1B"/>
  </w:style>
  <w:style w:type="paragraph" w:customStyle="1" w:styleId="tabletextleft">
    <w:name w:val="table text left"/>
    <w:basedOn w:val="Normal"/>
    <w:link w:val="tabletextleftChar"/>
    <w:rsid w:val="00454F7D"/>
    <w:pPr>
      <w:spacing w:before="20" w:after="20"/>
    </w:pPr>
    <w:rPr>
      <w:rFonts w:asciiTheme="minorHAnsi" w:eastAsia="MS Mincho" w:hAnsiTheme="minorHAnsi"/>
      <w:color w:val="404040" w:themeColor="text1" w:themeTint="BF"/>
      <w:sz w:val="18"/>
      <w:szCs w:val="20"/>
    </w:rPr>
  </w:style>
  <w:style w:type="character" w:customStyle="1" w:styleId="tabletextleftChar">
    <w:name w:val="table text left Char"/>
    <w:link w:val="tabletextleft"/>
    <w:rsid w:val="00454F7D"/>
    <w:rPr>
      <w:rFonts w:asciiTheme="minorHAnsi" w:eastAsia="MS Mincho" w:hAnsiTheme="minorHAnsi"/>
      <w:color w:val="404040" w:themeColor="text1" w:themeTint="BF"/>
      <w:sz w:val="18"/>
    </w:rPr>
  </w:style>
  <w:style w:type="table" w:customStyle="1" w:styleId="Style19">
    <w:name w:val="Style19"/>
    <w:basedOn w:val="TableNormal"/>
    <w:uiPriority w:val="99"/>
    <w:rsid w:val="00454F7D"/>
    <w:rPr>
      <w:rFonts w:ascii="Calibri" w:eastAsia="MS Mincho" w:hAnsi="Calibri"/>
      <w:sz w:val="18"/>
    </w:rPr>
    <w:tblPr>
      <w:tblBorders>
        <w:top w:val="single" w:sz="2" w:space="0" w:color="7F7F7F"/>
        <w:bottom w:val="single" w:sz="2" w:space="0" w:color="7F7F7F"/>
        <w:insideH w:val="single" w:sz="2" w:space="0" w:color="7F7F7F"/>
        <w:insideV w:val="single" w:sz="2" w:space="0" w:color="7F7F7F"/>
      </w:tblBorders>
    </w:tblPr>
  </w:style>
  <w:style w:type="paragraph" w:customStyle="1" w:styleId="m">
    <w:name w:val="m"/>
    <w:basedOn w:val="Normal"/>
    <w:rsid w:val="00F27C2E"/>
    <w:pPr>
      <w:spacing w:before="100" w:beforeAutospacing="1" w:after="100" w:afterAutospacing="1"/>
    </w:pPr>
  </w:style>
  <w:style w:type="paragraph" w:customStyle="1" w:styleId="Style7">
    <w:name w:val="Style7"/>
    <w:basedOn w:val="Normal"/>
    <w:rsid w:val="00F27C2E"/>
    <w:pPr>
      <w:widowControl w:val="0"/>
      <w:autoSpaceDE w:val="0"/>
      <w:autoSpaceDN w:val="0"/>
      <w:adjustRightInd w:val="0"/>
      <w:spacing w:line="274" w:lineRule="exact"/>
      <w:ind w:firstLine="763"/>
    </w:pPr>
  </w:style>
  <w:style w:type="paragraph" w:styleId="Revision">
    <w:name w:val="Revision"/>
    <w:hidden/>
    <w:uiPriority w:val="99"/>
    <w:semiHidden/>
    <w:rsid w:val="00761D6C"/>
    <w:rPr>
      <w:sz w:val="24"/>
      <w:szCs w:val="24"/>
    </w:rPr>
  </w:style>
  <w:style w:type="character" w:customStyle="1" w:styleId="ListParagraphChar">
    <w:name w:val="List Paragraph Char"/>
    <w:aliases w:val="Recommendatio Char,Párrafo de lista Char,Recommendation Char,OBC Bullet Char,Dot pt Char,F5 List Paragraph Char,No Spacing1 Char,List Paragraph Char Char Char Char,Indicator Text Char,Numbered Para 1 Char,Bullet 1 Char,L Char,3 Char"/>
    <w:link w:val="ListParagraph"/>
    <w:uiPriority w:val="34"/>
    <w:qFormat/>
    <w:rsid w:val="00761D6C"/>
    <w:rPr>
      <w:sz w:val="24"/>
      <w:szCs w:val="24"/>
    </w:rPr>
  </w:style>
  <w:style w:type="character" w:styleId="HTMLCite">
    <w:name w:val="HTML Cite"/>
    <w:uiPriority w:val="99"/>
    <w:unhideWhenUsed/>
    <w:rsid w:val="00761D6C"/>
    <w:rPr>
      <w:i/>
      <w:iCs/>
    </w:rPr>
  </w:style>
  <w:style w:type="character" w:customStyle="1" w:styleId="st1">
    <w:name w:val="st1"/>
    <w:rsid w:val="00761D6C"/>
  </w:style>
  <w:style w:type="character" w:customStyle="1" w:styleId="filename">
    <w:name w:val="filename"/>
    <w:basedOn w:val="DefaultParagraphFont"/>
    <w:rsid w:val="00761D6C"/>
  </w:style>
  <w:style w:type="character" w:customStyle="1" w:styleId="ldef1">
    <w:name w:val="ldef1"/>
    <w:rsid w:val="001900B7"/>
    <w:rPr>
      <w:rFonts w:ascii="Times New Roman" w:hAnsi="Times New Roman" w:cs="Times New Roman" w:hint="default"/>
      <w:color w:val="000000"/>
      <w:sz w:val="24"/>
      <w:szCs w:val="24"/>
    </w:rPr>
  </w:style>
  <w:style w:type="paragraph" w:customStyle="1" w:styleId="a2">
    <w:name w:val="Източник"/>
    <w:basedOn w:val="Normal"/>
    <w:link w:val="Char0"/>
    <w:rsid w:val="005F6B06"/>
    <w:pPr>
      <w:spacing w:before="60" w:after="240"/>
      <w:jc w:val="right"/>
    </w:pPr>
    <w:rPr>
      <w:rFonts w:eastAsia="Calibri"/>
      <w:sz w:val="18"/>
    </w:rPr>
  </w:style>
  <w:style w:type="character" w:customStyle="1" w:styleId="Char0">
    <w:name w:val="Източник Char"/>
    <w:link w:val="a2"/>
    <w:rsid w:val="005F6B06"/>
    <w:rPr>
      <w:rFonts w:eastAsia="Calibri"/>
      <w:sz w:val="18"/>
      <w:szCs w:val="24"/>
    </w:rPr>
  </w:style>
  <w:style w:type="character" w:customStyle="1" w:styleId="CaptionChar">
    <w:name w:val="Caption Char"/>
    <w:link w:val="Caption"/>
    <w:locked/>
    <w:rsid w:val="005F6B06"/>
    <w:rPr>
      <w:b/>
      <w:bCs/>
      <w:lang w:val="en-GB" w:eastAsia="en-US"/>
    </w:rPr>
  </w:style>
  <w:style w:type="numbering" w:customStyle="1" w:styleId="WWNum19">
    <w:name w:val="WWNum19"/>
    <w:rsid w:val="00CC09AC"/>
    <w:pPr>
      <w:numPr>
        <w:numId w:val="7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27390">
      <w:bodyDiv w:val="1"/>
      <w:marLeft w:val="0"/>
      <w:marRight w:val="0"/>
      <w:marTop w:val="0"/>
      <w:marBottom w:val="0"/>
      <w:divBdr>
        <w:top w:val="none" w:sz="0" w:space="0" w:color="auto"/>
        <w:left w:val="none" w:sz="0" w:space="0" w:color="auto"/>
        <w:bottom w:val="none" w:sz="0" w:space="0" w:color="auto"/>
        <w:right w:val="none" w:sz="0" w:space="0" w:color="auto"/>
      </w:divBdr>
    </w:div>
    <w:div w:id="21827331">
      <w:bodyDiv w:val="1"/>
      <w:marLeft w:val="0"/>
      <w:marRight w:val="0"/>
      <w:marTop w:val="0"/>
      <w:marBottom w:val="0"/>
      <w:divBdr>
        <w:top w:val="none" w:sz="0" w:space="0" w:color="auto"/>
        <w:left w:val="none" w:sz="0" w:space="0" w:color="auto"/>
        <w:bottom w:val="none" w:sz="0" w:space="0" w:color="auto"/>
        <w:right w:val="none" w:sz="0" w:space="0" w:color="auto"/>
      </w:divBdr>
    </w:div>
    <w:div w:id="39522737">
      <w:bodyDiv w:val="1"/>
      <w:marLeft w:val="0"/>
      <w:marRight w:val="0"/>
      <w:marTop w:val="0"/>
      <w:marBottom w:val="0"/>
      <w:divBdr>
        <w:top w:val="none" w:sz="0" w:space="0" w:color="auto"/>
        <w:left w:val="none" w:sz="0" w:space="0" w:color="auto"/>
        <w:bottom w:val="none" w:sz="0" w:space="0" w:color="auto"/>
        <w:right w:val="none" w:sz="0" w:space="0" w:color="auto"/>
      </w:divBdr>
    </w:div>
    <w:div w:id="59835474">
      <w:bodyDiv w:val="1"/>
      <w:marLeft w:val="0"/>
      <w:marRight w:val="0"/>
      <w:marTop w:val="0"/>
      <w:marBottom w:val="0"/>
      <w:divBdr>
        <w:top w:val="none" w:sz="0" w:space="0" w:color="auto"/>
        <w:left w:val="none" w:sz="0" w:space="0" w:color="auto"/>
        <w:bottom w:val="none" w:sz="0" w:space="0" w:color="auto"/>
        <w:right w:val="none" w:sz="0" w:space="0" w:color="auto"/>
      </w:divBdr>
    </w:div>
    <w:div w:id="102530742">
      <w:bodyDiv w:val="1"/>
      <w:marLeft w:val="0"/>
      <w:marRight w:val="0"/>
      <w:marTop w:val="0"/>
      <w:marBottom w:val="0"/>
      <w:divBdr>
        <w:top w:val="none" w:sz="0" w:space="0" w:color="auto"/>
        <w:left w:val="none" w:sz="0" w:space="0" w:color="auto"/>
        <w:bottom w:val="none" w:sz="0" w:space="0" w:color="auto"/>
        <w:right w:val="none" w:sz="0" w:space="0" w:color="auto"/>
      </w:divBdr>
    </w:div>
    <w:div w:id="118109166">
      <w:bodyDiv w:val="1"/>
      <w:marLeft w:val="0"/>
      <w:marRight w:val="0"/>
      <w:marTop w:val="0"/>
      <w:marBottom w:val="0"/>
      <w:divBdr>
        <w:top w:val="none" w:sz="0" w:space="0" w:color="auto"/>
        <w:left w:val="none" w:sz="0" w:space="0" w:color="auto"/>
        <w:bottom w:val="none" w:sz="0" w:space="0" w:color="auto"/>
        <w:right w:val="none" w:sz="0" w:space="0" w:color="auto"/>
      </w:divBdr>
    </w:div>
    <w:div w:id="132138932">
      <w:bodyDiv w:val="1"/>
      <w:marLeft w:val="0"/>
      <w:marRight w:val="0"/>
      <w:marTop w:val="0"/>
      <w:marBottom w:val="0"/>
      <w:divBdr>
        <w:top w:val="none" w:sz="0" w:space="0" w:color="auto"/>
        <w:left w:val="none" w:sz="0" w:space="0" w:color="auto"/>
        <w:bottom w:val="none" w:sz="0" w:space="0" w:color="auto"/>
        <w:right w:val="none" w:sz="0" w:space="0" w:color="auto"/>
      </w:divBdr>
    </w:div>
    <w:div w:id="134446039">
      <w:bodyDiv w:val="1"/>
      <w:marLeft w:val="0"/>
      <w:marRight w:val="0"/>
      <w:marTop w:val="0"/>
      <w:marBottom w:val="0"/>
      <w:divBdr>
        <w:top w:val="none" w:sz="0" w:space="0" w:color="auto"/>
        <w:left w:val="none" w:sz="0" w:space="0" w:color="auto"/>
        <w:bottom w:val="none" w:sz="0" w:space="0" w:color="auto"/>
        <w:right w:val="none" w:sz="0" w:space="0" w:color="auto"/>
      </w:divBdr>
    </w:div>
    <w:div w:id="138152805">
      <w:bodyDiv w:val="1"/>
      <w:marLeft w:val="0"/>
      <w:marRight w:val="0"/>
      <w:marTop w:val="0"/>
      <w:marBottom w:val="0"/>
      <w:divBdr>
        <w:top w:val="none" w:sz="0" w:space="0" w:color="auto"/>
        <w:left w:val="none" w:sz="0" w:space="0" w:color="auto"/>
        <w:bottom w:val="none" w:sz="0" w:space="0" w:color="auto"/>
        <w:right w:val="none" w:sz="0" w:space="0" w:color="auto"/>
      </w:divBdr>
    </w:div>
    <w:div w:id="141701898">
      <w:bodyDiv w:val="1"/>
      <w:marLeft w:val="0"/>
      <w:marRight w:val="0"/>
      <w:marTop w:val="0"/>
      <w:marBottom w:val="0"/>
      <w:divBdr>
        <w:top w:val="none" w:sz="0" w:space="0" w:color="auto"/>
        <w:left w:val="none" w:sz="0" w:space="0" w:color="auto"/>
        <w:bottom w:val="none" w:sz="0" w:space="0" w:color="auto"/>
        <w:right w:val="none" w:sz="0" w:space="0" w:color="auto"/>
      </w:divBdr>
    </w:div>
    <w:div w:id="156112077">
      <w:bodyDiv w:val="1"/>
      <w:marLeft w:val="0"/>
      <w:marRight w:val="0"/>
      <w:marTop w:val="0"/>
      <w:marBottom w:val="0"/>
      <w:divBdr>
        <w:top w:val="none" w:sz="0" w:space="0" w:color="auto"/>
        <w:left w:val="none" w:sz="0" w:space="0" w:color="auto"/>
        <w:bottom w:val="none" w:sz="0" w:space="0" w:color="auto"/>
        <w:right w:val="none" w:sz="0" w:space="0" w:color="auto"/>
      </w:divBdr>
    </w:div>
    <w:div w:id="163937269">
      <w:bodyDiv w:val="1"/>
      <w:marLeft w:val="0"/>
      <w:marRight w:val="0"/>
      <w:marTop w:val="0"/>
      <w:marBottom w:val="0"/>
      <w:divBdr>
        <w:top w:val="none" w:sz="0" w:space="0" w:color="auto"/>
        <w:left w:val="none" w:sz="0" w:space="0" w:color="auto"/>
        <w:bottom w:val="none" w:sz="0" w:space="0" w:color="auto"/>
        <w:right w:val="none" w:sz="0" w:space="0" w:color="auto"/>
      </w:divBdr>
    </w:div>
    <w:div w:id="169223661">
      <w:bodyDiv w:val="1"/>
      <w:marLeft w:val="0"/>
      <w:marRight w:val="0"/>
      <w:marTop w:val="0"/>
      <w:marBottom w:val="0"/>
      <w:divBdr>
        <w:top w:val="none" w:sz="0" w:space="0" w:color="auto"/>
        <w:left w:val="none" w:sz="0" w:space="0" w:color="auto"/>
        <w:bottom w:val="none" w:sz="0" w:space="0" w:color="auto"/>
        <w:right w:val="none" w:sz="0" w:space="0" w:color="auto"/>
      </w:divBdr>
    </w:div>
    <w:div w:id="169414313">
      <w:bodyDiv w:val="1"/>
      <w:marLeft w:val="0"/>
      <w:marRight w:val="0"/>
      <w:marTop w:val="0"/>
      <w:marBottom w:val="0"/>
      <w:divBdr>
        <w:top w:val="none" w:sz="0" w:space="0" w:color="auto"/>
        <w:left w:val="none" w:sz="0" w:space="0" w:color="auto"/>
        <w:bottom w:val="none" w:sz="0" w:space="0" w:color="auto"/>
        <w:right w:val="none" w:sz="0" w:space="0" w:color="auto"/>
      </w:divBdr>
    </w:div>
    <w:div w:id="176971586">
      <w:bodyDiv w:val="1"/>
      <w:marLeft w:val="0"/>
      <w:marRight w:val="0"/>
      <w:marTop w:val="0"/>
      <w:marBottom w:val="0"/>
      <w:divBdr>
        <w:top w:val="none" w:sz="0" w:space="0" w:color="auto"/>
        <w:left w:val="none" w:sz="0" w:space="0" w:color="auto"/>
        <w:bottom w:val="none" w:sz="0" w:space="0" w:color="auto"/>
        <w:right w:val="none" w:sz="0" w:space="0" w:color="auto"/>
      </w:divBdr>
    </w:div>
    <w:div w:id="177935445">
      <w:bodyDiv w:val="1"/>
      <w:marLeft w:val="0"/>
      <w:marRight w:val="0"/>
      <w:marTop w:val="0"/>
      <w:marBottom w:val="0"/>
      <w:divBdr>
        <w:top w:val="none" w:sz="0" w:space="0" w:color="auto"/>
        <w:left w:val="none" w:sz="0" w:space="0" w:color="auto"/>
        <w:bottom w:val="none" w:sz="0" w:space="0" w:color="auto"/>
        <w:right w:val="none" w:sz="0" w:space="0" w:color="auto"/>
      </w:divBdr>
    </w:div>
    <w:div w:id="181743757">
      <w:bodyDiv w:val="1"/>
      <w:marLeft w:val="0"/>
      <w:marRight w:val="0"/>
      <w:marTop w:val="0"/>
      <w:marBottom w:val="0"/>
      <w:divBdr>
        <w:top w:val="none" w:sz="0" w:space="0" w:color="auto"/>
        <w:left w:val="none" w:sz="0" w:space="0" w:color="auto"/>
        <w:bottom w:val="none" w:sz="0" w:space="0" w:color="auto"/>
        <w:right w:val="none" w:sz="0" w:space="0" w:color="auto"/>
      </w:divBdr>
    </w:div>
    <w:div w:id="187719866">
      <w:bodyDiv w:val="1"/>
      <w:marLeft w:val="0"/>
      <w:marRight w:val="0"/>
      <w:marTop w:val="0"/>
      <w:marBottom w:val="0"/>
      <w:divBdr>
        <w:top w:val="none" w:sz="0" w:space="0" w:color="auto"/>
        <w:left w:val="none" w:sz="0" w:space="0" w:color="auto"/>
        <w:bottom w:val="none" w:sz="0" w:space="0" w:color="auto"/>
        <w:right w:val="none" w:sz="0" w:space="0" w:color="auto"/>
      </w:divBdr>
    </w:div>
    <w:div w:id="195699466">
      <w:bodyDiv w:val="1"/>
      <w:marLeft w:val="0"/>
      <w:marRight w:val="0"/>
      <w:marTop w:val="0"/>
      <w:marBottom w:val="0"/>
      <w:divBdr>
        <w:top w:val="none" w:sz="0" w:space="0" w:color="auto"/>
        <w:left w:val="none" w:sz="0" w:space="0" w:color="auto"/>
        <w:bottom w:val="none" w:sz="0" w:space="0" w:color="auto"/>
        <w:right w:val="none" w:sz="0" w:space="0" w:color="auto"/>
      </w:divBdr>
    </w:div>
    <w:div w:id="200481042">
      <w:bodyDiv w:val="1"/>
      <w:marLeft w:val="0"/>
      <w:marRight w:val="0"/>
      <w:marTop w:val="0"/>
      <w:marBottom w:val="0"/>
      <w:divBdr>
        <w:top w:val="none" w:sz="0" w:space="0" w:color="auto"/>
        <w:left w:val="none" w:sz="0" w:space="0" w:color="auto"/>
        <w:bottom w:val="none" w:sz="0" w:space="0" w:color="auto"/>
        <w:right w:val="none" w:sz="0" w:space="0" w:color="auto"/>
      </w:divBdr>
    </w:div>
    <w:div w:id="205872781">
      <w:bodyDiv w:val="1"/>
      <w:marLeft w:val="0"/>
      <w:marRight w:val="0"/>
      <w:marTop w:val="0"/>
      <w:marBottom w:val="0"/>
      <w:divBdr>
        <w:top w:val="none" w:sz="0" w:space="0" w:color="auto"/>
        <w:left w:val="none" w:sz="0" w:space="0" w:color="auto"/>
        <w:bottom w:val="none" w:sz="0" w:space="0" w:color="auto"/>
        <w:right w:val="none" w:sz="0" w:space="0" w:color="auto"/>
      </w:divBdr>
    </w:div>
    <w:div w:id="219749573">
      <w:bodyDiv w:val="1"/>
      <w:marLeft w:val="0"/>
      <w:marRight w:val="0"/>
      <w:marTop w:val="0"/>
      <w:marBottom w:val="0"/>
      <w:divBdr>
        <w:top w:val="none" w:sz="0" w:space="0" w:color="auto"/>
        <w:left w:val="none" w:sz="0" w:space="0" w:color="auto"/>
        <w:bottom w:val="none" w:sz="0" w:space="0" w:color="auto"/>
        <w:right w:val="none" w:sz="0" w:space="0" w:color="auto"/>
      </w:divBdr>
    </w:div>
    <w:div w:id="271135474">
      <w:bodyDiv w:val="1"/>
      <w:marLeft w:val="0"/>
      <w:marRight w:val="0"/>
      <w:marTop w:val="0"/>
      <w:marBottom w:val="0"/>
      <w:divBdr>
        <w:top w:val="none" w:sz="0" w:space="0" w:color="auto"/>
        <w:left w:val="none" w:sz="0" w:space="0" w:color="auto"/>
        <w:bottom w:val="none" w:sz="0" w:space="0" w:color="auto"/>
        <w:right w:val="none" w:sz="0" w:space="0" w:color="auto"/>
      </w:divBdr>
    </w:div>
    <w:div w:id="290062386">
      <w:bodyDiv w:val="1"/>
      <w:marLeft w:val="0"/>
      <w:marRight w:val="0"/>
      <w:marTop w:val="0"/>
      <w:marBottom w:val="0"/>
      <w:divBdr>
        <w:top w:val="none" w:sz="0" w:space="0" w:color="auto"/>
        <w:left w:val="none" w:sz="0" w:space="0" w:color="auto"/>
        <w:bottom w:val="none" w:sz="0" w:space="0" w:color="auto"/>
        <w:right w:val="none" w:sz="0" w:space="0" w:color="auto"/>
      </w:divBdr>
    </w:div>
    <w:div w:id="299381750">
      <w:bodyDiv w:val="1"/>
      <w:marLeft w:val="0"/>
      <w:marRight w:val="0"/>
      <w:marTop w:val="0"/>
      <w:marBottom w:val="0"/>
      <w:divBdr>
        <w:top w:val="none" w:sz="0" w:space="0" w:color="auto"/>
        <w:left w:val="none" w:sz="0" w:space="0" w:color="auto"/>
        <w:bottom w:val="none" w:sz="0" w:space="0" w:color="auto"/>
        <w:right w:val="none" w:sz="0" w:space="0" w:color="auto"/>
      </w:divBdr>
    </w:div>
    <w:div w:id="305012412">
      <w:bodyDiv w:val="1"/>
      <w:marLeft w:val="0"/>
      <w:marRight w:val="0"/>
      <w:marTop w:val="0"/>
      <w:marBottom w:val="0"/>
      <w:divBdr>
        <w:top w:val="none" w:sz="0" w:space="0" w:color="auto"/>
        <w:left w:val="none" w:sz="0" w:space="0" w:color="auto"/>
        <w:bottom w:val="none" w:sz="0" w:space="0" w:color="auto"/>
        <w:right w:val="none" w:sz="0" w:space="0" w:color="auto"/>
      </w:divBdr>
    </w:div>
    <w:div w:id="311755664">
      <w:bodyDiv w:val="1"/>
      <w:marLeft w:val="0"/>
      <w:marRight w:val="0"/>
      <w:marTop w:val="0"/>
      <w:marBottom w:val="0"/>
      <w:divBdr>
        <w:top w:val="none" w:sz="0" w:space="0" w:color="auto"/>
        <w:left w:val="none" w:sz="0" w:space="0" w:color="auto"/>
        <w:bottom w:val="none" w:sz="0" w:space="0" w:color="auto"/>
        <w:right w:val="none" w:sz="0" w:space="0" w:color="auto"/>
      </w:divBdr>
    </w:div>
    <w:div w:id="312636029">
      <w:bodyDiv w:val="1"/>
      <w:marLeft w:val="0"/>
      <w:marRight w:val="0"/>
      <w:marTop w:val="0"/>
      <w:marBottom w:val="0"/>
      <w:divBdr>
        <w:top w:val="none" w:sz="0" w:space="0" w:color="auto"/>
        <w:left w:val="none" w:sz="0" w:space="0" w:color="auto"/>
        <w:bottom w:val="none" w:sz="0" w:space="0" w:color="auto"/>
        <w:right w:val="none" w:sz="0" w:space="0" w:color="auto"/>
      </w:divBdr>
    </w:div>
    <w:div w:id="320624099">
      <w:bodyDiv w:val="1"/>
      <w:marLeft w:val="0"/>
      <w:marRight w:val="0"/>
      <w:marTop w:val="0"/>
      <w:marBottom w:val="0"/>
      <w:divBdr>
        <w:top w:val="none" w:sz="0" w:space="0" w:color="auto"/>
        <w:left w:val="none" w:sz="0" w:space="0" w:color="auto"/>
        <w:bottom w:val="none" w:sz="0" w:space="0" w:color="auto"/>
        <w:right w:val="none" w:sz="0" w:space="0" w:color="auto"/>
      </w:divBdr>
    </w:div>
    <w:div w:id="336151655">
      <w:bodyDiv w:val="1"/>
      <w:marLeft w:val="0"/>
      <w:marRight w:val="0"/>
      <w:marTop w:val="0"/>
      <w:marBottom w:val="0"/>
      <w:divBdr>
        <w:top w:val="none" w:sz="0" w:space="0" w:color="auto"/>
        <w:left w:val="none" w:sz="0" w:space="0" w:color="auto"/>
        <w:bottom w:val="none" w:sz="0" w:space="0" w:color="auto"/>
        <w:right w:val="none" w:sz="0" w:space="0" w:color="auto"/>
      </w:divBdr>
    </w:div>
    <w:div w:id="351613829">
      <w:bodyDiv w:val="1"/>
      <w:marLeft w:val="0"/>
      <w:marRight w:val="0"/>
      <w:marTop w:val="0"/>
      <w:marBottom w:val="0"/>
      <w:divBdr>
        <w:top w:val="none" w:sz="0" w:space="0" w:color="auto"/>
        <w:left w:val="none" w:sz="0" w:space="0" w:color="auto"/>
        <w:bottom w:val="none" w:sz="0" w:space="0" w:color="auto"/>
        <w:right w:val="none" w:sz="0" w:space="0" w:color="auto"/>
      </w:divBdr>
    </w:div>
    <w:div w:id="355545102">
      <w:bodyDiv w:val="1"/>
      <w:marLeft w:val="0"/>
      <w:marRight w:val="0"/>
      <w:marTop w:val="0"/>
      <w:marBottom w:val="0"/>
      <w:divBdr>
        <w:top w:val="none" w:sz="0" w:space="0" w:color="auto"/>
        <w:left w:val="none" w:sz="0" w:space="0" w:color="auto"/>
        <w:bottom w:val="none" w:sz="0" w:space="0" w:color="auto"/>
        <w:right w:val="none" w:sz="0" w:space="0" w:color="auto"/>
      </w:divBdr>
    </w:div>
    <w:div w:id="363988877">
      <w:bodyDiv w:val="1"/>
      <w:marLeft w:val="0"/>
      <w:marRight w:val="0"/>
      <w:marTop w:val="0"/>
      <w:marBottom w:val="0"/>
      <w:divBdr>
        <w:top w:val="none" w:sz="0" w:space="0" w:color="auto"/>
        <w:left w:val="none" w:sz="0" w:space="0" w:color="auto"/>
        <w:bottom w:val="none" w:sz="0" w:space="0" w:color="auto"/>
        <w:right w:val="none" w:sz="0" w:space="0" w:color="auto"/>
      </w:divBdr>
    </w:div>
    <w:div w:id="402261230">
      <w:bodyDiv w:val="1"/>
      <w:marLeft w:val="0"/>
      <w:marRight w:val="0"/>
      <w:marTop w:val="0"/>
      <w:marBottom w:val="0"/>
      <w:divBdr>
        <w:top w:val="none" w:sz="0" w:space="0" w:color="auto"/>
        <w:left w:val="none" w:sz="0" w:space="0" w:color="auto"/>
        <w:bottom w:val="none" w:sz="0" w:space="0" w:color="auto"/>
        <w:right w:val="none" w:sz="0" w:space="0" w:color="auto"/>
      </w:divBdr>
    </w:div>
    <w:div w:id="405568378">
      <w:bodyDiv w:val="1"/>
      <w:marLeft w:val="0"/>
      <w:marRight w:val="0"/>
      <w:marTop w:val="0"/>
      <w:marBottom w:val="0"/>
      <w:divBdr>
        <w:top w:val="none" w:sz="0" w:space="0" w:color="auto"/>
        <w:left w:val="none" w:sz="0" w:space="0" w:color="auto"/>
        <w:bottom w:val="none" w:sz="0" w:space="0" w:color="auto"/>
        <w:right w:val="none" w:sz="0" w:space="0" w:color="auto"/>
      </w:divBdr>
    </w:div>
    <w:div w:id="417948151">
      <w:bodyDiv w:val="1"/>
      <w:marLeft w:val="0"/>
      <w:marRight w:val="0"/>
      <w:marTop w:val="0"/>
      <w:marBottom w:val="0"/>
      <w:divBdr>
        <w:top w:val="none" w:sz="0" w:space="0" w:color="auto"/>
        <w:left w:val="none" w:sz="0" w:space="0" w:color="auto"/>
        <w:bottom w:val="none" w:sz="0" w:space="0" w:color="auto"/>
        <w:right w:val="none" w:sz="0" w:space="0" w:color="auto"/>
      </w:divBdr>
    </w:div>
    <w:div w:id="433980737">
      <w:bodyDiv w:val="1"/>
      <w:marLeft w:val="0"/>
      <w:marRight w:val="0"/>
      <w:marTop w:val="0"/>
      <w:marBottom w:val="0"/>
      <w:divBdr>
        <w:top w:val="none" w:sz="0" w:space="0" w:color="auto"/>
        <w:left w:val="none" w:sz="0" w:space="0" w:color="auto"/>
        <w:bottom w:val="none" w:sz="0" w:space="0" w:color="auto"/>
        <w:right w:val="none" w:sz="0" w:space="0" w:color="auto"/>
      </w:divBdr>
    </w:div>
    <w:div w:id="438991638">
      <w:bodyDiv w:val="1"/>
      <w:marLeft w:val="0"/>
      <w:marRight w:val="0"/>
      <w:marTop w:val="0"/>
      <w:marBottom w:val="0"/>
      <w:divBdr>
        <w:top w:val="none" w:sz="0" w:space="0" w:color="auto"/>
        <w:left w:val="none" w:sz="0" w:space="0" w:color="auto"/>
        <w:bottom w:val="none" w:sz="0" w:space="0" w:color="auto"/>
        <w:right w:val="none" w:sz="0" w:space="0" w:color="auto"/>
      </w:divBdr>
    </w:div>
    <w:div w:id="441997596">
      <w:bodyDiv w:val="1"/>
      <w:marLeft w:val="0"/>
      <w:marRight w:val="0"/>
      <w:marTop w:val="0"/>
      <w:marBottom w:val="0"/>
      <w:divBdr>
        <w:top w:val="none" w:sz="0" w:space="0" w:color="auto"/>
        <w:left w:val="none" w:sz="0" w:space="0" w:color="auto"/>
        <w:bottom w:val="none" w:sz="0" w:space="0" w:color="auto"/>
        <w:right w:val="none" w:sz="0" w:space="0" w:color="auto"/>
      </w:divBdr>
    </w:div>
    <w:div w:id="454370946">
      <w:bodyDiv w:val="1"/>
      <w:marLeft w:val="0"/>
      <w:marRight w:val="0"/>
      <w:marTop w:val="0"/>
      <w:marBottom w:val="0"/>
      <w:divBdr>
        <w:top w:val="none" w:sz="0" w:space="0" w:color="auto"/>
        <w:left w:val="none" w:sz="0" w:space="0" w:color="auto"/>
        <w:bottom w:val="none" w:sz="0" w:space="0" w:color="auto"/>
        <w:right w:val="none" w:sz="0" w:space="0" w:color="auto"/>
      </w:divBdr>
    </w:div>
    <w:div w:id="454911939">
      <w:bodyDiv w:val="1"/>
      <w:marLeft w:val="0"/>
      <w:marRight w:val="0"/>
      <w:marTop w:val="0"/>
      <w:marBottom w:val="0"/>
      <w:divBdr>
        <w:top w:val="none" w:sz="0" w:space="0" w:color="auto"/>
        <w:left w:val="none" w:sz="0" w:space="0" w:color="auto"/>
        <w:bottom w:val="none" w:sz="0" w:space="0" w:color="auto"/>
        <w:right w:val="none" w:sz="0" w:space="0" w:color="auto"/>
      </w:divBdr>
    </w:div>
    <w:div w:id="464084685">
      <w:bodyDiv w:val="1"/>
      <w:marLeft w:val="0"/>
      <w:marRight w:val="0"/>
      <w:marTop w:val="0"/>
      <w:marBottom w:val="0"/>
      <w:divBdr>
        <w:top w:val="none" w:sz="0" w:space="0" w:color="auto"/>
        <w:left w:val="none" w:sz="0" w:space="0" w:color="auto"/>
        <w:bottom w:val="none" w:sz="0" w:space="0" w:color="auto"/>
        <w:right w:val="none" w:sz="0" w:space="0" w:color="auto"/>
      </w:divBdr>
    </w:div>
    <w:div w:id="474496675">
      <w:bodyDiv w:val="1"/>
      <w:marLeft w:val="0"/>
      <w:marRight w:val="0"/>
      <w:marTop w:val="0"/>
      <w:marBottom w:val="0"/>
      <w:divBdr>
        <w:top w:val="none" w:sz="0" w:space="0" w:color="auto"/>
        <w:left w:val="none" w:sz="0" w:space="0" w:color="auto"/>
        <w:bottom w:val="none" w:sz="0" w:space="0" w:color="auto"/>
        <w:right w:val="none" w:sz="0" w:space="0" w:color="auto"/>
      </w:divBdr>
    </w:div>
    <w:div w:id="502357401">
      <w:bodyDiv w:val="1"/>
      <w:marLeft w:val="0"/>
      <w:marRight w:val="0"/>
      <w:marTop w:val="0"/>
      <w:marBottom w:val="0"/>
      <w:divBdr>
        <w:top w:val="none" w:sz="0" w:space="0" w:color="auto"/>
        <w:left w:val="none" w:sz="0" w:space="0" w:color="auto"/>
        <w:bottom w:val="none" w:sz="0" w:space="0" w:color="auto"/>
        <w:right w:val="none" w:sz="0" w:space="0" w:color="auto"/>
      </w:divBdr>
    </w:div>
    <w:div w:id="506988465">
      <w:bodyDiv w:val="1"/>
      <w:marLeft w:val="0"/>
      <w:marRight w:val="0"/>
      <w:marTop w:val="0"/>
      <w:marBottom w:val="0"/>
      <w:divBdr>
        <w:top w:val="none" w:sz="0" w:space="0" w:color="auto"/>
        <w:left w:val="none" w:sz="0" w:space="0" w:color="auto"/>
        <w:bottom w:val="none" w:sz="0" w:space="0" w:color="auto"/>
        <w:right w:val="none" w:sz="0" w:space="0" w:color="auto"/>
      </w:divBdr>
    </w:div>
    <w:div w:id="515458540">
      <w:bodyDiv w:val="1"/>
      <w:marLeft w:val="0"/>
      <w:marRight w:val="0"/>
      <w:marTop w:val="0"/>
      <w:marBottom w:val="0"/>
      <w:divBdr>
        <w:top w:val="none" w:sz="0" w:space="0" w:color="auto"/>
        <w:left w:val="none" w:sz="0" w:space="0" w:color="auto"/>
        <w:bottom w:val="none" w:sz="0" w:space="0" w:color="auto"/>
        <w:right w:val="none" w:sz="0" w:space="0" w:color="auto"/>
      </w:divBdr>
    </w:div>
    <w:div w:id="522476342">
      <w:bodyDiv w:val="1"/>
      <w:marLeft w:val="0"/>
      <w:marRight w:val="0"/>
      <w:marTop w:val="0"/>
      <w:marBottom w:val="0"/>
      <w:divBdr>
        <w:top w:val="none" w:sz="0" w:space="0" w:color="auto"/>
        <w:left w:val="none" w:sz="0" w:space="0" w:color="auto"/>
        <w:bottom w:val="none" w:sz="0" w:space="0" w:color="auto"/>
        <w:right w:val="none" w:sz="0" w:space="0" w:color="auto"/>
      </w:divBdr>
    </w:div>
    <w:div w:id="527261216">
      <w:bodyDiv w:val="1"/>
      <w:marLeft w:val="0"/>
      <w:marRight w:val="0"/>
      <w:marTop w:val="0"/>
      <w:marBottom w:val="0"/>
      <w:divBdr>
        <w:top w:val="none" w:sz="0" w:space="0" w:color="auto"/>
        <w:left w:val="none" w:sz="0" w:space="0" w:color="auto"/>
        <w:bottom w:val="none" w:sz="0" w:space="0" w:color="auto"/>
        <w:right w:val="none" w:sz="0" w:space="0" w:color="auto"/>
      </w:divBdr>
    </w:div>
    <w:div w:id="564267528">
      <w:bodyDiv w:val="1"/>
      <w:marLeft w:val="0"/>
      <w:marRight w:val="0"/>
      <w:marTop w:val="0"/>
      <w:marBottom w:val="0"/>
      <w:divBdr>
        <w:top w:val="none" w:sz="0" w:space="0" w:color="auto"/>
        <w:left w:val="none" w:sz="0" w:space="0" w:color="auto"/>
        <w:bottom w:val="none" w:sz="0" w:space="0" w:color="auto"/>
        <w:right w:val="none" w:sz="0" w:space="0" w:color="auto"/>
      </w:divBdr>
    </w:div>
    <w:div w:id="570118820">
      <w:bodyDiv w:val="1"/>
      <w:marLeft w:val="0"/>
      <w:marRight w:val="0"/>
      <w:marTop w:val="0"/>
      <w:marBottom w:val="0"/>
      <w:divBdr>
        <w:top w:val="none" w:sz="0" w:space="0" w:color="auto"/>
        <w:left w:val="none" w:sz="0" w:space="0" w:color="auto"/>
        <w:bottom w:val="none" w:sz="0" w:space="0" w:color="auto"/>
        <w:right w:val="none" w:sz="0" w:space="0" w:color="auto"/>
      </w:divBdr>
    </w:div>
    <w:div w:id="593247948">
      <w:bodyDiv w:val="1"/>
      <w:marLeft w:val="0"/>
      <w:marRight w:val="0"/>
      <w:marTop w:val="0"/>
      <w:marBottom w:val="0"/>
      <w:divBdr>
        <w:top w:val="none" w:sz="0" w:space="0" w:color="auto"/>
        <w:left w:val="none" w:sz="0" w:space="0" w:color="auto"/>
        <w:bottom w:val="none" w:sz="0" w:space="0" w:color="auto"/>
        <w:right w:val="none" w:sz="0" w:space="0" w:color="auto"/>
      </w:divBdr>
    </w:div>
    <w:div w:id="600722800">
      <w:bodyDiv w:val="1"/>
      <w:marLeft w:val="0"/>
      <w:marRight w:val="0"/>
      <w:marTop w:val="0"/>
      <w:marBottom w:val="0"/>
      <w:divBdr>
        <w:top w:val="none" w:sz="0" w:space="0" w:color="auto"/>
        <w:left w:val="none" w:sz="0" w:space="0" w:color="auto"/>
        <w:bottom w:val="none" w:sz="0" w:space="0" w:color="auto"/>
        <w:right w:val="none" w:sz="0" w:space="0" w:color="auto"/>
      </w:divBdr>
    </w:div>
    <w:div w:id="621495156">
      <w:bodyDiv w:val="1"/>
      <w:marLeft w:val="0"/>
      <w:marRight w:val="0"/>
      <w:marTop w:val="0"/>
      <w:marBottom w:val="0"/>
      <w:divBdr>
        <w:top w:val="none" w:sz="0" w:space="0" w:color="auto"/>
        <w:left w:val="none" w:sz="0" w:space="0" w:color="auto"/>
        <w:bottom w:val="none" w:sz="0" w:space="0" w:color="auto"/>
        <w:right w:val="none" w:sz="0" w:space="0" w:color="auto"/>
      </w:divBdr>
    </w:div>
    <w:div w:id="654145687">
      <w:bodyDiv w:val="1"/>
      <w:marLeft w:val="0"/>
      <w:marRight w:val="0"/>
      <w:marTop w:val="0"/>
      <w:marBottom w:val="0"/>
      <w:divBdr>
        <w:top w:val="none" w:sz="0" w:space="0" w:color="auto"/>
        <w:left w:val="none" w:sz="0" w:space="0" w:color="auto"/>
        <w:bottom w:val="none" w:sz="0" w:space="0" w:color="auto"/>
        <w:right w:val="none" w:sz="0" w:space="0" w:color="auto"/>
      </w:divBdr>
    </w:div>
    <w:div w:id="666135840">
      <w:bodyDiv w:val="1"/>
      <w:marLeft w:val="0"/>
      <w:marRight w:val="0"/>
      <w:marTop w:val="0"/>
      <w:marBottom w:val="0"/>
      <w:divBdr>
        <w:top w:val="none" w:sz="0" w:space="0" w:color="auto"/>
        <w:left w:val="none" w:sz="0" w:space="0" w:color="auto"/>
        <w:bottom w:val="none" w:sz="0" w:space="0" w:color="auto"/>
        <w:right w:val="none" w:sz="0" w:space="0" w:color="auto"/>
      </w:divBdr>
    </w:div>
    <w:div w:id="689916828">
      <w:bodyDiv w:val="1"/>
      <w:marLeft w:val="0"/>
      <w:marRight w:val="0"/>
      <w:marTop w:val="0"/>
      <w:marBottom w:val="0"/>
      <w:divBdr>
        <w:top w:val="none" w:sz="0" w:space="0" w:color="auto"/>
        <w:left w:val="none" w:sz="0" w:space="0" w:color="auto"/>
        <w:bottom w:val="none" w:sz="0" w:space="0" w:color="auto"/>
        <w:right w:val="none" w:sz="0" w:space="0" w:color="auto"/>
      </w:divBdr>
    </w:div>
    <w:div w:id="695738988">
      <w:bodyDiv w:val="1"/>
      <w:marLeft w:val="0"/>
      <w:marRight w:val="0"/>
      <w:marTop w:val="0"/>
      <w:marBottom w:val="0"/>
      <w:divBdr>
        <w:top w:val="none" w:sz="0" w:space="0" w:color="auto"/>
        <w:left w:val="none" w:sz="0" w:space="0" w:color="auto"/>
        <w:bottom w:val="none" w:sz="0" w:space="0" w:color="auto"/>
        <w:right w:val="none" w:sz="0" w:space="0" w:color="auto"/>
      </w:divBdr>
    </w:div>
    <w:div w:id="734861752">
      <w:bodyDiv w:val="1"/>
      <w:marLeft w:val="0"/>
      <w:marRight w:val="0"/>
      <w:marTop w:val="0"/>
      <w:marBottom w:val="0"/>
      <w:divBdr>
        <w:top w:val="none" w:sz="0" w:space="0" w:color="auto"/>
        <w:left w:val="none" w:sz="0" w:space="0" w:color="auto"/>
        <w:bottom w:val="none" w:sz="0" w:space="0" w:color="auto"/>
        <w:right w:val="none" w:sz="0" w:space="0" w:color="auto"/>
      </w:divBdr>
    </w:div>
    <w:div w:id="838734429">
      <w:bodyDiv w:val="1"/>
      <w:marLeft w:val="0"/>
      <w:marRight w:val="0"/>
      <w:marTop w:val="0"/>
      <w:marBottom w:val="0"/>
      <w:divBdr>
        <w:top w:val="none" w:sz="0" w:space="0" w:color="auto"/>
        <w:left w:val="none" w:sz="0" w:space="0" w:color="auto"/>
        <w:bottom w:val="none" w:sz="0" w:space="0" w:color="auto"/>
        <w:right w:val="none" w:sz="0" w:space="0" w:color="auto"/>
      </w:divBdr>
    </w:div>
    <w:div w:id="856699997">
      <w:bodyDiv w:val="1"/>
      <w:marLeft w:val="0"/>
      <w:marRight w:val="0"/>
      <w:marTop w:val="0"/>
      <w:marBottom w:val="0"/>
      <w:divBdr>
        <w:top w:val="none" w:sz="0" w:space="0" w:color="auto"/>
        <w:left w:val="none" w:sz="0" w:space="0" w:color="auto"/>
        <w:bottom w:val="none" w:sz="0" w:space="0" w:color="auto"/>
        <w:right w:val="none" w:sz="0" w:space="0" w:color="auto"/>
      </w:divBdr>
    </w:div>
    <w:div w:id="866136407">
      <w:bodyDiv w:val="1"/>
      <w:marLeft w:val="0"/>
      <w:marRight w:val="0"/>
      <w:marTop w:val="0"/>
      <w:marBottom w:val="0"/>
      <w:divBdr>
        <w:top w:val="none" w:sz="0" w:space="0" w:color="auto"/>
        <w:left w:val="none" w:sz="0" w:space="0" w:color="auto"/>
        <w:bottom w:val="none" w:sz="0" w:space="0" w:color="auto"/>
        <w:right w:val="none" w:sz="0" w:space="0" w:color="auto"/>
      </w:divBdr>
    </w:div>
    <w:div w:id="919218946">
      <w:bodyDiv w:val="1"/>
      <w:marLeft w:val="0"/>
      <w:marRight w:val="0"/>
      <w:marTop w:val="0"/>
      <w:marBottom w:val="0"/>
      <w:divBdr>
        <w:top w:val="none" w:sz="0" w:space="0" w:color="auto"/>
        <w:left w:val="none" w:sz="0" w:space="0" w:color="auto"/>
        <w:bottom w:val="none" w:sz="0" w:space="0" w:color="auto"/>
        <w:right w:val="none" w:sz="0" w:space="0" w:color="auto"/>
      </w:divBdr>
    </w:div>
    <w:div w:id="929312844">
      <w:bodyDiv w:val="1"/>
      <w:marLeft w:val="0"/>
      <w:marRight w:val="0"/>
      <w:marTop w:val="0"/>
      <w:marBottom w:val="0"/>
      <w:divBdr>
        <w:top w:val="none" w:sz="0" w:space="0" w:color="auto"/>
        <w:left w:val="none" w:sz="0" w:space="0" w:color="auto"/>
        <w:bottom w:val="none" w:sz="0" w:space="0" w:color="auto"/>
        <w:right w:val="none" w:sz="0" w:space="0" w:color="auto"/>
      </w:divBdr>
    </w:div>
    <w:div w:id="937298208">
      <w:bodyDiv w:val="1"/>
      <w:marLeft w:val="0"/>
      <w:marRight w:val="0"/>
      <w:marTop w:val="0"/>
      <w:marBottom w:val="0"/>
      <w:divBdr>
        <w:top w:val="none" w:sz="0" w:space="0" w:color="auto"/>
        <w:left w:val="none" w:sz="0" w:space="0" w:color="auto"/>
        <w:bottom w:val="none" w:sz="0" w:space="0" w:color="auto"/>
        <w:right w:val="none" w:sz="0" w:space="0" w:color="auto"/>
      </w:divBdr>
    </w:div>
    <w:div w:id="945498436">
      <w:bodyDiv w:val="1"/>
      <w:marLeft w:val="0"/>
      <w:marRight w:val="0"/>
      <w:marTop w:val="0"/>
      <w:marBottom w:val="0"/>
      <w:divBdr>
        <w:top w:val="none" w:sz="0" w:space="0" w:color="auto"/>
        <w:left w:val="none" w:sz="0" w:space="0" w:color="auto"/>
        <w:bottom w:val="none" w:sz="0" w:space="0" w:color="auto"/>
        <w:right w:val="none" w:sz="0" w:space="0" w:color="auto"/>
      </w:divBdr>
    </w:div>
    <w:div w:id="946427889">
      <w:bodyDiv w:val="1"/>
      <w:marLeft w:val="0"/>
      <w:marRight w:val="0"/>
      <w:marTop w:val="0"/>
      <w:marBottom w:val="0"/>
      <w:divBdr>
        <w:top w:val="none" w:sz="0" w:space="0" w:color="auto"/>
        <w:left w:val="none" w:sz="0" w:space="0" w:color="auto"/>
        <w:bottom w:val="none" w:sz="0" w:space="0" w:color="auto"/>
        <w:right w:val="none" w:sz="0" w:space="0" w:color="auto"/>
      </w:divBdr>
    </w:div>
    <w:div w:id="983242373">
      <w:bodyDiv w:val="1"/>
      <w:marLeft w:val="0"/>
      <w:marRight w:val="0"/>
      <w:marTop w:val="0"/>
      <w:marBottom w:val="0"/>
      <w:divBdr>
        <w:top w:val="none" w:sz="0" w:space="0" w:color="auto"/>
        <w:left w:val="none" w:sz="0" w:space="0" w:color="auto"/>
        <w:bottom w:val="none" w:sz="0" w:space="0" w:color="auto"/>
        <w:right w:val="none" w:sz="0" w:space="0" w:color="auto"/>
      </w:divBdr>
    </w:div>
    <w:div w:id="987781378">
      <w:bodyDiv w:val="1"/>
      <w:marLeft w:val="0"/>
      <w:marRight w:val="0"/>
      <w:marTop w:val="0"/>
      <w:marBottom w:val="0"/>
      <w:divBdr>
        <w:top w:val="none" w:sz="0" w:space="0" w:color="auto"/>
        <w:left w:val="none" w:sz="0" w:space="0" w:color="auto"/>
        <w:bottom w:val="none" w:sz="0" w:space="0" w:color="auto"/>
        <w:right w:val="none" w:sz="0" w:space="0" w:color="auto"/>
      </w:divBdr>
    </w:div>
    <w:div w:id="1048411922">
      <w:bodyDiv w:val="1"/>
      <w:marLeft w:val="0"/>
      <w:marRight w:val="0"/>
      <w:marTop w:val="0"/>
      <w:marBottom w:val="0"/>
      <w:divBdr>
        <w:top w:val="none" w:sz="0" w:space="0" w:color="auto"/>
        <w:left w:val="none" w:sz="0" w:space="0" w:color="auto"/>
        <w:bottom w:val="none" w:sz="0" w:space="0" w:color="auto"/>
        <w:right w:val="none" w:sz="0" w:space="0" w:color="auto"/>
      </w:divBdr>
    </w:div>
    <w:div w:id="1101293567">
      <w:bodyDiv w:val="1"/>
      <w:marLeft w:val="0"/>
      <w:marRight w:val="0"/>
      <w:marTop w:val="0"/>
      <w:marBottom w:val="0"/>
      <w:divBdr>
        <w:top w:val="none" w:sz="0" w:space="0" w:color="auto"/>
        <w:left w:val="none" w:sz="0" w:space="0" w:color="auto"/>
        <w:bottom w:val="none" w:sz="0" w:space="0" w:color="auto"/>
        <w:right w:val="none" w:sz="0" w:space="0" w:color="auto"/>
      </w:divBdr>
    </w:div>
    <w:div w:id="1103038816">
      <w:bodyDiv w:val="1"/>
      <w:marLeft w:val="0"/>
      <w:marRight w:val="0"/>
      <w:marTop w:val="0"/>
      <w:marBottom w:val="0"/>
      <w:divBdr>
        <w:top w:val="none" w:sz="0" w:space="0" w:color="auto"/>
        <w:left w:val="none" w:sz="0" w:space="0" w:color="auto"/>
        <w:bottom w:val="none" w:sz="0" w:space="0" w:color="auto"/>
        <w:right w:val="none" w:sz="0" w:space="0" w:color="auto"/>
      </w:divBdr>
    </w:div>
    <w:div w:id="1106998518">
      <w:bodyDiv w:val="1"/>
      <w:marLeft w:val="0"/>
      <w:marRight w:val="0"/>
      <w:marTop w:val="0"/>
      <w:marBottom w:val="0"/>
      <w:divBdr>
        <w:top w:val="none" w:sz="0" w:space="0" w:color="auto"/>
        <w:left w:val="none" w:sz="0" w:space="0" w:color="auto"/>
        <w:bottom w:val="none" w:sz="0" w:space="0" w:color="auto"/>
        <w:right w:val="none" w:sz="0" w:space="0" w:color="auto"/>
      </w:divBdr>
    </w:div>
    <w:div w:id="1108041014">
      <w:bodyDiv w:val="1"/>
      <w:marLeft w:val="0"/>
      <w:marRight w:val="0"/>
      <w:marTop w:val="0"/>
      <w:marBottom w:val="0"/>
      <w:divBdr>
        <w:top w:val="none" w:sz="0" w:space="0" w:color="auto"/>
        <w:left w:val="none" w:sz="0" w:space="0" w:color="auto"/>
        <w:bottom w:val="none" w:sz="0" w:space="0" w:color="auto"/>
        <w:right w:val="none" w:sz="0" w:space="0" w:color="auto"/>
      </w:divBdr>
    </w:div>
    <w:div w:id="1125344861">
      <w:bodyDiv w:val="1"/>
      <w:marLeft w:val="0"/>
      <w:marRight w:val="0"/>
      <w:marTop w:val="0"/>
      <w:marBottom w:val="0"/>
      <w:divBdr>
        <w:top w:val="none" w:sz="0" w:space="0" w:color="auto"/>
        <w:left w:val="none" w:sz="0" w:space="0" w:color="auto"/>
        <w:bottom w:val="none" w:sz="0" w:space="0" w:color="auto"/>
        <w:right w:val="none" w:sz="0" w:space="0" w:color="auto"/>
      </w:divBdr>
    </w:div>
    <w:div w:id="1152481560">
      <w:bodyDiv w:val="1"/>
      <w:marLeft w:val="0"/>
      <w:marRight w:val="0"/>
      <w:marTop w:val="0"/>
      <w:marBottom w:val="0"/>
      <w:divBdr>
        <w:top w:val="none" w:sz="0" w:space="0" w:color="auto"/>
        <w:left w:val="none" w:sz="0" w:space="0" w:color="auto"/>
        <w:bottom w:val="none" w:sz="0" w:space="0" w:color="auto"/>
        <w:right w:val="none" w:sz="0" w:space="0" w:color="auto"/>
      </w:divBdr>
    </w:div>
    <w:div w:id="1159879158">
      <w:bodyDiv w:val="1"/>
      <w:marLeft w:val="0"/>
      <w:marRight w:val="0"/>
      <w:marTop w:val="0"/>
      <w:marBottom w:val="0"/>
      <w:divBdr>
        <w:top w:val="none" w:sz="0" w:space="0" w:color="auto"/>
        <w:left w:val="none" w:sz="0" w:space="0" w:color="auto"/>
        <w:bottom w:val="none" w:sz="0" w:space="0" w:color="auto"/>
        <w:right w:val="none" w:sz="0" w:space="0" w:color="auto"/>
      </w:divBdr>
    </w:div>
    <w:div w:id="1160149611">
      <w:bodyDiv w:val="1"/>
      <w:marLeft w:val="0"/>
      <w:marRight w:val="0"/>
      <w:marTop w:val="0"/>
      <w:marBottom w:val="0"/>
      <w:divBdr>
        <w:top w:val="none" w:sz="0" w:space="0" w:color="auto"/>
        <w:left w:val="none" w:sz="0" w:space="0" w:color="auto"/>
        <w:bottom w:val="none" w:sz="0" w:space="0" w:color="auto"/>
        <w:right w:val="none" w:sz="0" w:space="0" w:color="auto"/>
      </w:divBdr>
    </w:div>
    <w:div w:id="1172528330">
      <w:bodyDiv w:val="1"/>
      <w:marLeft w:val="0"/>
      <w:marRight w:val="0"/>
      <w:marTop w:val="0"/>
      <w:marBottom w:val="0"/>
      <w:divBdr>
        <w:top w:val="none" w:sz="0" w:space="0" w:color="auto"/>
        <w:left w:val="none" w:sz="0" w:space="0" w:color="auto"/>
        <w:bottom w:val="none" w:sz="0" w:space="0" w:color="auto"/>
        <w:right w:val="none" w:sz="0" w:space="0" w:color="auto"/>
      </w:divBdr>
    </w:div>
    <w:div w:id="1188373656">
      <w:bodyDiv w:val="1"/>
      <w:marLeft w:val="0"/>
      <w:marRight w:val="0"/>
      <w:marTop w:val="0"/>
      <w:marBottom w:val="0"/>
      <w:divBdr>
        <w:top w:val="none" w:sz="0" w:space="0" w:color="auto"/>
        <w:left w:val="none" w:sz="0" w:space="0" w:color="auto"/>
        <w:bottom w:val="none" w:sz="0" w:space="0" w:color="auto"/>
        <w:right w:val="none" w:sz="0" w:space="0" w:color="auto"/>
      </w:divBdr>
    </w:div>
    <w:div w:id="1203440324">
      <w:bodyDiv w:val="1"/>
      <w:marLeft w:val="0"/>
      <w:marRight w:val="0"/>
      <w:marTop w:val="0"/>
      <w:marBottom w:val="0"/>
      <w:divBdr>
        <w:top w:val="none" w:sz="0" w:space="0" w:color="auto"/>
        <w:left w:val="none" w:sz="0" w:space="0" w:color="auto"/>
        <w:bottom w:val="none" w:sz="0" w:space="0" w:color="auto"/>
        <w:right w:val="none" w:sz="0" w:space="0" w:color="auto"/>
      </w:divBdr>
    </w:div>
    <w:div w:id="1214653106">
      <w:bodyDiv w:val="1"/>
      <w:marLeft w:val="0"/>
      <w:marRight w:val="0"/>
      <w:marTop w:val="0"/>
      <w:marBottom w:val="0"/>
      <w:divBdr>
        <w:top w:val="none" w:sz="0" w:space="0" w:color="auto"/>
        <w:left w:val="none" w:sz="0" w:space="0" w:color="auto"/>
        <w:bottom w:val="none" w:sz="0" w:space="0" w:color="auto"/>
        <w:right w:val="none" w:sz="0" w:space="0" w:color="auto"/>
      </w:divBdr>
    </w:div>
    <w:div w:id="1237742949">
      <w:bodyDiv w:val="1"/>
      <w:marLeft w:val="0"/>
      <w:marRight w:val="0"/>
      <w:marTop w:val="0"/>
      <w:marBottom w:val="0"/>
      <w:divBdr>
        <w:top w:val="none" w:sz="0" w:space="0" w:color="auto"/>
        <w:left w:val="none" w:sz="0" w:space="0" w:color="auto"/>
        <w:bottom w:val="none" w:sz="0" w:space="0" w:color="auto"/>
        <w:right w:val="none" w:sz="0" w:space="0" w:color="auto"/>
      </w:divBdr>
    </w:div>
    <w:div w:id="1276450199">
      <w:bodyDiv w:val="1"/>
      <w:marLeft w:val="0"/>
      <w:marRight w:val="0"/>
      <w:marTop w:val="0"/>
      <w:marBottom w:val="0"/>
      <w:divBdr>
        <w:top w:val="none" w:sz="0" w:space="0" w:color="auto"/>
        <w:left w:val="none" w:sz="0" w:space="0" w:color="auto"/>
        <w:bottom w:val="none" w:sz="0" w:space="0" w:color="auto"/>
        <w:right w:val="none" w:sz="0" w:space="0" w:color="auto"/>
      </w:divBdr>
    </w:div>
    <w:div w:id="1299530585">
      <w:bodyDiv w:val="1"/>
      <w:marLeft w:val="0"/>
      <w:marRight w:val="0"/>
      <w:marTop w:val="0"/>
      <w:marBottom w:val="0"/>
      <w:divBdr>
        <w:top w:val="none" w:sz="0" w:space="0" w:color="auto"/>
        <w:left w:val="none" w:sz="0" w:space="0" w:color="auto"/>
        <w:bottom w:val="none" w:sz="0" w:space="0" w:color="auto"/>
        <w:right w:val="none" w:sz="0" w:space="0" w:color="auto"/>
      </w:divBdr>
    </w:div>
    <w:div w:id="1308508610">
      <w:bodyDiv w:val="1"/>
      <w:marLeft w:val="0"/>
      <w:marRight w:val="0"/>
      <w:marTop w:val="0"/>
      <w:marBottom w:val="0"/>
      <w:divBdr>
        <w:top w:val="none" w:sz="0" w:space="0" w:color="auto"/>
        <w:left w:val="none" w:sz="0" w:space="0" w:color="auto"/>
        <w:bottom w:val="none" w:sz="0" w:space="0" w:color="auto"/>
        <w:right w:val="none" w:sz="0" w:space="0" w:color="auto"/>
      </w:divBdr>
    </w:div>
    <w:div w:id="1325470286">
      <w:bodyDiv w:val="1"/>
      <w:marLeft w:val="0"/>
      <w:marRight w:val="0"/>
      <w:marTop w:val="0"/>
      <w:marBottom w:val="0"/>
      <w:divBdr>
        <w:top w:val="none" w:sz="0" w:space="0" w:color="auto"/>
        <w:left w:val="none" w:sz="0" w:space="0" w:color="auto"/>
        <w:bottom w:val="none" w:sz="0" w:space="0" w:color="auto"/>
        <w:right w:val="none" w:sz="0" w:space="0" w:color="auto"/>
      </w:divBdr>
    </w:div>
    <w:div w:id="1334529603">
      <w:bodyDiv w:val="1"/>
      <w:marLeft w:val="0"/>
      <w:marRight w:val="0"/>
      <w:marTop w:val="0"/>
      <w:marBottom w:val="0"/>
      <w:divBdr>
        <w:top w:val="none" w:sz="0" w:space="0" w:color="auto"/>
        <w:left w:val="none" w:sz="0" w:space="0" w:color="auto"/>
        <w:bottom w:val="none" w:sz="0" w:space="0" w:color="auto"/>
        <w:right w:val="none" w:sz="0" w:space="0" w:color="auto"/>
      </w:divBdr>
    </w:div>
    <w:div w:id="1352226369">
      <w:bodyDiv w:val="1"/>
      <w:marLeft w:val="0"/>
      <w:marRight w:val="0"/>
      <w:marTop w:val="0"/>
      <w:marBottom w:val="0"/>
      <w:divBdr>
        <w:top w:val="none" w:sz="0" w:space="0" w:color="auto"/>
        <w:left w:val="none" w:sz="0" w:space="0" w:color="auto"/>
        <w:bottom w:val="none" w:sz="0" w:space="0" w:color="auto"/>
        <w:right w:val="none" w:sz="0" w:space="0" w:color="auto"/>
      </w:divBdr>
    </w:div>
    <w:div w:id="1384913835">
      <w:bodyDiv w:val="1"/>
      <w:marLeft w:val="0"/>
      <w:marRight w:val="0"/>
      <w:marTop w:val="0"/>
      <w:marBottom w:val="0"/>
      <w:divBdr>
        <w:top w:val="none" w:sz="0" w:space="0" w:color="auto"/>
        <w:left w:val="none" w:sz="0" w:space="0" w:color="auto"/>
        <w:bottom w:val="none" w:sz="0" w:space="0" w:color="auto"/>
        <w:right w:val="none" w:sz="0" w:space="0" w:color="auto"/>
      </w:divBdr>
    </w:div>
    <w:div w:id="1391348776">
      <w:bodyDiv w:val="1"/>
      <w:marLeft w:val="0"/>
      <w:marRight w:val="0"/>
      <w:marTop w:val="0"/>
      <w:marBottom w:val="0"/>
      <w:divBdr>
        <w:top w:val="none" w:sz="0" w:space="0" w:color="auto"/>
        <w:left w:val="none" w:sz="0" w:space="0" w:color="auto"/>
        <w:bottom w:val="none" w:sz="0" w:space="0" w:color="auto"/>
        <w:right w:val="none" w:sz="0" w:space="0" w:color="auto"/>
      </w:divBdr>
    </w:div>
    <w:div w:id="1405030530">
      <w:bodyDiv w:val="1"/>
      <w:marLeft w:val="0"/>
      <w:marRight w:val="0"/>
      <w:marTop w:val="0"/>
      <w:marBottom w:val="0"/>
      <w:divBdr>
        <w:top w:val="none" w:sz="0" w:space="0" w:color="auto"/>
        <w:left w:val="none" w:sz="0" w:space="0" w:color="auto"/>
        <w:bottom w:val="none" w:sz="0" w:space="0" w:color="auto"/>
        <w:right w:val="none" w:sz="0" w:space="0" w:color="auto"/>
      </w:divBdr>
    </w:div>
    <w:div w:id="1502354212">
      <w:bodyDiv w:val="1"/>
      <w:marLeft w:val="0"/>
      <w:marRight w:val="0"/>
      <w:marTop w:val="0"/>
      <w:marBottom w:val="0"/>
      <w:divBdr>
        <w:top w:val="none" w:sz="0" w:space="0" w:color="auto"/>
        <w:left w:val="none" w:sz="0" w:space="0" w:color="auto"/>
        <w:bottom w:val="none" w:sz="0" w:space="0" w:color="auto"/>
        <w:right w:val="none" w:sz="0" w:space="0" w:color="auto"/>
      </w:divBdr>
    </w:div>
    <w:div w:id="1516532000">
      <w:bodyDiv w:val="1"/>
      <w:marLeft w:val="0"/>
      <w:marRight w:val="0"/>
      <w:marTop w:val="0"/>
      <w:marBottom w:val="0"/>
      <w:divBdr>
        <w:top w:val="none" w:sz="0" w:space="0" w:color="auto"/>
        <w:left w:val="none" w:sz="0" w:space="0" w:color="auto"/>
        <w:bottom w:val="none" w:sz="0" w:space="0" w:color="auto"/>
        <w:right w:val="none" w:sz="0" w:space="0" w:color="auto"/>
      </w:divBdr>
    </w:div>
    <w:div w:id="1518806080">
      <w:bodyDiv w:val="1"/>
      <w:marLeft w:val="0"/>
      <w:marRight w:val="0"/>
      <w:marTop w:val="0"/>
      <w:marBottom w:val="0"/>
      <w:divBdr>
        <w:top w:val="none" w:sz="0" w:space="0" w:color="auto"/>
        <w:left w:val="none" w:sz="0" w:space="0" w:color="auto"/>
        <w:bottom w:val="none" w:sz="0" w:space="0" w:color="auto"/>
        <w:right w:val="none" w:sz="0" w:space="0" w:color="auto"/>
      </w:divBdr>
    </w:div>
    <w:div w:id="1533693119">
      <w:bodyDiv w:val="1"/>
      <w:marLeft w:val="0"/>
      <w:marRight w:val="0"/>
      <w:marTop w:val="0"/>
      <w:marBottom w:val="0"/>
      <w:divBdr>
        <w:top w:val="none" w:sz="0" w:space="0" w:color="auto"/>
        <w:left w:val="none" w:sz="0" w:space="0" w:color="auto"/>
        <w:bottom w:val="none" w:sz="0" w:space="0" w:color="auto"/>
        <w:right w:val="none" w:sz="0" w:space="0" w:color="auto"/>
      </w:divBdr>
    </w:div>
    <w:div w:id="1538353456">
      <w:bodyDiv w:val="1"/>
      <w:marLeft w:val="0"/>
      <w:marRight w:val="0"/>
      <w:marTop w:val="0"/>
      <w:marBottom w:val="0"/>
      <w:divBdr>
        <w:top w:val="none" w:sz="0" w:space="0" w:color="auto"/>
        <w:left w:val="none" w:sz="0" w:space="0" w:color="auto"/>
        <w:bottom w:val="none" w:sz="0" w:space="0" w:color="auto"/>
        <w:right w:val="none" w:sz="0" w:space="0" w:color="auto"/>
      </w:divBdr>
    </w:div>
    <w:div w:id="1581451330">
      <w:bodyDiv w:val="1"/>
      <w:marLeft w:val="0"/>
      <w:marRight w:val="0"/>
      <w:marTop w:val="0"/>
      <w:marBottom w:val="0"/>
      <w:divBdr>
        <w:top w:val="none" w:sz="0" w:space="0" w:color="auto"/>
        <w:left w:val="none" w:sz="0" w:space="0" w:color="auto"/>
        <w:bottom w:val="none" w:sz="0" w:space="0" w:color="auto"/>
        <w:right w:val="none" w:sz="0" w:space="0" w:color="auto"/>
      </w:divBdr>
    </w:div>
    <w:div w:id="1606646729">
      <w:bodyDiv w:val="1"/>
      <w:marLeft w:val="0"/>
      <w:marRight w:val="0"/>
      <w:marTop w:val="0"/>
      <w:marBottom w:val="0"/>
      <w:divBdr>
        <w:top w:val="none" w:sz="0" w:space="0" w:color="auto"/>
        <w:left w:val="none" w:sz="0" w:space="0" w:color="auto"/>
        <w:bottom w:val="none" w:sz="0" w:space="0" w:color="auto"/>
        <w:right w:val="none" w:sz="0" w:space="0" w:color="auto"/>
      </w:divBdr>
    </w:div>
    <w:div w:id="1607233431">
      <w:bodyDiv w:val="1"/>
      <w:marLeft w:val="0"/>
      <w:marRight w:val="0"/>
      <w:marTop w:val="0"/>
      <w:marBottom w:val="0"/>
      <w:divBdr>
        <w:top w:val="none" w:sz="0" w:space="0" w:color="auto"/>
        <w:left w:val="none" w:sz="0" w:space="0" w:color="auto"/>
        <w:bottom w:val="none" w:sz="0" w:space="0" w:color="auto"/>
        <w:right w:val="none" w:sz="0" w:space="0" w:color="auto"/>
      </w:divBdr>
    </w:div>
    <w:div w:id="1610114614">
      <w:bodyDiv w:val="1"/>
      <w:marLeft w:val="0"/>
      <w:marRight w:val="0"/>
      <w:marTop w:val="0"/>
      <w:marBottom w:val="0"/>
      <w:divBdr>
        <w:top w:val="none" w:sz="0" w:space="0" w:color="auto"/>
        <w:left w:val="none" w:sz="0" w:space="0" w:color="auto"/>
        <w:bottom w:val="none" w:sz="0" w:space="0" w:color="auto"/>
        <w:right w:val="none" w:sz="0" w:space="0" w:color="auto"/>
      </w:divBdr>
    </w:div>
    <w:div w:id="1623881925">
      <w:bodyDiv w:val="1"/>
      <w:marLeft w:val="0"/>
      <w:marRight w:val="0"/>
      <w:marTop w:val="0"/>
      <w:marBottom w:val="0"/>
      <w:divBdr>
        <w:top w:val="none" w:sz="0" w:space="0" w:color="auto"/>
        <w:left w:val="none" w:sz="0" w:space="0" w:color="auto"/>
        <w:bottom w:val="none" w:sz="0" w:space="0" w:color="auto"/>
        <w:right w:val="none" w:sz="0" w:space="0" w:color="auto"/>
      </w:divBdr>
    </w:div>
    <w:div w:id="1653943477">
      <w:bodyDiv w:val="1"/>
      <w:marLeft w:val="0"/>
      <w:marRight w:val="0"/>
      <w:marTop w:val="0"/>
      <w:marBottom w:val="0"/>
      <w:divBdr>
        <w:top w:val="none" w:sz="0" w:space="0" w:color="auto"/>
        <w:left w:val="none" w:sz="0" w:space="0" w:color="auto"/>
        <w:bottom w:val="none" w:sz="0" w:space="0" w:color="auto"/>
        <w:right w:val="none" w:sz="0" w:space="0" w:color="auto"/>
      </w:divBdr>
    </w:div>
    <w:div w:id="1671711820">
      <w:bodyDiv w:val="1"/>
      <w:marLeft w:val="0"/>
      <w:marRight w:val="0"/>
      <w:marTop w:val="0"/>
      <w:marBottom w:val="0"/>
      <w:divBdr>
        <w:top w:val="none" w:sz="0" w:space="0" w:color="auto"/>
        <w:left w:val="none" w:sz="0" w:space="0" w:color="auto"/>
        <w:bottom w:val="none" w:sz="0" w:space="0" w:color="auto"/>
        <w:right w:val="none" w:sz="0" w:space="0" w:color="auto"/>
      </w:divBdr>
    </w:div>
    <w:div w:id="1730491564">
      <w:bodyDiv w:val="1"/>
      <w:marLeft w:val="0"/>
      <w:marRight w:val="0"/>
      <w:marTop w:val="0"/>
      <w:marBottom w:val="0"/>
      <w:divBdr>
        <w:top w:val="none" w:sz="0" w:space="0" w:color="auto"/>
        <w:left w:val="none" w:sz="0" w:space="0" w:color="auto"/>
        <w:bottom w:val="none" w:sz="0" w:space="0" w:color="auto"/>
        <w:right w:val="none" w:sz="0" w:space="0" w:color="auto"/>
      </w:divBdr>
    </w:div>
    <w:div w:id="1737701638">
      <w:bodyDiv w:val="1"/>
      <w:marLeft w:val="0"/>
      <w:marRight w:val="0"/>
      <w:marTop w:val="0"/>
      <w:marBottom w:val="0"/>
      <w:divBdr>
        <w:top w:val="none" w:sz="0" w:space="0" w:color="auto"/>
        <w:left w:val="none" w:sz="0" w:space="0" w:color="auto"/>
        <w:bottom w:val="none" w:sz="0" w:space="0" w:color="auto"/>
        <w:right w:val="none" w:sz="0" w:space="0" w:color="auto"/>
      </w:divBdr>
    </w:div>
    <w:div w:id="1759062351">
      <w:bodyDiv w:val="1"/>
      <w:marLeft w:val="0"/>
      <w:marRight w:val="0"/>
      <w:marTop w:val="0"/>
      <w:marBottom w:val="0"/>
      <w:divBdr>
        <w:top w:val="none" w:sz="0" w:space="0" w:color="auto"/>
        <w:left w:val="none" w:sz="0" w:space="0" w:color="auto"/>
        <w:bottom w:val="none" w:sz="0" w:space="0" w:color="auto"/>
        <w:right w:val="none" w:sz="0" w:space="0" w:color="auto"/>
      </w:divBdr>
    </w:div>
    <w:div w:id="1759911088">
      <w:bodyDiv w:val="1"/>
      <w:marLeft w:val="0"/>
      <w:marRight w:val="0"/>
      <w:marTop w:val="0"/>
      <w:marBottom w:val="0"/>
      <w:divBdr>
        <w:top w:val="none" w:sz="0" w:space="0" w:color="auto"/>
        <w:left w:val="none" w:sz="0" w:space="0" w:color="auto"/>
        <w:bottom w:val="none" w:sz="0" w:space="0" w:color="auto"/>
        <w:right w:val="none" w:sz="0" w:space="0" w:color="auto"/>
      </w:divBdr>
    </w:div>
    <w:div w:id="1781995204">
      <w:bodyDiv w:val="1"/>
      <w:marLeft w:val="0"/>
      <w:marRight w:val="0"/>
      <w:marTop w:val="0"/>
      <w:marBottom w:val="0"/>
      <w:divBdr>
        <w:top w:val="none" w:sz="0" w:space="0" w:color="auto"/>
        <w:left w:val="none" w:sz="0" w:space="0" w:color="auto"/>
        <w:bottom w:val="none" w:sz="0" w:space="0" w:color="auto"/>
        <w:right w:val="none" w:sz="0" w:space="0" w:color="auto"/>
      </w:divBdr>
    </w:div>
    <w:div w:id="1806047256">
      <w:bodyDiv w:val="1"/>
      <w:marLeft w:val="0"/>
      <w:marRight w:val="0"/>
      <w:marTop w:val="0"/>
      <w:marBottom w:val="0"/>
      <w:divBdr>
        <w:top w:val="none" w:sz="0" w:space="0" w:color="auto"/>
        <w:left w:val="none" w:sz="0" w:space="0" w:color="auto"/>
        <w:bottom w:val="none" w:sz="0" w:space="0" w:color="auto"/>
        <w:right w:val="none" w:sz="0" w:space="0" w:color="auto"/>
      </w:divBdr>
    </w:div>
    <w:div w:id="1823043862">
      <w:bodyDiv w:val="1"/>
      <w:marLeft w:val="0"/>
      <w:marRight w:val="0"/>
      <w:marTop w:val="0"/>
      <w:marBottom w:val="0"/>
      <w:divBdr>
        <w:top w:val="none" w:sz="0" w:space="0" w:color="auto"/>
        <w:left w:val="none" w:sz="0" w:space="0" w:color="auto"/>
        <w:bottom w:val="none" w:sz="0" w:space="0" w:color="auto"/>
        <w:right w:val="none" w:sz="0" w:space="0" w:color="auto"/>
      </w:divBdr>
    </w:div>
    <w:div w:id="1844274273">
      <w:bodyDiv w:val="1"/>
      <w:marLeft w:val="0"/>
      <w:marRight w:val="0"/>
      <w:marTop w:val="0"/>
      <w:marBottom w:val="0"/>
      <w:divBdr>
        <w:top w:val="none" w:sz="0" w:space="0" w:color="auto"/>
        <w:left w:val="none" w:sz="0" w:space="0" w:color="auto"/>
        <w:bottom w:val="none" w:sz="0" w:space="0" w:color="auto"/>
        <w:right w:val="none" w:sz="0" w:space="0" w:color="auto"/>
      </w:divBdr>
    </w:div>
    <w:div w:id="1853831772">
      <w:bodyDiv w:val="1"/>
      <w:marLeft w:val="0"/>
      <w:marRight w:val="0"/>
      <w:marTop w:val="0"/>
      <w:marBottom w:val="0"/>
      <w:divBdr>
        <w:top w:val="none" w:sz="0" w:space="0" w:color="auto"/>
        <w:left w:val="none" w:sz="0" w:space="0" w:color="auto"/>
        <w:bottom w:val="none" w:sz="0" w:space="0" w:color="auto"/>
        <w:right w:val="none" w:sz="0" w:space="0" w:color="auto"/>
      </w:divBdr>
    </w:div>
    <w:div w:id="1866403659">
      <w:bodyDiv w:val="1"/>
      <w:marLeft w:val="0"/>
      <w:marRight w:val="0"/>
      <w:marTop w:val="0"/>
      <w:marBottom w:val="0"/>
      <w:divBdr>
        <w:top w:val="none" w:sz="0" w:space="0" w:color="auto"/>
        <w:left w:val="none" w:sz="0" w:space="0" w:color="auto"/>
        <w:bottom w:val="none" w:sz="0" w:space="0" w:color="auto"/>
        <w:right w:val="none" w:sz="0" w:space="0" w:color="auto"/>
      </w:divBdr>
    </w:div>
    <w:div w:id="1871527794">
      <w:bodyDiv w:val="1"/>
      <w:marLeft w:val="0"/>
      <w:marRight w:val="0"/>
      <w:marTop w:val="0"/>
      <w:marBottom w:val="0"/>
      <w:divBdr>
        <w:top w:val="none" w:sz="0" w:space="0" w:color="auto"/>
        <w:left w:val="none" w:sz="0" w:space="0" w:color="auto"/>
        <w:bottom w:val="none" w:sz="0" w:space="0" w:color="auto"/>
        <w:right w:val="none" w:sz="0" w:space="0" w:color="auto"/>
      </w:divBdr>
    </w:div>
    <w:div w:id="1884444725">
      <w:bodyDiv w:val="1"/>
      <w:marLeft w:val="0"/>
      <w:marRight w:val="0"/>
      <w:marTop w:val="0"/>
      <w:marBottom w:val="0"/>
      <w:divBdr>
        <w:top w:val="none" w:sz="0" w:space="0" w:color="auto"/>
        <w:left w:val="none" w:sz="0" w:space="0" w:color="auto"/>
        <w:bottom w:val="none" w:sz="0" w:space="0" w:color="auto"/>
        <w:right w:val="none" w:sz="0" w:space="0" w:color="auto"/>
      </w:divBdr>
    </w:div>
    <w:div w:id="1911040971">
      <w:bodyDiv w:val="1"/>
      <w:marLeft w:val="0"/>
      <w:marRight w:val="0"/>
      <w:marTop w:val="0"/>
      <w:marBottom w:val="0"/>
      <w:divBdr>
        <w:top w:val="none" w:sz="0" w:space="0" w:color="auto"/>
        <w:left w:val="none" w:sz="0" w:space="0" w:color="auto"/>
        <w:bottom w:val="none" w:sz="0" w:space="0" w:color="auto"/>
        <w:right w:val="none" w:sz="0" w:space="0" w:color="auto"/>
      </w:divBdr>
    </w:div>
    <w:div w:id="1915970018">
      <w:bodyDiv w:val="1"/>
      <w:marLeft w:val="0"/>
      <w:marRight w:val="0"/>
      <w:marTop w:val="0"/>
      <w:marBottom w:val="0"/>
      <w:divBdr>
        <w:top w:val="none" w:sz="0" w:space="0" w:color="auto"/>
        <w:left w:val="none" w:sz="0" w:space="0" w:color="auto"/>
        <w:bottom w:val="none" w:sz="0" w:space="0" w:color="auto"/>
        <w:right w:val="none" w:sz="0" w:space="0" w:color="auto"/>
      </w:divBdr>
    </w:div>
    <w:div w:id="1931500335">
      <w:bodyDiv w:val="1"/>
      <w:marLeft w:val="0"/>
      <w:marRight w:val="0"/>
      <w:marTop w:val="0"/>
      <w:marBottom w:val="0"/>
      <w:divBdr>
        <w:top w:val="none" w:sz="0" w:space="0" w:color="auto"/>
        <w:left w:val="none" w:sz="0" w:space="0" w:color="auto"/>
        <w:bottom w:val="none" w:sz="0" w:space="0" w:color="auto"/>
        <w:right w:val="none" w:sz="0" w:space="0" w:color="auto"/>
      </w:divBdr>
    </w:div>
    <w:div w:id="1937901366">
      <w:bodyDiv w:val="1"/>
      <w:marLeft w:val="0"/>
      <w:marRight w:val="0"/>
      <w:marTop w:val="0"/>
      <w:marBottom w:val="0"/>
      <w:divBdr>
        <w:top w:val="none" w:sz="0" w:space="0" w:color="auto"/>
        <w:left w:val="none" w:sz="0" w:space="0" w:color="auto"/>
        <w:bottom w:val="none" w:sz="0" w:space="0" w:color="auto"/>
        <w:right w:val="none" w:sz="0" w:space="0" w:color="auto"/>
      </w:divBdr>
    </w:div>
    <w:div w:id="1942838168">
      <w:bodyDiv w:val="1"/>
      <w:marLeft w:val="0"/>
      <w:marRight w:val="0"/>
      <w:marTop w:val="0"/>
      <w:marBottom w:val="0"/>
      <w:divBdr>
        <w:top w:val="none" w:sz="0" w:space="0" w:color="auto"/>
        <w:left w:val="none" w:sz="0" w:space="0" w:color="auto"/>
        <w:bottom w:val="none" w:sz="0" w:space="0" w:color="auto"/>
        <w:right w:val="none" w:sz="0" w:space="0" w:color="auto"/>
      </w:divBdr>
    </w:div>
    <w:div w:id="1946306647">
      <w:bodyDiv w:val="1"/>
      <w:marLeft w:val="0"/>
      <w:marRight w:val="0"/>
      <w:marTop w:val="0"/>
      <w:marBottom w:val="0"/>
      <w:divBdr>
        <w:top w:val="none" w:sz="0" w:space="0" w:color="auto"/>
        <w:left w:val="none" w:sz="0" w:space="0" w:color="auto"/>
        <w:bottom w:val="none" w:sz="0" w:space="0" w:color="auto"/>
        <w:right w:val="none" w:sz="0" w:space="0" w:color="auto"/>
      </w:divBdr>
    </w:div>
    <w:div w:id="1952203113">
      <w:bodyDiv w:val="1"/>
      <w:marLeft w:val="0"/>
      <w:marRight w:val="0"/>
      <w:marTop w:val="0"/>
      <w:marBottom w:val="0"/>
      <w:divBdr>
        <w:top w:val="none" w:sz="0" w:space="0" w:color="auto"/>
        <w:left w:val="none" w:sz="0" w:space="0" w:color="auto"/>
        <w:bottom w:val="none" w:sz="0" w:space="0" w:color="auto"/>
        <w:right w:val="none" w:sz="0" w:space="0" w:color="auto"/>
      </w:divBdr>
    </w:div>
    <w:div w:id="1956327277">
      <w:bodyDiv w:val="1"/>
      <w:marLeft w:val="0"/>
      <w:marRight w:val="0"/>
      <w:marTop w:val="0"/>
      <w:marBottom w:val="0"/>
      <w:divBdr>
        <w:top w:val="none" w:sz="0" w:space="0" w:color="auto"/>
        <w:left w:val="none" w:sz="0" w:space="0" w:color="auto"/>
        <w:bottom w:val="none" w:sz="0" w:space="0" w:color="auto"/>
        <w:right w:val="none" w:sz="0" w:space="0" w:color="auto"/>
      </w:divBdr>
    </w:div>
    <w:div w:id="1969049775">
      <w:bodyDiv w:val="1"/>
      <w:marLeft w:val="0"/>
      <w:marRight w:val="0"/>
      <w:marTop w:val="0"/>
      <w:marBottom w:val="0"/>
      <w:divBdr>
        <w:top w:val="none" w:sz="0" w:space="0" w:color="auto"/>
        <w:left w:val="none" w:sz="0" w:space="0" w:color="auto"/>
        <w:bottom w:val="none" w:sz="0" w:space="0" w:color="auto"/>
        <w:right w:val="none" w:sz="0" w:space="0" w:color="auto"/>
      </w:divBdr>
    </w:div>
    <w:div w:id="1986623904">
      <w:bodyDiv w:val="1"/>
      <w:marLeft w:val="0"/>
      <w:marRight w:val="0"/>
      <w:marTop w:val="0"/>
      <w:marBottom w:val="0"/>
      <w:divBdr>
        <w:top w:val="none" w:sz="0" w:space="0" w:color="auto"/>
        <w:left w:val="none" w:sz="0" w:space="0" w:color="auto"/>
        <w:bottom w:val="none" w:sz="0" w:space="0" w:color="auto"/>
        <w:right w:val="none" w:sz="0" w:space="0" w:color="auto"/>
      </w:divBdr>
    </w:div>
    <w:div w:id="2002928330">
      <w:bodyDiv w:val="1"/>
      <w:marLeft w:val="0"/>
      <w:marRight w:val="0"/>
      <w:marTop w:val="0"/>
      <w:marBottom w:val="0"/>
      <w:divBdr>
        <w:top w:val="none" w:sz="0" w:space="0" w:color="auto"/>
        <w:left w:val="none" w:sz="0" w:space="0" w:color="auto"/>
        <w:bottom w:val="none" w:sz="0" w:space="0" w:color="auto"/>
        <w:right w:val="none" w:sz="0" w:space="0" w:color="auto"/>
      </w:divBdr>
    </w:div>
    <w:div w:id="2018845590">
      <w:bodyDiv w:val="1"/>
      <w:marLeft w:val="0"/>
      <w:marRight w:val="0"/>
      <w:marTop w:val="0"/>
      <w:marBottom w:val="0"/>
      <w:divBdr>
        <w:top w:val="none" w:sz="0" w:space="0" w:color="auto"/>
        <w:left w:val="none" w:sz="0" w:space="0" w:color="auto"/>
        <w:bottom w:val="none" w:sz="0" w:space="0" w:color="auto"/>
        <w:right w:val="none" w:sz="0" w:space="0" w:color="auto"/>
      </w:divBdr>
    </w:div>
    <w:div w:id="2027827059">
      <w:bodyDiv w:val="1"/>
      <w:marLeft w:val="0"/>
      <w:marRight w:val="0"/>
      <w:marTop w:val="0"/>
      <w:marBottom w:val="0"/>
      <w:divBdr>
        <w:top w:val="none" w:sz="0" w:space="0" w:color="auto"/>
        <w:left w:val="none" w:sz="0" w:space="0" w:color="auto"/>
        <w:bottom w:val="none" w:sz="0" w:space="0" w:color="auto"/>
        <w:right w:val="none" w:sz="0" w:space="0" w:color="auto"/>
      </w:divBdr>
    </w:div>
    <w:div w:id="2034107392">
      <w:bodyDiv w:val="1"/>
      <w:marLeft w:val="0"/>
      <w:marRight w:val="0"/>
      <w:marTop w:val="0"/>
      <w:marBottom w:val="0"/>
      <w:divBdr>
        <w:top w:val="none" w:sz="0" w:space="0" w:color="auto"/>
        <w:left w:val="none" w:sz="0" w:space="0" w:color="auto"/>
        <w:bottom w:val="none" w:sz="0" w:space="0" w:color="auto"/>
        <w:right w:val="none" w:sz="0" w:space="0" w:color="auto"/>
      </w:divBdr>
    </w:div>
    <w:div w:id="2047295800">
      <w:bodyDiv w:val="1"/>
      <w:marLeft w:val="0"/>
      <w:marRight w:val="0"/>
      <w:marTop w:val="0"/>
      <w:marBottom w:val="0"/>
      <w:divBdr>
        <w:top w:val="none" w:sz="0" w:space="0" w:color="auto"/>
        <w:left w:val="none" w:sz="0" w:space="0" w:color="auto"/>
        <w:bottom w:val="none" w:sz="0" w:space="0" w:color="auto"/>
        <w:right w:val="none" w:sz="0" w:space="0" w:color="auto"/>
      </w:divBdr>
    </w:div>
    <w:div w:id="2052265334">
      <w:bodyDiv w:val="1"/>
      <w:marLeft w:val="0"/>
      <w:marRight w:val="0"/>
      <w:marTop w:val="0"/>
      <w:marBottom w:val="0"/>
      <w:divBdr>
        <w:top w:val="none" w:sz="0" w:space="0" w:color="auto"/>
        <w:left w:val="none" w:sz="0" w:space="0" w:color="auto"/>
        <w:bottom w:val="none" w:sz="0" w:space="0" w:color="auto"/>
        <w:right w:val="none" w:sz="0" w:space="0" w:color="auto"/>
      </w:divBdr>
    </w:div>
    <w:div w:id="2054966559">
      <w:bodyDiv w:val="1"/>
      <w:marLeft w:val="0"/>
      <w:marRight w:val="0"/>
      <w:marTop w:val="0"/>
      <w:marBottom w:val="0"/>
      <w:divBdr>
        <w:top w:val="none" w:sz="0" w:space="0" w:color="auto"/>
        <w:left w:val="none" w:sz="0" w:space="0" w:color="auto"/>
        <w:bottom w:val="none" w:sz="0" w:space="0" w:color="auto"/>
        <w:right w:val="none" w:sz="0" w:space="0" w:color="auto"/>
      </w:divBdr>
    </w:div>
    <w:div w:id="2060397173">
      <w:bodyDiv w:val="1"/>
      <w:marLeft w:val="0"/>
      <w:marRight w:val="0"/>
      <w:marTop w:val="0"/>
      <w:marBottom w:val="0"/>
      <w:divBdr>
        <w:top w:val="none" w:sz="0" w:space="0" w:color="auto"/>
        <w:left w:val="none" w:sz="0" w:space="0" w:color="auto"/>
        <w:bottom w:val="none" w:sz="0" w:space="0" w:color="auto"/>
        <w:right w:val="none" w:sz="0" w:space="0" w:color="auto"/>
      </w:divBdr>
    </w:div>
    <w:div w:id="2070690361">
      <w:marLeft w:val="0"/>
      <w:marRight w:val="0"/>
      <w:marTop w:val="0"/>
      <w:marBottom w:val="0"/>
      <w:divBdr>
        <w:top w:val="none" w:sz="0" w:space="0" w:color="auto"/>
        <w:left w:val="none" w:sz="0" w:space="0" w:color="auto"/>
        <w:bottom w:val="none" w:sz="0" w:space="0" w:color="auto"/>
        <w:right w:val="none" w:sz="0" w:space="0" w:color="auto"/>
      </w:divBdr>
    </w:div>
    <w:div w:id="2070690362">
      <w:marLeft w:val="0"/>
      <w:marRight w:val="0"/>
      <w:marTop w:val="0"/>
      <w:marBottom w:val="0"/>
      <w:divBdr>
        <w:top w:val="none" w:sz="0" w:space="0" w:color="auto"/>
        <w:left w:val="none" w:sz="0" w:space="0" w:color="auto"/>
        <w:bottom w:val="none" w:sz="0" w:space="0" w:color="auto"/>
        <w:right w:val="none" w:sz="0" w:space="0" w:color="auto"/>
      </w:divBdr>
    </w:div>
    <w:div w:id="2070690363">
      <w:marLeft w:val="0"/>
      <w:marRight w:val="0"/>
      <w:marTop w:val="0"/>
      <w:marBottom w:val="0"/>
      <w:divBdr>
        <w:top w:val="none" w:sz="0" w:space="0" w:color="auto"/>
        <w:left w:val="none" w:sz="0" w:space="0" w:color="auto"/>
        <w:bottom w:val="none" w:sz="0" w:space="0" w:color="auto"/>
        <w:right w:val="none" w:sz="0" w:space="0" w:color="auto"/>
      </w:divBdr>
    </w:div>
    <w:div w:id="2070690364">
      <w:marLeft w:val="0"/>
      <w:marRight w:val="0"/>
      <w:marTop w:val="0"/>
      <w:marBottom w:val="0"/>
      <w:divBdr>
        <w:top w:val="none" w:sz="0" w:space="0" w:color="auto"/>
        <w:left w:val="none" w:sz="0" w:space="0" w:color="auto"/>
        <w:bottom w:val="none" w:sz="0" w:space="0" w:color="auto"/>
        <w:right w:val="none" w:sz="0" w:space="0" w:color="auto"/>
      </w:divBdr>
    </w:div>
    <w:div w:id="2070690365">
      <w:marLeft w:val="0"/>
      <w:marRight w:val="0"/>
      <w:marTop w:val="0"/>
      <w:marBottom w:val="0"/>
      <w:divBdr>
        <w:top w:val="none" w:sz="0" w:space="0" w:color="auto"/>
        <w:left w:val="none" w:sz="0" w:space="0" w:color="auto"/>
        <w:bottom w:val="none" w:sz="0" w:space="0" w:color="auto"/>
        <w:right w:val="none" w:sz="0" w:space="0" w:color="auto"/>
      </w:divBdr>
    </w:div>
    <w:div w:id="2070690366">
      <w:marLeft w:val="0"/>
      <w:marRight w:val="0"/>
      <w:marTop w:val="0"/>
      <w:marBottom w:val="0"/>
      <w:divBdr>
        <w:top w:val="none" w:sz="0" w:space="0" w:color="auto"/>
        <w:left w:val="none" w:sz="0" w:space="0" w:color="auto"/>
        <w:bottom w:val="none" w:sz="0" w:space="0" w:color="auto"/>
        <w:right w:val="none" w:sz="0" w:space="0" w:color="auto"/>
      </w:divBdr>
    </w:div>
    <w:div w:id="2070690367">
      <w:marLeft w:val="0"/>
      <w:marRight w:val="0"/>
      <w:marTop w:val="0"/>
      <w:marBottom w:val="0"/>
      <w:divBdr>
        <w:top w:val="none" w:sz="0" w:space="0" w:color="auto"/>
        <w:left w:val="none" w:sz="0" w:space="0" w:color="auto"/>
        <w:bottom w:val="none" w:sz="0" w:space="0" w:color="auto"/>
        <w:right w:val="none" w:sz="0" w:space="0" w:color="auto"/>
      </w:divBdr>
    </w:div>
    <w:div w:id="2070690368">
      <w:marLeft w:val="0"/>
      <w:marRight w:val="0"/>
      <w:marTop w:val="0"/>
      <w:marBottom w:val="0"/>
      <w:divBdr>
        <w:top w:val="none" w:sz="0" w:space="0" w:color="auto"/>
        <w:left w:val="none" w:sz="0" w:space="0" w:color="auto"/>
        <w:bottom w:val="none" w:sz="0" w:space="0" w:color="auto"/>
        <w:right w:val="none" w:sz="0" w:space="0" w:color="auto"/>
      </w:divBdr>
    </w:div>
    <w:div w:id="2070690369">
      <w:marLeft w:val="0"/>
      <w:marRight w:val="0"/>
      <w:marTop w:val="0"/>
      <w:marBottom w:val="0"/>
      <w:divBdr>
        <w:top w:val="none" w:sz="0" w:space="0" w:color="auto"/>
        <w:left w:val="none" w:sz="0" w:space="0" w:color="auto"/>
        <w:bottom w:val="none" w:sz="0" w:space="0" w:color="auto"/>
        <w:right w:val="none" w:sz="0" w:space="0" w:color="auto"/>
      </w:divBdr>
    </w:div>
    <w:div w:id="2070690370">
      <w:marLeft w:val="0"/>
      <w:marRight w:val="0"/>
      <w:marTop w:val="0"/>
      <w:marBottom w:val="0"/>
      <w:divBdr>
        <w:top w:val="none" w:sz="0" w:space="0" w:color="auto"/>
        <w:left w:val="none" w:sz="0" w:space="0" w:color="auto"/>
        <w:bottom w:val="none" w:sz="0" w:space="0" w:color="auto"/>
        <w:right w:val="none" w:sz="0" w:space="0" w:color="auto"/>
      </w:divBdr>
    </w:div>
    <w:div w:id="2070690371">
      <w:marLeft w:val="0"/>
      <w:marRight w:val="0"/>
      <w:marTop w:val="0"/>
      <w:marBottom w:val="0"/>
      <w:divBdr>
        <w:top w:val="none" w:sz="0" w:space="0" w:color="auto"/>
        <w:left w:val="none" w:sz="0" w:space="0" w:color="auto"/>
        <w:bottom w:val="none" w:sz="0" w:space="0" w:color="auto"/>
        <w:right w:val="none" w:sz="0" w:space="0" w:color="auto"/>
      </w:divBdr>
    </w:div>
    <w:div w:id="2070690372">
      <w:marLeft w:val="0"/>
      <w:marRight w:val="0"/>
      <w:marTop w:val="0"/>
      <w:marBottom w:val="0"/>
      <w:divBdr>
        <w:top w:val="none" w:sz="0" w:space="0" w:color="auto"/>
        <w:left w:val="none" w:sz="0" w:space="0" w:color="auto"/>
        <w:bottom w:val="none" w:sz="0" w:space="0" w:color="auto"/>
        <w:right w:val="none" w:sz="0" w:space="0" w:color="auto"/>
      </w:divBdr>
    </w:div>
    <w:div w:id="2070690373">
      <w:marLeft w:val="0"/>
      <w:marRight w:val="0"/>
      <w:marTop w:val="0"/>
      <w:marBottom w:val="0"/>
      <w:divBdr>
        <w:top w:val="none" w:sz="0" w:space="0" w:color="auto"/>
        <w:left w:val="none" w:sz="0" w:space="0" w:color="auto"/>
        <w:bottom w:val="none" w:sz="0" w:space="0" w:color="auto"/>
        <w:right w:val="none" w:sz="0" w:space="0" w:color="auto"/>
      </w:divBdr>
    </w:div>
    <w:div w:id="2070690374">
      <w:marLeft w:val="0"/>
      <w:marRight w:val="0"/>
      <w:marTop w:val="0"/>
      <w:marBottom w:val="0"/>
      <w:divBdr>
        <w:top w:val="none" w:sz="0" w:space="0" w:color="auto"/>
        <w:left w:val="none" w:sz="0" w:space="0" w:color="auto"/>
        <w:bottom w:val="none" w:sz="0" w:space="0" w:color="auto"/>
        <w:right w:val="none" w:sz="0" w:space="0" w:color="auto"/>
      </w:divBdr>
    </w:div>
    <w:div w:id="2070690375">
      <w:marLeft w:val="0"/>
      <w:marRight w:val="0"/>
      <w:marTop w:val="0"/>
      <w:marBottom w:val="0"/>
      <w:divBdr>
        <w:top w:val="none" w:sz="0" w:space="0" w:color="auto"/>
        <w:left w:val="none" w:sz="0" w:space="0" w:color="auto"/>
        <w:bottom w:val="none" w:sz="0" w:space="0" w:color="auto"/>
        <w:right w:val="none" w:sz="0" w:space="0" w:color="auto"/>
      </w:divBdr>
    </w:div>
    <w:div w:id="2070690376">
      <w:marLeft w:val="0"/>
      <w:marRight w:val="0"/>
      <w:marTop w:val="0"/>
      <w:marBottom w:val="0"/>
      <w:divBdr>
        <w:top w:val="none" w:sz="0" w:space="0" w:color="auto"/>
        <w:left w:val="none" w:sz="0" w:space="0" w:color="auto"/>
        <w:bottom w:val="none" w:sz="0" w:space="0" w:color="auto"/>
        <w:right w:val="none" w:sz="0" w:space="0" w:color="auto"/>
      </w:divBdr>
    </w:div>
    <w:div w:id="2070690377">
      <w:marLeft w:val="0"/>
      <w:marRight w:val="0"/>
      <w:marTop w:val="0"/>
      <w:marBottom w:val="0"/>
      <w:divBdr>
        <w:top w:val="none" w:sz="0" w:space="0" w:color="auto"/>
        <w:left w:val="none" w:sz="0" w:space="0" w:color="auto"/>
        <w:bottom w:val="none" w:sz="0" w:space="0" w:color="auto"/>
        <w:right w:val="none" w:sz="0" w:space="0" w:color="auto"/>
      </w:divBdr>
    </w:div>
    <w:div w:id="2070690378">
      <w:marLeft w:val="0"/>
      <w:marRight w:val="0"/>
      <w:marTop w:val="0"/>
      <w:marBottom w:val="0"/>
      <w:divBdr>
        <w:top w:val="none" w:sz="0" w:space="0" w:color="auto"/>
        <w:left w:val="none" w:sz="0" w:space="0" w:color="auto"/>
        <w:bottom w:val="none" w:sz="0" w:space="0" w:color="auto"/>
        <w:right w:val="none" w:sz="0" w:space="0" w:color="auto"/>
      </w:divBdr>
    </w:div>
    <w:div w:id="2070690379">
      <w:marLeft w:val="0"/>
      <w:marRight w:val="0"/>
      <w:marTop w:val="0"/>
      <w:marBottom w:val="0"/>
      <w:divBdr>
        <w:top w:val="none" w:sz="0" w:space="0" w:color="auto"/>
        <w:left w:val="none" w:sz="0" w:space="0" w:color="auto"/>
        <w:bottom w:val="none" w:sz="0" w:space="0" w:color="auto"/>
        <w:right w:val="none" w:sz="0" w:space="0" w:color="auto"/>
      </w:divBdr>
    </w:div>
    <w:div w:id="2070690380">
      <w:marLeft w:val="0"/>
      <w:marRight w:val="0"/>
      <w:marTop w:val="0"/>
      <w:marBottom w:val="0"/>
      <w:divBdr>
        <w:top w:val="none" w:sz="0" w:space="0" w:color="auto"/>
        <w:left w:val="none" w:sz="0" w:space="0" w:color="auto"/>
        <w:bottom w:val="none" w:sz="0" w:space="0" w:color="auto"/>
        <w:right w:val="none" w:sz="0" w:space="0" w:color="auto"/>
      </w:divBdr>
    </w:div>
    <w:div w:id="2070690381">
      <w:marLeft w:val="0"/>
      <w:marRight w:val="0"/>
      <w:marTop w:val="0"/>
      <w:marBottom w:val="0"/>
      <w:divBdr>
        <w:top w:val="none" w:sz="0" w:space="0" w:color="auto"/>
        <w:left w:val="none" w:sz="0" w:space="0" w:color="auto"/>
        <w:bottom w:val="none" w:sz="0" w:space="0" w:color="auto"/>
        <w:right w:val="none" w:sz="0" w:space="0" w:color="auto"/>
      </w:divBdr>
    </w:div>
    <w:div w:id="2070690382">
      <w:marLeft w:val="0"/>
      <w:marRight w:val="0"/>
      <w:marTop w:val="0"/>
      <w:marBottom w:val="0"/>
      <w:divBdr>
        <w:top w:val="none" w:sz="0" w:space="0" w:color="auto"/>
        <w:left w:val="none" w:sz="0" w:space="0" w:color="auto"/>
        <w:bottom w:val="none" w:sz="0" w:space="0" w:color="auto"/>
        <w:right w:val="none" w:sz="0" w:space="0" w:color="auto"/>
      </w:divBdr>
    </w:div>
    <w:div w:id="2070690383">
      <w:marLeft w:val="0"/>
      <w:marRight w:val="0"/>
      <w:marTop w:val="0"/>
      <w:marBottom w:val="0"/>
      <w:divBdr>
        <w:top w:val="none" w:sz="0" w:space="0" w:color="auto"/>
        <w:left w:val="none" w:sz="0" w:space="0" w:color="auto"/>
        <w:bottom w:val="none" w:sz="0" w:space="0" w:color="auto"/>
        <w:right w:val="none" w:sz="0" w:space="0" w:color="auto"/>
      </w:divBdr>
    </w:div>
    <w:div w:id="2070690384">
      <w:marLeft w:val="0"/>
      <w:marRight w:val="0"/>
      <w:marTop w:val="0"/>
      <w:marBottom w:val="0"/>
      <w:divBdr>
        <w:top w:val="none" w:sz="0" w:space="0" w:color="auto"/>
        <w:left w:val="none" w:sz="0" w:space="0" w:color="auto"/>
        <w:bottom w:val="none" w:sz="0" w:space="0" w:color="auto"/>
        <w:right w:val="none" w:sz="0" w:space="0" w:color="auto"/>
      </w:divBdr>
    </w:div>
    <w:div w:id="2070690385">
      <w:marLeft w:val="0"/>
      <w:marRight w:val="0"/>
      <w:marTop w:val="0"/>
      <w:marBottom w:val="0"/>
      <w:divBdr>
        <w:top w:val="none" w:sz="0" w:space="0" w:color="auto"/>
        <w:left w:val="none" w:sz="0" w:space="0" w:color="auto"/>
        <w:bottom w:val="none" w:sz="0" w:space="0" w:color="auto"/>
        <w:right w:val="none" w:sz="0" w:space="0" w:color="auto"/>
      </w:divBdr>
    </w:div>
    <w:div w:id="2070690386">
      <w:marLeft w:val="0"/>
      <w:marRight w:val="0"/>
      <w:marTop w:val="0"/>
      <w:marBottom w:val="0"/>
      <w:divBdr>
        <w:top w:val="none" w:sz="0" w:space="0" w:color="auto"/>
        <w:left w:val="none" w:sz="0" w:space="0" w:color="auto"/>
        <w:bottom w:val="none" w:sz="0" w:space="0" w:color="auto"/>
        <w:right w:val="none" w:sz="0" w:space="0" w:color="auto"/>
      </w:divBdr>
    </w:div>
    <w:div w:id="2070690387">
      <w:marLeft w:val="0"/>
      <w:marRight w:val="0"/>
      <w:marTop w:val="0"/>
      <w:marBottom w:val="0"/>
      <w:divBdr>
        <w:top w:val="none" w:sz="0" w:space="0" w:color="auto"/>
        <w:left w:val="none" w:sz="0" w:space="0" w:color="auto"/>
        <w:bottom w:val="none" w:sz="0" w:space="0" w:color="auto"/>
        <w:right w:val="none" w:sz="0" w:space="0" w:color="auto"/>
      </w:divBdr>
    </w:div>
    <w:div w:id="2070690388">
      <w:marLeft w:val="0"/>
      <w:marRight w:val="0"/>
      <w:marTop w:val="0"/>
      <w:marBottom w:val="0"/>
      <w:divBdr>
        <w:top w:val="none" w:sz="0" w:space="0" w:color="auto"/>
        <w:left w:val="none" w:sz="0" w:space="0" w:color="auto"/>
        <w:bottom w:val="none" w:sz="0" w:space="0" w:color="auto"/>
        <w:right w:val="none" w:sz="0" w:space="0" w:color="auto"/>
      </w:divBdr>
    </w:div>
    <w:div w:id="2070690389">
      <w:marLeft w:val="0"/>
      <w:marRight w:val="0"/>
      <w:marTop w:val="0"/>
      <w:marBottom w:val="0"/>
      <w:divBdr>
        <w:top w:val="none" w:sz="0" w:space="0" w:color="auto"/>
        <w:left w:val="none" w:sz="0" w:space="0" w:color="auto"/>
        <w:bottom w:val="none" w:sz="0" w:space="0" w:color="auto"/>
        <w:right w:val="none" w:sz="0" w:space="0" w:color="auto"/>
      </w:divBdr>
    </w:div>
    <w:div w:id="2070690390">
      <w:marLeft w:val="0"/>
      <w:marRight w:val="0"/>
      <w:marTop w:val="0"/>
      <w:marBottom w:val="0"/>
      <w:divBdr>
        <w:top w:val="none" w:sz="0" w:space="0" w:color="auto"/>
        <w:left w:val="none" w:sz="0" w:space="0" w:color="auto"/>
        <w:bottom w:val="none" w:sz="0" w:space="0" w:color="auto"/>
        <w:right w:val="none" w:sz="0" w:space="0" w:color="auto"/>
      </w:divBdr>
    </w:div>
    <w:div w:id="2078824040">
      <w:bodyDiv w:val="1"/>
      <w:marLeft w:val="0"/>
      <w:marRight w:val="0"/>
      <w:marTop w:val="0"/>
      <w:marBottom w:val="0"/>
      <w:divBdr>
        <w:top w:val="none" w:sz="0" w:space="0" w:color="auto"/>
        <w:left w:val="none" w:sz="0" w:space="0" w:color="auto"/>
        <w:bottom w:val="none" w:sz="0" w:space="0" w:color="auto"/>
        <w:right w:val="none" w:sz="0" w:space="0" w:color="auto"/>
      </w:divBdr>
    </w:div>
    <w:div w:id="2079202403">
      <w:bodyDiv w:val="1"/>
      <w:marLeft w:val="0"/>
      <w:marRight w:val="0"/>
      <w:marTop w:val="0"/>
      <w:marBottom w:val="0"/>
      <w:divBdr>
        <w:top w:val="none" w:sz="0" w:space="0" w:color="auto"/>
        <w:left w:val="none" w:sz="0" w:space="0" w:color="auto"/>
        <w:bottom w:val="none" w:sz="0" w:space="0" w:color="auto"/>
        <w:right w:val="none" w:sz="0" w:space="0" w:color="auto"/>
      </w:divBdr>
    </w:div>
    <w:div w:id="2109689847">
      <w:bodyDiv w:val="1"/>
      <w:marLeft w:val="0"/>
      <w:marRight w:val="0"/>
      <w:marTop w:val="0"/>
      <w:marBottom w:val="0"/>
      <w:divBdr>
        <w:top w:val="none" w:sz="0" w:space="0" w:color="auto"/>
        <w:left w:val="none" w:sz="0" w:space="0" w:color="auto"/>
        <w:bottom w:val="none" w:sz="0" w:space="0" w:color="auto"/>
        <w:right w:val="none" w:sz="0" w:space="0" w:color="auto"/>
      </w:divBdr>
    </w:div>
    <w:div w:id="2110079651">
      <w:bodyDiv w:val="1"/>
      <w:marLeft w:val="0"/>
      <w:marRight w:val="0"/>
      <w:marTop w:val="0"/>
      <w:marBottom w:val="0"/>
      <w:divBdr>
        <w:top w:val="none" w:sz="0" w:space="0" w:color="auto"/>
        <w:left w:val="none" w:sz="0" w:space="0" w:color="auto"/>
        <w:bottom w:val="none" w:sz="0" w:space="0" w:color="auto"/>
        <w:right w:val="none" w:sz="0" w:space="0" w:color="auto"/>
      </w:divBdr>
    </w:div>
    <w:div w:id="2112125534">
      <w:bodyDiv w:val="1"/>
      <w:marLeft w:val="0"/>
      <w:marRight w:val="0"/>
      <w:marTop w:val="0"/>
      <w:marBottom w:val="0"/>
      <w:divBdr>
        <w:top w:val="none" w:sz="0" w:space="0" w:color="auto"/>
        <w:left w:val="none" w:sz="0" w:space="0" w:color="auto"/>
        <w:bottom w:val="none" w:sz="0" w:space="0" w:color="auto"/>
        <w:right w:val="none" w:sz="0" w:space="0" w:color="auto"/>
      </w:divBdr>
    </w:div>
    <w:div w:id="2116754277">
      <w:bodyDiv w:val="1"/>
      <w:marLeft w:val="0"/>
      <w:marRight w:val="0"/>
      <w:marTop w:val="0"/>
      <w:marBottom w:val="0"/>
      <w:divBdr>
        <w:top w:val="none" w:sz="0" w:space="0" w:color="auto"/>
        <w:left w:val="none" w:sz="0" w:space="0" w:color="auto"/>
        <w:bottom w:val="none" w:sz="0" w:space="0" w:color="auto"/>
        <w:right w:val="none" w:sz="0" w:space="0" w:color="auto"/>
      </w:divBdr>
    </w:div>
    <w:div w:id="2116901481">
      <w:bodyDiv w:val="1"/>
      <w:marLeft w:val="0"/>
      <w:marRight w:val="0"/>
      <w:marTop w:val="0"/>
      <w:marBottom w:val="0"/>
      <w:divBdr>
        <w:top w:val="none" w:sz="0" w:space="0" w:color="auto"/>
        <w:left w:val="none" w:sz="0" w:space="0" w:color="auto"/>
        <w:bottom w:val="none" w:sz="0" w:space="0" w:color="auto"/>
        <w:right w:val="none" w:sz="0" w:space="0" w:color="auto"/>
      </w:divBdr>
    </w:div>
    <w:div w:id="2122457788">
      <w:bodyDiv w:val="1"/>
      <w:marLeft w:val="0"/>
      <w:marRight w:val="0"/>
      <w:marTop w:val="0"/>
      <w:marBottom w:val="0"/>
      <w:divBdr>
        <w:top w:val="none" w:sz="0" w:space="0" w:color="auto"/>
        <w:left w:val="none" w:sz="0" w:space="0" w:color="auto"/>
        <w:bottom w:val="none" w:sz="0" w:space="0" w:color="auto"/>
        <w:right w:val="none" w:sz="0" w:space="0" w:color="auto"/>
      </w:divBdr>
    </w:div>
    <w:div w:id="21260006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header" Target="header1.xml"/><Relationship Id="rId18" Type="http://schemas.openxmlformats.org/officeDocument/2006/relationships/diagramData" Target="diagrams/data2.xm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diagramColors" Target="diagrams/colors2.xml"/><Relationship Id="rId34" Type="http://schemas.openxmlformats.org/officeDocument/2006/relationships/image" Target="media/image12.png"/><Relationship Id="rId42" Type="http://schemas.openxmlformats.org/officeDocument/2006/relationships/image" Target="media/image20.png"/><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image" Target="media/image1.png"/><Relationship Id="rId25" Type="http://schemas.openxmlformats.org/officeDocument/2006/relationships/image" Target="media/image4.png"/><Relationship Id="rId33" Type="http://schemas.openxmlformats.org/officeDocument/2006/relationships/image" Target="media/image11.png"/><Relationship Id="rId38"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diagramQuickStyle" Target="diagrams/quickStyle2.xml"/><Relationship Id="rId29" Type="http://schemas.openxmlformats.org/officeDocument/2006/relationships/hyperlink" Target="http://www.nap.bg" TargetMode="External"/><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4.png"/><Relationship Id="rId10" Type="http://schemas.openxmlformats.org/officeDocument/2006/relationships/diagramQuickStyle" Target="diagrams/quickStyle1.xml"/><Relationship Id="rId19" Type="http://schemas.openxmlformats.org/officeDocument/2006/relationships/diagramLayout" Target="diagrams/layout2.xml"/><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footer" Target="footer1.xml"/><Relationship Id="rId22" Type="http://schemas.microsoft.com/office/2007/relationships/diagramDrawing" Target="diagrams/drawing2.xm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emf"/></Relationships>
</file>

<file path=word/_rels/footnotes.xml.rels><?xml version="1.0" encoding="UTF-8" standalone="yes"?>
<Relationships xmlns="http://schemas.openxmlformats.org/package/2006/relationships"><Relationship Id="rId3" Type="http://schemas.openxmlformats.org/officeDocument/2006/relationships/hyperlink" Target="https://web.apis.bg/p.php?i=761517&amp;b=0" TargetMode="External"/><Relationship Id="rId2" Type="http://schemas.openxmlformats.org/officeDocument/2006/relationships/hyperlink" Target="https://eur-lex.europa.eu/legal-content/BG/TXT/HTML/?uri=CELEX:52020DC0123&amp;from=EN" TargetMode="External"/><Relationship Id="rId1" Type="http://schemas.openxmlformats.org/officeDocument/2006/relationships/hyperlink" Target="https://www.minfin.bg/upload/52199/MacroForecast_May2022_bg.pdf"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Milen\Downloads\graphs_2023.04.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68827985340102"/>
          <c:y val="6.1552417251369992E-2"/>
          <c:w val="0.86490245666899956"/>
          <c:h val="0.66095214907693811"/>
        </c:manualLayout>
      </c:layout>
      <c:lineChart>
        <c:grouping val="standard"/>
        <c:varyColors val="0"/>
        <c:ser>
          <c:idx val="0"/>
          <c:order val="0"/>
          <c:tx>
            <c:strRef>
              <c:f>[graphs_2023.04.xlsx]data!$B$783</c:f>
              <c:strCache>
                <c:ptCount val="1"/>
                <c:pt idx="0">
                  <c:v>Кредити за нефинансови предприятия</c:v>
                </c:pt>
              </c:strCache>
            </c:strRef>
          </c:tx>
          <c:spPr>
            <a:ln w="22225">
              <a:solidFill>
                <a:srgbClr val="5B9BD5">
                  <a:lumMod val="60000"/>
                  <a:lumOff val="40000"/>
                </a:srgbClr>
              </a:solidFill>
              <a:prstDash val="dash"/>
            </a:ln>
          </c:spPr>
          <c:marker>
            <c:symbol val="none"/>
          </c:marker>
          <c:cat>
            <c:multiLvlStrRef>
              <c:f>[graphs_2023.04.xlsx]data!$BY$778:$CV$779</c:f>
              <c:multiLvlStrCache>
                <c:ptCount val="24"/>
                <c:lvl>
                  <c:pt idx="0">
                    <c:v> </c:v>
                  </c:pt>
                  <c:pt idx="1">
                    <c:v> </c:v>
                  </c:pt>
                  <c:pt idx="2">
                    <c:v>3</c:v>
                  </c:pt>
                  <c:pt idx="5">
                    <c:v>6</c:v>
                  </c:pt>
                  <c:pt idx="8">
                    <c:v>9</c:v>
                  </c:pt>
                  <c:pt idx="11">
                    <c:v>12</c:v>
                  </c:pt>
                  <c:pt idx="14">
                    <c:v>3</c:v>
                  </c:pt>
                  <c:pt idx="17">
                    <c:v>6</c:v>
                  </c:pt>
                  <c:pt idx="20">
                    <c:v>9</c:v>
                  </c:pt>
                  <c:pt idx="23">
                    <c:v>12</c:v>
                  </c:pt>
                </c:lvl>
                <c:lvl>
                  <c:pt idx="0">
                    <c:v>2021</c:v>
                  </c:pt>
                  <c:pt idx="12">
                    <c:v>2022</c:v>
                  </c:pt>
                </c:lvl>
              </c:multiLvlStrCache>
            </c:multiLvlStrRef>
          </c:cat>
          <c:val>
            <c:numRef>
              <c:f>[graphs_2023.04.xlsx]data!$BY$783:$CV$783</c:f>
              <c:numCache>
                <c:formatCode>0\.0</c:formatCode>
                <c:ptCount val="24"/>
                <c:pt idx="0">
                  <c:v>3.4027757798697422</c:v>
                </c:pt>
                <c:pt idx="1">
                  <c:v>2.6034357462477544</c:v>
                </c:pt>
                <c:pt idx="2">
                  <c:v>2.7026919148366773</c:v>
                </c:pt>
                <c:pt idx="3">
                  <c:v>4.2659658981148567</c:v>
                </c:pt>
                <c:pt idx="4">
                  <c:v>4.0477728943888849</c:v>
                </c:pt>
                <c:pt idx="5">
                  <c:v>3.1645846954146748</c:v>
                </c:pt>
                <c:pt idx="6">
                  <c:v>4.5149936850171599</c:v>
                </c:pt>
                <c:pt idx="7">
                  <c:v>4.2420084239225702</c:v>
                </c:pt>
                <c:pt idx="8">
                  <c:v>4.125694618523795</c:v>
                </c:pt>
                <c:pt idx="9">
                  <c:v>4.4377720494824615</c:v>
                </c:pt>
                <c:pt idx="10">
                  <c:v>4.1468420732010145</c:v>
                </c:pt>
                <c:pt idx="11">
                  <c:v>4.5924655885479808</c:v>
                </c:pt>
                <c:pt idx="12">
                  <c:v>4.8166081595947503</c:v>
                </c:pt>
                <c:pt idx="13">
                  <c:v>6.6472861542545587</c:v>
                </c:pt>
                <c:pt idx="14">
                  <c:v>7.9144740375762552</c:v>
                </c:pt>
                <c:pt idx="15">
                  <c:v>7.7381057640189681</c:v>
                </c:pt>
                <c:pt idx="16">
                  <c:v>8.5124507685822692</c:v>
                </c:pt>
                <c:pt idx="17">
                  <c:v>10.579595591079212</c:v>
                </c:pt>
                <c:pt idx="18">
                  <c:v>10.983234781492655</c:v>
                </c:pt>
                <c:pt idx="19">
                  <c:v>12.147841164185962</c:v>
                </c:pt>
                <c:pt idx="20">
                  <c:v>11.415888193525433</c:v>
                </c:pt>
                <c:pt idx="21">
                  <c:v>10.38829802527421</c:v>
                </c:pt>
                <c:pt idx="22">
                  <c:v>11.094223780030774</c:v>
                </c:pt>
                <c:pt idx="23">
                  <c:v>10.370919806484835</c:v>
                </c:pt>
              </c:numCache>
            </c:numRef>
          </c:val>
          <c:smooth val="0"/>
          <c:extLst>
            <c:ext xmlns:c16="http://schemas.microsoft.com/office/drawing/2014/chart" uri="{C3380CC4-5D6E-409C-BE32-E72D297353CC}">
              <c16:uniqueId val="{00000000-2DB7-4E61-B0EC-A4A291BBC2E2}"/>
            </c:ext>
          </c:extLst>
        </c:ser>
        <c:ser>
          <c:idx val="1"/>
          <c:order val="1"/>
          <c:tx>
            <c:strRef>
              <c:f>[graphs_2023.04.xlsx]data!$B$784</c:f>
              <c:strCache>
                <c:ptCount val="1"/>
                <c:pt idx="0">
                  <c:v>Потребителски кредити на домакинствата</c:v>
                </c:pt>
              </c:strCache>
            </c:strRef>
          </c:tx>
          <c:spPr>
            <a:ln w="12700" cmpd="sng">
              <a:solidFill>
                <a:schemeClr val="accent1">
                  <a:lumMod val="75000"/>
                </a:schemeClr>
              </a:solidFill>
            </a:ln>
          </c:spPr>
          <c:marker>
            <c:symbol val="none"/>
          </c:marker>
          <c:cat>
            <c:multiLvlStrRef>
              <c:f>[graphs_2023.04.xlsx]data!$BY$778:$CV$779</c:f>
              <c:multiLvlStrCache>
                <c:ptCount val="24"/>
                <c:lvl>
                  <c:pt idx="0">
                    <c:v> </c:v>
                  </c:pt>
                  <c:pt idx="1">
                    <c:v> </c:v>
                  </c:pt>
                  <c:pt idx="2">
                    <c:v>3</c:v>
                  </c:pt>
                  <c:pt idx="5">
                    <c:v>6</c:v>
                  </c:pt>
                  <c:pt idx="8">
                    <c:v>9</c:v>
                  </c:pt>
                  <c:pt idx="11">
                    <c:v>12</c:v>
                  </c:pt>
                  <c:pt idx="14">
                    <c:v>3</c:v>
                  </c:pt>
                  <c:pt idx="17">
                    <c:v>6</c:v>
                  </c:pt>
                  <c:pt idx="20">
                    <c:v>9</c:v>
                  </c:pt>
                  <c:pt idx="23">
                    <c:v>12</c:v>
                  </c:pt>
                </c:lvl>
                <c:lvl>
                  <c:pt idx="0">
                    <c:v>2021</c:v>
                  </c:pt>
                  <c:pt idx="12">
                    <c:v>2022</c:v>
                  </c:pt>
                </c:lvl>
              </c:multiLvlStrCache>
            </c:multiLvlStrRef>
          </c:cat>
          <c:val>
            <c:numRef>
              <c:f>[graphs_2023.04.xlsx]data!$BY$784:$CV$784</c:f>
              <c:numCache>
                <c:formatCode>0\.0</c:formatCode>
                <c:ptCount val="24"/>
                <c:pt idx="0">
                  <c:v>5.8094045245746315</c:v>
                </c:pt>
                <c:pt idx="1">
                  <c:v>5.8680962519018181</c:v>
                </c:pt>
                <c:pt idx="2">
                  <c:v>6.5575968121330988</c:v>
                </c:pt>
                <c:pt idx="3">
                  <c:v>8.6123366457760966</c:v>
                </c:pt>
                <c:pt idx="4">
                  <c:v>9.8373787960180294</c:v>
                </c:pt>
                <c:pt idx="5">
                  <c:v>10.106307539145803</c:v>
                </c:pt>
                <c:pt idx="6">
                  <c:v>10.463409183424403</c:v>
                </c:pt>
                <c:pt idx="7">
                  <c:v>10.953722605139163</c:v>
                </c:pt>
                <c:pt idx="8">
                  <c:v>11.036393041665221</c:v>
                </c:pt>
                <c:pt idx="9">
                  <c:v>11.199763665466506</c:v>
                </c:pt>
                <c:pt idx="10">
                  <c:v>11.471436929924621</c:v>
                </c:pt>
                <c:pt idx="11">
                  <c:v>12.206132453086283</c:v>
                </c:pt>
                <c:pt idx="12">
                  <c:v>11.103109886809648</c:v>
                </c:pt>
                <c:pt idx="13">
                  <c:v>11.218402071821671</c:v>
                </c:pt>
                <c:pt idx="14">
                  <c:v>11.73299258210622</c:v>
                </c:pt>
                <c:pt idx="15">
                  <c:v>11.918258056291918</c:v>
                </c:pt>
                <c:pt idx="16">
                  <c:v>12.327092856199613</c:v>
                </c:pt>
                <c:pt idx="17">
                  <c:v>13.005051496740364</c:v>
                </c:pt>
                <c:pt idx="18">
                  <c:v>13.071300367180825</c:v>
                </c:pt>
                <c:pt idx="19">
                  <c:v>13.524436397262434</c:v>
                </c:pt>
                <c:pt idx="20">
                  <c:v>13.866715202806716</c:v>
                </c:pt>
                <c:pt idx="21">
                  <c:v>13.842249063839418</c:v>
                </c:pt>
                <c:pt idx="22">
                  <c:v>14.126914745762292</c:v>
                </c:pt>
                <c:pt idx="23">
                  <c:v>12.383627797108755</c:v>
                </c:pt>
              </c:numCache>
            </c:numRef>
          </c:val>
          <c:smooth val="0"/>
          <c:extLst>
            <c:ext xmlns:c16="http://schemas.microsoft.com/office/drawing/2014/chart" uri="{C3380CC4-5D6E-409C-BE32-E72D297353CC}">
              <c16:uniqueId val="{00000001-2DB7-4E61-B0EC-A4A291BBC2E2}"/>
            </c:ext>
          </c:extLst>
        </c:ser>
        <c:ser>
          <c:idx val="2"/>
          <c:order val="2"/>
          <c:tx>
            <c:strRef>
              <c:f>[graphs_2023.04.xlsx]data!$B$785</c:f>
              <c:strCache>
                <c:ptCount val="1"/>
                <c:pt idx="0">
                  <c:v>Жилищни кредити на домакинствата</c:v>
                </c:pt>
              </c:strCache>
            </c:strRef>
          </c:tx>
          <c:spPr>
            <a:ln w="28575" cmpd="sng">
              <a:solidFill>
                <a:sysClr val="windowText" lastClr="000000">
                  <a:lumMod val="50000"/>
                  <a:lumOff val="50000"/>
                </a:sysClr>
              </a:solidFill>
              <a:prstDash val="solid"/>
            </a:ln>
          </c:spPr>
          <c:marker>
            <c:symbol val="none"/>
          </c:marker>
          <c:cat>
            <c:multiLvlStrRef>
              <c:f>[graphs_2023.04.xlsx]data!$BY$778:$CV$779</c:f>
              <c:multiLvlStrCache>
                <c:ptCount val="24"/>
                <c:lvl>
                  <c:pt idx="0">
                    <c:v> </c:v>
                  </c:pt>
                  <c:pt idx="1">
                    <c:v> </c:v>
                  </c:pt>
                  <c:pt idx="2">
                    <c:v>3</c:v>
                  </c:pt>
                  <c:pt idx="5">
                    <c:v>6</c:v>
                  </c:pt>
                  <c:pt idx="8">
                    <c:v>9</c:v>
                  </c:pt>
                  <c:pt idx="11">
                    <c:v>12</c:v>
                  </c:pt>
                  <c:pt idx="14">
                    <c:v>3</c:v>
                  </c:pt>
                  <c:pt idx="17">
                    <c:v>6</c:v>
                  </c:pt>
                  <c:pt idx="20">
                    <c:v>9</c:v>
                  </c:pt>
                  <c:pt idx="23">
                    <c:v>12</c:v>
                  </c:pt>
                </c:lvl>
                <c:lvl>
                  <c:pt idx="0">
                    <c:v>2021</c:v>
                  </c:pt>
                  <c:pt idx="12">
                    <c:v>2022</c:v>
                  </c:pt>
                </c:lvl>
              </c:multiLvlStrCache>
            </c:multiLvlStrRef>
          </c:cat>
          <c:val>
            <c:numRef>
              <c:f>[graphs_2023.04.xlsx]data!$BY$785:$CV$785</c:f>
              <c:numCache>
                <c:formatCode>0\.0</c:formatCode>
                <c:ptCount val="24"/>
                <c:pt idx="0">
                  <c:v>10.300319439269785</c:v>
                </c:pt>
                <c:pt idx="1">
                  <c:v>10.21746144379631</c:v>
                </c:pt>
                <c:pt idx="2">
                  <c:v>10.748512217796375</c:v>
                </c:pt>
                <c:pt idx="3">
                  <c:v>11.603528917669365</c:v>
                </c:pt>
                <c:pt idx="4">
                  <c:v>12.248200250384429</c:v>
                </c:pt>
                <c:pt idx="5">
                  <c:v>13.394707147817456</c:v>
                </c:pt>
                <c:pt idx="6">
                  <c:v>13.928529440051733</c:v>
                </c:pt>
                <c:pt idx="7">
                  <c:v>14.677895888697833</c:v>
                </c:pt>
                <c:pt idx="8">
                  <c:v>15.023933891060182</c:v>
                </c:pt>
                <c:pt idx="9">
                  <c:v>15.377272338324332</c:v>
                </c:pt>
                <c:pt idx="10">
                  <c:v>15.739214411084859</c:v>
                </c:pt>
                <c:pt idx="11">
                  <c:v>16.541327729191664</c:v>
                </c:pt>
                <c:pt idx="12">
                  <c:v>18.100591051390552</c:v>
                </c:pt>
                <c:pt idx="13">
                  <c:v>18.19263273872636</c:v>
                </c:pt>
                <c:pt idx="14">
                  <c:v>18.335907164629688</c:v>
                </c:pt>
                <c:pt idx="15">
                  <c:v>18.071009874816497</c:v>
                </c:pt>
                <c:pt idx="16">
                  <c:v>18.332293989330026</c:v>
                </c:pt>
                <c:pt idx="17">
                  <c:v>18.221698664232619</c:v>
                </c:pt>
                <c:pt idx="18">
                  <c:v>18.16232101044011</c:v>
                </c:pt>
                <c:pt idx="19">
                  <c:v>17.994538460204438</c:v>
                </c:pt>
                <c:pt idx="20">
                  <c:v>18.030285978947603</c:v>
                </c:pt>
                <c:pt idx="21">
                  <c:v>17.919230530439108</c:v>
                </c:pt>
                <c:pt idx="22">
                  <c:v>17.987835589083232</c:v>
                </c:pt>
                <c:pt idx="23">
                  <c:v>17.835206546122674</c:v>
                </c:pt>
              </c:numCache>
            </c:numRef>
          </c:val>
          <c:smooth val="0"/>
          <c:extLst>
            <c:ext xmlns:c16="http://schemas.microsoft.com/office/drawing/2014/chart" uri="{C3380CC4-5D6E-409C-BE32-E72D297353CC}">
              <c16:uniqueId val="{00000002-2DB7-4E61-B0EC-A4A291BBC2E2}"/>
            </c:ext>
          </c:extLst>
        </c:ser>
        <c:dLbls>
          <c:showLegendKey val="0"/>
          <c:showVal val="0"/>
          <c:showCatName val="0"/>
          <c:showSerName val="0"/>
          <c:showPercent val="0"/>
          <c:showBubbleSize val="0"/>
        </c:dLbls>
        <c:marker val="1"/>
        <c:smooth val="0"/>
        <c:axId val="153323392"/>
        <c:axId val="153324928"/>
      </c:lineChart>
      <c:lineChart>
        <c:grouping val="standard"/>
        <c:varyColors val="0"/>
        <c:ser>
          <c:idx val="3"/>
          <c:order val="3"/>
          <c:tx>
            <c:strRef>
              <c:f>[graphs_2023.04.xlsx]data!$B$787</c:f>
              <c:strCache>
                <c:ptCount val="1"/>
                <c:pt idx="0">
                  <c:v>Лихвен процент, д.с.</c:v>
                </c:pt>
              </c:strCache>
            </c:strRef>
          </c:tx>
          <c:spPr>
            <a:ln w="15875" cmpd="sng">
              <a:solidFill>
                <a:srgbClr val="ED7D31"/>
              </a:solidFill>
              <a:prstDash val="sysDot"/>
            </a:ln>
          </c:spPr>
          <c:marker>
            <c:symbol val="none"/>
          </c:marker>
          <c:cat>
            <c:multiLvlStrRef>
              <c:f>[graphs_2023.04.xlsx]data!$BM$778:$CW$779</c:f>
              <c:multiLvlStrCache>
                <c:ptCount val="37"/>
                <c:lvl>
                  <c:pt idx="0">
                    <c:v> </c:v>
                  </c:pt>
                  <c:pt idx="1">
                    <c:v> </c:v>
                  </c:pt>
                  <c:pt idx="2">
                    <c:v> </c:v>
                  </c:pt>
                  <c:pt idx="3">
                    <c:v> </c:v>
                  </c:pt>
                  <c:pt idx="4">
                    <c:v> </c:v>
                  </c:pt>
                  <c:pt idx="5">
                    <c:v> </c:v>
                  </c:pt>
                  <c:pt idx="6">
                    <c:v> </c:v>
                  </c:pt>
                  <c:pt idx="7">
                    <c:v> </c:v>
                  </c:pt>
                  <c:pt idx="8">
                    <c:v> </c:v>
                  </c:pt>
                  <c:pt idx="9">
                    <c:v> </c:v>
                  </c:pt>
                  <c:pt idx="10">
                    <c:v> </c:v>
                  </c:pt>
                  <c:pt idx="11">
                    <c:v> </c:v>
                  </c:pt>
                  <c:pt idx="12">
                    <c:v> </c:v>
                  </c:pt>
                  <c:pt idx="13">
                    <c:v> </c:v>
                  </c:pt>
                  <c:pt idx="14">
                    <c:v>3</c:v>
                  </c:pt>
                  <c:pt idx="17">
                    <c:v>6</c:v>
                  </c:pt>
                  <c:pt idx="20">
                    <c:v>9</c:v>
                  </c:pt>
                  <c:pt idx="23">
                    <c:v>12</c:v>
                  </c:pt>
                  <c:pt idx="26">
                    <c:v>3</c:v>
                  </c:pt>
                  <c:pt idx="29">
                    <c:v>6</c:v>
                  </c:pt>
                  <c:pt idx="32">
                    <c:v>9</c:v>
                  </c:pt>
                  <c:pt idx="35">
                    <c:v>12</c:v>
                  </c:pt>
                  <c:pt idx="36">
                    <c:v>1</c:v>
                  </c:pt>
                </c:lvl>
                <c:lvl>
                  <c:pt idx="0">
                    <c:v>2020</c:v>
                  </c:pt>
                  <c:pt idx="12">
                    <c:v>2021</c:v>
                  </c:pt>
                  <c:pt idx="24">
                    <c:v>2022</c:v>
                  </c:pt>
                  <c:pt idx="36">
                    <c:v>2023</c:v>
                  </c:pt>
                </c:lvl>
              </c:multiLvlStrCache>
            </c:multiLvlStrRef>
          </c:cat>
          <c:val>
            <c:numRef>
              <c:f>[graphs_2023.04.xlsx]data!$BY$787:$CV$787</c:f>
              <c:numCache>
                <c:formatCode>0\.0</c:formatCode>
                <c:ptCount val="24"/>
                <c:pt idx="0">
                  <c:v>3.9932028686315291</c:v>
                </c:pt>
                <c:pt idx="1">
                  <c:v>4.0272743997662861</c:v>
                </c:pt>
                <c:pt idx="2">
                  <c:v>3.5833905352888342</c:v>
                </c:pt>
                <c:pt idx="3">
                  <c:v>3.8638493416686002</c:v>
                </c:pt>
                <c:pt idx="4">
                  <c:v>4.0084185196652999</c:v>
                </c:pt>
                <c:pt idx="5">
                  <c:v>3.9666583854461819</c:v>
                </c:pt>
                <c:pt idx="6">
                  <c:v>3.9997454117528037</c:v>
                </c:pt>
                <c:pt idx="7">
                  <c:v>3.7766583473622859</c:v>
                </c:pt>
                <c:pt idx="8">
                  <c:v>4.0869168839987235</c:v>
                </c:pt>
                <c:pt idx="9">
                  <c:v>3.8029234316793512</c:v>
                </c:pt>
                <c:pt idx="10">
                  <c:v>3.7460470002413948</c:v>
                </c:pt>
                <c:pt idx="11">
                  <c:v>3.4673035858394456</c:v>
                </c:pt>
                <c:pt idx="12">
                  <c:v>4.0072472260957692</c:v>
                </c:pt>
                <c:pt idx="13">
                  <c:v>3.761258164711764</c:v>
                </c:pt>
                <c:pt idx="14">
                  <c:v>3.7596702718374795</c:v>
                </c:pt>
                <c:pt idx="15">
                  <c:v>3.6610864231491638</c:v>
                </c:pt>
                <c:pt idx="16">
                  <c:v>3.6175768763587661</c:v>
                </c:pt>
                <c:pt idx="17">
                  <c:v>3.680454668391445</c:v>
                </c:pt>
                <c:pt idx="18">
                  <c:v>3.6435917524336201</c:v>
                </c:pt>
                <c:pt idx="19">
                  <c:v>3.7736608062023711</c:v>
                </c:pt>
                <c:pt idx="20">
                  <c:v>4.1909655867988382</c:v>
                </c:pt>
                <c:pt idx="21">
                  <c:v>4.1333303780852866</c:v>
                </c:pt>
                <c:pt idx="22">
                  <c:v>4.235160139470068</c:v>
                </c:pt>
                <c:pt idx="23">
                  <c:v>4.3221814221379553</c:v>
                </c:pt>
              </c:numCache>
            </c:numRef>
          </c:val>
          <c:smooth val="0"/>
          <c:extLst>
            <c:ext xmlns:c16="http://schemas.microsoft.com/office/drawing/2014/chart" uri="{C3380CC4-5D6E-409C-BE32-E72D297353CC}">
              <c16:uniqueId val="{00000003-2DB7-4E61-B0EC-A4A291BBC2E2}"/>
            </c:ext>
          </c:extLst>
        </c:ser>
        <c:dLbls>
          <c:showLegendKey val="0"/>
          <c:showVal val="0"/>
          <c:showCatName val="0"/>
          <c:showSerName val="0"/>
          <c:showPercent val="0"/>
          <c:showBubbleSize val="0"/>
        </c:dLbls>
        <c:marker val="1"/>
        <c:smooth val="0"/>
        <c:axId val="153348736"/>
        <c:axId val="153347200"/>
      </c:lineChart>
      <c:catAx>
        <c:axId val="153323392"/>
        <c:scaling>
          <c:orientation val="minMax"/>
        </c:scaling>
        <c:delete val="0"/>
        <c:axPos val="b"/>
        <c:numFmt formatCode="General" sourceLinked="0"/>
        <c:majorTickMark val="out"/>
        <c:minorTickMark val="none"/>
        <c:tickLblPos val="low"/>
        <c:crossAx val="153324928"/>
        <c:crosses val="autoZero"/>
        <c:auto val="1"/>
        <c:lblAlgn val="ctr"/>
        <c:lblOffset val="0"/>
        <c:tickLblSkip val="1"/>
        <c:noMultiLvlLbl val="0"/>
      </c:catAx>
      <c:valAx>
        <c:axId val="153324928"/>
        <c:scaling>
          <c:orientation val="minMax"/>
        </c:scaling>
        <c:delete val="0"/>
        <c:axPos val="l"/>
        <c:majorGridlines/>
        <c:numFmt formatCode="0" sourceLinked="0"/>
        <c:majorTickMark val="none"/>
        <c:minorTickMark val="none"/>
        <c:tickLblPos val="nextTo"/>
        <c:spPr>
          <a:ln w="9525">
            <a:noFill/>
          </a:ln>
        </c:spPr>
        <c:crossAx val="153323392"/>
        <c:crossesAt val="1"/>
        <c:crossBetween val="between"/>
      </c:valAx>
      <c:valAx>
        <c:axId val="153347200"/>
        <c:scaling>
          <c:orientation val="minMax"/>
          <c:max val="6"/>
          <c:min val="2"/>
        </c:scaling>
        <c:delete val="0"/>
        <c:axPos val="r"/>
        <c:numFmt formatCode="0" sourceLinked="0"/>
        <c:majorTickMark val="out"/>
        <c:minorTickMark val="none"/>
        <c:tickLblPos val="nextTo"/>
        <c:spPr>
          <a:ln>
            <a:noFill/>
          </a:ln>
        </c:spPr>
        <c:crossAx val="153348736"/>
        <c:crosses val="max"/>
        <c:crossBetween val="between"/>
      </c:valAx>
      <c:catAx>
        <c:axId val="153348736"/>
        <c:scaling>
          <c:orientation val="minMax"/>
        </c:scaling>
        <c:delete val="1"/>
        <c:axPos val="b"/>
        <c:numFmt formatCode="General" sourceLinked="1"/>
        <c:majorTickMark val="out"/>
        <c:minorTickMark val="none"/>
        <c:tickLblPos val="none"/>
        <c:crossAx val="153347200"/>
        <c:crosses val="autoZero"/>
        <c:auto val="1"/>
        <c:lblAlgn val="ctr"/>
        <c:lblOffset val="100"/>
        <c:noMultiLvlLbl val="0"/>
      </c:catAx>
      <c:spPr>
        <a:noFill/>
      </c:spPr>
    </c:plotArea>
    <c:legend>
      <c:legendPos val="b"/>
      <c:layout>
        <c:manualLayout>
          <c:xMode val="edge"/>
          <c:yMode val="edge"/>
          <c:x val="8.9094368340943853E-3"/>
          <c:y val="0.87041314143532478"/>
          <c:w val="0.99109056316590549"/>
          <c:h val="0.12958685856467519"/>
        </c:manualLayout>
      </c:layout>
      <c:overlay val="0"/>
      <c:txPr>
        <a:bodyPr/>
        <a:lstStyle/>
        <a:p>
          <a:pPr>
            <a:defRPr sz="800" baseline="0">
              <a:latin typeface="Times New Roman" panose="02020603050405020304" pitchFamily="18" charset="0"/>
            </a:defRPr>
          </a:pPr>
          <a:endParaRPr lang="bg-BG"/>
        </a:p>
      </c:txPr>
    </c:legend>
    <c:plotVisOnly val="1"/>
    <c:dispBlanksAs val="gap"/>
    <c:showDLblsOverMax val="0"/>
  </c:chart>
  <c:spPr>
    <a:noFill/>
    <a:ln>
      <a:noFill/>
    </a:ln>
  </c:spPr>
  <c:txPr>
    <a:bodyPr/>
    <a:lstStyle/>
    <a:p>
      <a:pPr>
        <a:defRPr sz="800">
          <a:latin typeface="+mn-lt"/>
        </a:defRPr>
      </a:pPr>
      <a:endParaRPr lang="bg-BG"/>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9BAD478-3756-462D-90DA-26FD95503A80}" type="doc">
      <dgm:prSet loTypeId="urn:microsoft.com/office/officeart/2005/8/layout/default" loCatId="list" qsTypeId="urn:microsoft.com/office/officeart/2005/8/quickstyle/simple3" qsCatId="simple" csTypeId="urn:microsoft.com/office/officeart/2005/8/colors/accent2_2" csCatId="accent2" phldr="1"/>
      <dgm:spPr/>
      <dgm:t>
        <a:bodyPr/>
        <a:lstStyle/>
        <a:p>
          <a:endParaRPr lang="en-US"/>
        </a:p>
      </dgm:t>
    </dgm:pt>
    <dgm:pt modelId="{05A9D61F-47B6-4496-91F8-C7D4FAB49B92}">
      <dgm:prSet custT="1"/>
      <dgm:spPr/>
      <dgm:t>
        <a:bodyPr/>
        <a:lstStyle/>
        <a:p>
          <a:r>
            <a:rPr lang="bg-BG" sz="1900" b="1">
              <a:latin typeface="Times New Roman" panose="02020603050405020304" pitchFamily="18" charset="0"/>
              <a:cs typeface="Times New Roman" panose="02020603050405020304" pitchFamily="18" charset="0"/>
            </a:rPr>
            <a:t>ДОКЛАД</a:t>
          </a:r>
        </a:p>
        <a:p>
          <a:endParaRPr lang="bg-BG" sz="1900" b="1">
            <a:latin typeface="Times New Roman" panose="02020603050405020304" pitchFamily="18" charset="0"/>
            <a:cs typeface="Times New Roman" panose="02020603050405020304" pitchFamily="18" charset="0"/>
          </a:endParaRPr>
        </a:p>
        <a:p>
          <a:r>
            <a:rPr lang="bg-BG" sz="1900" b="1">
              <a:latin typeface="Times New Roman" panose="02020603050405020304" pitchFamily="18" charset="0"/>
              <a:cs typeface="Times New Roman" panose="02020603050405020304" pitchFamily="18" charset="0"/>
            </a:rPr>
            <a:t>ПО ОТЧЕТА ЗА ИЗПЪЛНЕНИЕТО НА</a:t>
          </a:r>
        </a:p>
        <a:p>
          <a:r>
            <a:rPr lang="bg-BG" sz="1900" b="1">
              <a:latin typeface="Times New Roman" panose="02020603050405020304" pitchFamily="18" charset="0"/>
              <a:cs typeface="Times New Roman" panose="02020603050405020304" pitchFamily="18" charset="0"/>
            </a:rPr>
            <a:t>ДЪРЖАВНИЯ БЮДЖЕТ НА</a:t>
          </a:r>
        </a:p>
        <a:p>
          <a:r>
            <a:rPr lang="bg-BG" sz="1900" b="1">
              <a:latin typeface="Times New Roman" panose="02020603050405020304" pitchFamily="18" charset="0"/>
              <a:cs typeface="Times New Roman" panose="02020603050405020304" pitchFamily="18" charset="0"/>
            </a:rPr>
            <a:t>РЕПУБЛИКА БЪЛГАРИЯ</a:t>
          </a:r>
        </a:p>
        <a:p>
          <a:r>
            <a:rPr lang="bg-BG" sz="1900" b="1">
              <a:latin typeface="Times New Roman" panose="02020603050405020304" pitchFamily="18" charset="0"/>
              <a:cs typeface="Times New Roman" panose="02020603050405020304" pitchFamily="18" charset="0"/>
            </a:rPr>
            <a:t>ЗА 2022 ГОДИНА</a:t>
          </a:r>
        </a:p>
      </dgm:t>
    </dgm:pt>
    <dgm:pt modelId="{682C0349-975E-47EB-BBF0-FC7DC69ED869}" type="parTrans" cxnId="{E46197CE-7A5F-4465-B4CD-BDF6C12D6C38}">
      <dgm:prSet/>
      <dgm:spPr/>
      <dgm:t>
        <a:bodyPr/>
        <a:lstStyle/>
        <a:p>
          <a:endParaRPr lang="en-US"/>
        </a:p>
      </dgm:t>
    </dgm:pt>
    <dgm:pt modelId="{8996C83E-4140-4A35-8503-AA5176033FF2}" type="sibTrans" cxnId="{E46197CE-7A5F-4465-B4CD-BDF6C12D6C38}">
      <dgm:prSet/>
      <dgm:spPr/>
      <dgm:t>
        <a:bodyPr/>
        <a:lstStyle/>
        <a:p>
          <a:endParaRPr lang="en-US"/>
        </a:p>
      </dgm:t>
    </dgm:pt>
    <dgm:pt modelId="{D989F56E-FEDF-49C3-818E-45D13B3E25FC}" type="pres">
      <dgm:prSet presAssocID="{29BAD478-3756-462D-90DA-26FD95503A80}" presName="diagram" presStyleCnt="0">
        <dgm:presLayoutVars>
          <dgm:dir/>
          <dgm:resizeHandles val="exact"/>
        </dgm:presLayoutVars>
      </dgm:prSet>
      <dgm:spPr/>
      <dgm:t>
        <a:bodyPr/>
        <a:lstStyle/>
        <a:p>
          <a:endParaRPr lang="bg-BG"/>
        </a:p>
      </dgm:t>
    </dgm:pt>
    <dgm:pt modelId="{2DD8188B-70E4-40E0-B91F-91B5794D99C1}" type="pres">
      <dgm:prSet presAssocID="{05A9D61F-47B6-4496-91F8-C7D4FAB49B92}" presName="node" presStyleLbl="node1" presStyleIdx="0" presStyleCnt="1" custScaleX="132300">
        <dgm:presLayoutVars>
          <dgm:bulletEnabled val="1"/>
        </dgm:presLayoutVars>
      </dgm:prSet>
      <dgm:spPr/>
      <dgm:t>
        <a:bodyPr/>
        <a:lstStyle/>
        <a:p>
          <a:endParaRPr lang="en-US"/>
        </a:p>
      </dgm:t>
    </dgm:pt>
  </dgm:ptLst>
  <dgm:cxnLst>
    <dgm:cxn modelId="{E46197CE-7A5F-4465-B4CD-BDF6C12D6C38}" srcId="{29BAD478-3756-462D-90DA-26FD95503A80}" destId="{05A9D61F-47B6-4496-91F8-C7D4FAB49B92}" srcOrd="0" destOrd="0" parTransId="{682C0349-975E-47EB-BBF0-FC7DC69ED869}" sibTransId="{8996C83E-4140-4A35-8503-AA5176033FF2}"/>
    <dgm:cxn modelId="{2CEF1137-2EE3-4C50-9C6D-17EF2882F91D}" type="presOf" srcId="{05A9D61F-47B6-4496-91F8-C7D4FAB49B92}" destId="{2DD8188B-70E4-40E0-B91F-91B5794D99C1}" srcOrd="0" destOrd="0" presId="urn:microsoft.com/office/officeart/2005/8/layout/default"/>
    <dgm:cxn modelId="{790C68C9-A62B-4A11-9B29-3EAD62E796E9}" type="presOf" srcId="{29BAD478-3756-462D-90DA-26FD95503A80}" destId="{D989F56E-FEDF-49C3-818E-45D13B3E25FC}" srcOrd="0" destOrd="0" presId="urn:microsoft.com/office/officeart/2005/8/layout/default"/>
    <dgm:cxn modelId="{A1545ED0-2378-4378-A58E-CA2390BEFAD8}" type="presParOf" srcId="{D989F56E-FEDF-49C3-818E-45D13B3E25FC}" destId="{2DD8188B-70E4-40E0-B91F-91B5794D99C1}" srcOrd="0" destOrd="0" presId="urn:microsoft.com/office/officeart/2005/8/layout/defaul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BAB8A43-F22C-460B-9D46-6CCFEEDECF38}"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bg-BG"/>
        </a:p>
      </dgm:t>
    </dgm:pt>
    <dgm:pt modelId="{604E4E83-408D-44F5-829C-F5E8F6132D09}">
      <dgm:prSet phldrT="[Text]" custT="1"/>
      <dgm:spPr/>
      <dgm:t>
        <a:bodyPr/>
        <a:lstStyle/>
        <a:p>
          <a:r>
            <a:rPr lang="bg-BG" sz="1200" b="1" i="1" u="sng"/>
            <a:t>Фискални правила по отношение на структурния дефицит на сектор „Държавно управление"</a:t>
          </a:r>
          <a:endParaRPr lang="bg-BG" sz="1200"/>
        </a:p>
      </dgm:t>
    </dgm:pt>
    <dgm:pt modelId="{F26C00AE-2223-4D8D-AD11-6477A4EA5D9F}" type="parTrans" cxnId="{784BC111-2D80-44ED-9111-82B019DC6739}">
      <dgm:prSet/>
      <dgm:spPr/>
      <dgm:t>
        <a:bodyPr/>
        <a:lstStyle/>
        <a:p>
          <a:endParaRPr lang="bg-BG"/>
        </a:p>
      </dgm:t>
    </dgm:pt>
    <dgm:pt modelId="{4F868A1A-F9B2-4BFB-9AD1-78BAE49D88A7}" type="sibTrans" cxnId="{784BC111-2D80-44ED-9111-82B019DC6739}">
      <dgm:prSet/>
      <dgm:spPr/>
      <dgm:t>
        <a:bodyPr/>
        <a:lstStyle/>
        <a:p>
          <a:endParaRPr lang="bg-BG"/>
        </a:p>
      </dgm:t>
    </dgm:pt>
    <dgm:pt modelId="{FB8E64C3-BE9B-4730-89CF-74372AB78DDF}">
      <dgm:prSet phldrT="[Text]" custT="1"/>
      <dgm:spPr>
        <a:solidFill>
          <a:schemeClr val="bg1">
            <a:lumMod val="75000"/>
            <a:alpha val="90000"/>
          </a:schemeClr>
        </a:solidFill>
      </dgm:spPr>
      <dgm:t>
        <a:bodyPr/>
        <a:lstStyle/>
        <a:p>
          <a:r>
            <a:rPr lang="bg-BG" sz="1200"/>
            <a:t>Изискванията на фискалното правило са изпълнени при спазване на разпоредбите на чл. 23, ал. </a:t>
          </a:r>
          <a:r>
            <a:rPr lang="en-US" sz="1200"/>
            <a:t>3</a:t>
          </a:r>
          <a:r>
            <a:rPr lang="bg-BG" sz="1200"/>
            <a:t> на ЗПФ.</a:t>
          </a:r>
        </a:p>
      </dgm:t>
    </dgm:pt>
    <dgm:pt modelId="{1CA08FDD-55E2-40A0-9B51-CDEC430DE301}" type="parTrans" cxnId="{06A23B4F-4483-429A-87EC-A3C315A6A035}">
      <dgm:prSet/>
      <dgm:spPr/>
      <dgm:t>
        <a:bodyPr/>
        <a:lstStyle/>
        <a:p>
          <a:endParaRPr lang="bg-BG"/>
        </a:p>
      </dgm:t>
    </dgm:pt>
    <dgm:pt modelId="{F66F40CB-CFE7-4175-8035-193AA493440A}" type="sibTrans" cxnId="{06A23B4F-4483-429A-87EC-A3C315A6A035}">
      <dgm:prSet/>
      <dgm:spPr/>
      <dgm:t>
        <a:bodyPr/>
        <a:lstStyle/>
        <a:p>
          <a:endParaRPr lang="bg-BG"/>
        </a:p>
      </dgm:t>
    </dgm:pt>
    <dgm:pt modelId="{D813E1AF-3B89-4654-A31E-E1CF8B79B8A6}">
      <dgm:prSet phldrT="[Text]" custT="1"/>
      <dgm:spPr/>
      <dgm:t>
        <a:bodyPr/>
        <a:lstStyle/>
        <a:p>
          <a:r>
            <a:rPr lang="bg-BG" sz="1200" b="1" i="1" u="sng"/>
            <a:t>Фискално правило по отношение на дефицита на сектор „Държавно управление“</a:t>
          </a:r>
          <a:endParaRPr lang="bg-BG" sz="1200"/>
        </a:p>
      </dgm:t>
    </dgm:pt>
    <dgm:pt modelId="{B45B5253-2F58-4A9F-ADFB-7676AB66070B}" type="parTrans" cxnId="{AD901347-3443-419A-83F1-928314D2E05F}">
      <dgm:prSet/>
      <dgm:spPr/>
      <dgm:t>
        <a:bodyPr/>
        <a:lstStyle/>
        <a:p>
          <a:endParaRPr lang="bg-BG"/>
        </a:p>
      </dgm:t>
    </dgm:pt>
    <dgm:pt modelId="{46624F5D-DED6-4D23-BABB-7F8057A12F8B}" type="sibTrans" cxnId="{AD901347-3443-419A-83F1-928314D2E05F}">
      <dgm:prSet/>
      <dgm:spPr/>
      <dgm:t>
        <a:bodyPr/>
        <a:lstStyle/>
        <a:p>
          <a:endParaRPr lang="bg-BG"/>
        </a:p>
      </dgm:t>
    </dgm:pt>
    <dgm:pt modelId="{90622866-98FE-48D8-A3BA-3210B85EFB1C}">
      <dgm:prSet phldrT="[Text]" custT="1"/>
      <dgm:spPr>
        <a:solidFill>
          <a:srgbClr val="92D050">
            <a:alpha val="90000"/>
          </a:srgbClr>
        </a:solidFill>
        <a:ln>
          <a:solidFill>
            <a:schemeClr val="accent3">
              <a:alpha val="90000"/>
            </a:schemeClr>
          </a:solidFill>
        </a:ln>
      </dgm:spPr>
      <dgm:t>
        <a:bodyPr/>
        <a:lstStyle/>
        <a:p>
          <a:r>
            <a:rPr lang="bg-BG" sz="1200"/>
            <a:t>Изискванията на фискалното правило са изпълнени при хипотезата на чл. 25, ал. 2 на ЗПФ</a:t>
          </a:r>
        </a:p>
      </dgm:t>
    </dgm:pt>
    <dgm:pt modelId="{D31DCA57-79D0-4104-8C58-2329271E03CC}" type="parTrans" cxnId="{DA28F28E-C6DE-4FC4-9E9F-1F94AD011159}">
      <dgm:prSet/>
      <dgm:spPr/>
      <dgm:t>
        <a:bodyPr/>
        <a:lstStyle/>
        <a:p>
          <a:endParaRPr lang="bg-BG"/>
        </a:p>
      </dgm:t>
    </dgm:pt>
    <dgm:pt modelId="{4AFB7EF4-21C8-442E-9C1E-E3217AF7E1CB}" type="sibTrans" cxnId="{DA28F28E-C6DE-4FC4-9E9F-1F94AD011159}">
      <dgm:prSet/>
      <dgm:spPr/>
      <dgm:t>
        <a:bodyPr/>
        <a:lstStyle/>
        <a:p>
          <a:endParaRPr lang="bg-BG"/>
        </a:p>
      </dgm:t>
    </dgm:pt>
    <dgm:pt modelId="{0CE027CC-AC6E-4561-AD78-3640B4A16A63}">
      <dgm:prSet phldrT="[Text]" custT="1"/>
      <dgm:spPr/>
      <dgm:t>
        <a:bodyPr/>
        <a:lstStyle/>
        <a:p>
          <a:r>
            <a:rPr lang="bg-BG" sz="1200" b="1" i="1" u="sng"/>
            <a:t>Фискално правило по отношение на ръста на бюджетните разходи</a:t>
          </a:r>
          <a:endParaRPr lang="bg-BG" sz="1200"/>
        </a:p>
      </dgm:t>
    </dgm:pt>
    <dgm:pt modelId="{DC55D09A-6848-4034-BD35-EEF595729357}" type="parTrans" cxnId="{A972FCC9-A2F5-42DC-A0A9-652581312C45}">
      <dgm:prSet/>
      <dgm:spPr/>
      <dgm:t>
        <a:bodyPr/>
        <a:lstStyle/>
        <a:p>
          <a:endParaRPr lang="bg-BG"/>
        </a:p>
      </dgm:t>
    </dgm:pt>
    <dgm:pt modelId="{F241988D-7404-478A-955B-F475643CB759}" type="sibTrans" cxnId="{A972FCC9-A2F5-42DC-A0A9-652581312C45}">
      <dgm:prSet/>
      <dgm:spPr/>
      <dgm:t>
        <a:bodyPr/>
        <a:lstStyle/>
        <a:p>
          <a:endParaRPr lang="bg-BG"/>
        </a:p>
      </dgm:t>
    </dgm:pt>
    <dgm:pt modelId="{B865D8BD-5A2A-44E9-BB1C-5AFC8BA1EFB8}">
      <dgm:prSet phldrT="[Text]" custT="1"/>
      <dgm:spPr>
        <a:solidFill>
          <a:srgbClr val="92D050">
            <a:alpha val="90000"/>
          </a:srgbClr>
        </a:solidFill>
      </dgm:spPr>
      <dgm:t>
        <a:bodyPr/>
        <a:lstStyle/>
        <a:p>
          <a:r>
            <a:rPr lang="bg-BG" sz="1200"/>
            <a:t>Изискванията</a:t>
          </a:r>
          <a:r>
            <a:rPr lang="bg-BG" sz="1100"/>
            <a:t> на чл. 29 на ЗПФ са изпълнени</a:t>
          </a:r>
        </a:p>
      </dgm:t>
    </dgm:pt>
    <dgm:pt modelId="{72D13F27-9124-4270-82E2-91AC884B6672}" type="parTrans" cxnId="{C654F2BA-0256-4D5C-8589-1BBCC432CA25}">
      <dgm:prSet/>
      <dgm:spPr/>
      <dgm:t>
        <a:bodyPr/>
        <a:lstStyle/>
        <a:p>
          <a:endParaRPr lang="bg-BG"/>
        </a:p>
      </dgm:t>
    </dgm:pt>
    <dgm:pt modelId="{33CB985C-E55E-419F-849C-8FE98F3ECB66}" type="sibTrans" cxnId="{C654F2BA-0256-4D5C-8589-1BBCC432CA25}">
      <dgm:prSet/>
      <dgm:spPr/>
      <dgm:t>
        <a:bodyPr/>
        <a:lstStyle/>
        <a:p>
          <a:endParaRPr lang="bg-BG"/>
        </a:p>
      </dgm:t>
    </dgm:pt>
    <dgm:pt modelId="{A38BB53A-9C06-4120-90E6-F499402F11F5}">
      <dgm:prSet phldrT="[Text]" custT="1"/>
      <dgm:spPr/>
      <dgm:t>
        <a:bodyPr/>
        <a:lstStyle/>
        <a:p>
          <a:r>
            <a:rPr lang="bg-BG" sz="1100" b="1" i="1" u="sng"/>
            <a:t>Фискално правило по отношение на консолидирания дълг на сектор „Държавно управление“</a:t>
          </a:r>
          <a:endParaRPr lang="bg-BG" sz="1100"/>
        </a:p>
      </dgm:t>
    </dgm:pt>
    <dgm:pt modelId="{BDC32BD2-BCF0-4594-8EB5-49E075445215}" type="parTrans" cxnId="{1A9233D6-D93D-4E79-A210-683689C7F946}">
      <dgm:prSet/>
      <dgm:spPr/>
      <dgm:t>
        <a:bodyPr/>
        <a:lstStyle/>
        <a:p>
          <a:endParaRPr lang="bg-BG"/>
        </a:p>
      </dgm:t>
    </dgm:pt>
    <dgm:pt modelId="{66DFF897-E083-46C5-AEBA-ACB049569BDA}" type="sibTrans" cxnId="{1A9233D6-D93D-4E79-A210-683689C7F946}">
      <dgm:prSet/>
      <dgm:spPr/>
      <dgm:t>
        <a:bodyPr/>
        <a:lstStyle/>
        <a:p>
          <a:endParaRPr lang="bg-BG"/>
        </a:p>
      </dgm:t>
    </dgm:pt>
    <dgm:pt modelId="{B5BBBC13-ECCF-4F1C-9DD3-9A6565548F34}">
      <dgm:prSet phldrT="[Text]" custT="1"/>
      <dgm:spPr>
        <a:solidFill>
          <a:srgbClr val="92D050">
            <a:alpha val="90000"/>
          </a:srgbClr>
        </a:solidFill>
      </dgm:spPr>
      <dgm:t>
        <a:bodyPr/>
        <a:lstStyle/>
        <a:p>
          <a:r>
            <a:rPr lang="bg-BG" sz="1200"/>
            <a:t>Изискванията на фискалното правило са изпълнени при хипотезата на чл. 26, ал. 2 на ЗПФ</a:t>
          </a:r>
        </a:p>
      </dgm:t>
    </dgm:pt>
    <dgm:pt modelId="{10AF48D4-C2F7-4D7B-A7CE-48F48D2203B2}" type="parTrans" cxnId="{EC2209F8-70B2-4C6F-BE31-D403BDA69CD5}">
      <dgm:prSet/>
      <dgm:spPr/>
      <dgm:t>
        <a:bodyPr/>
        <a:lstStyle/>
        <a:p>
          <a:endParaRPr lang="bg-BG"/>
        </a:p>
      </dgm:t>
    </dgm:pt>
    <dgm:pt modelId="{FBE0A9C8-63AF-4B76-9D7E-B5797EDC74EE}" type="sibTrans" cxnId="{EC2209F8-70B2-4C6F-BE31-D403BDA69CD5}">
      <dgm:prSet/>
      <dgm:spPr/>
      <dgm:t>
        <a:bodyPr/>
        <a:lstStyle/>
        <a:p>
          <a:endParaRPr lang="bg-BG"/>
        </a:p>
      </dgm:t>
    </dgm:pt>
    <dgm:pt modelId="{50DA2C31-92B8-4E50-A503-C4477F8F8D12}">
      <dgm:prSet phldrT="[Text]" custT="1"/>
      <dgm:spPr/>
      <dgm:t>
        <a:bodyPr/>
        <a:lstStyle/>
        <a:p>
          <a:r>
            <a:rPr lang="bg-BG" sz="1200" b="1" i="1" u="sng"/>
            <a:t>Фискално правило по отношение на салдото по КФП</a:t>
          </a:r>
          <a:endParaRPr lang="bg-BG" sz="1200"/>
        </a:p>
      </dgm:t>
    </dgm:pt>
    <dgm:pt modelId="{7FCDCA19-8E76-46FE-803B-12718AE92895}" type="parTrans" cxnId="{C740D1BA-B1B6-49B3-84AF-362E5471AAEB}">
      <dgm:prSet/>
      <dgm:spPr/>
      <dgm:t>
        <a:bodyPr/>
        <a:lstStyle/>
        <a:p>
          <a:endParaRPr lang="bg-BG"/>
        </a:p>
      </dgm:t>
    </dgm:pt>
    <dgm:pt modelId="{2191C0C9-162B-4E83-BAF3-74667847B08D}" type="sibTrans" cxnId="{C740D1BA-B1B6-49B3-84AF-362E5471AAEB}">
      <dgm:prSet/>
      <dgm:spPr/>
      <dgm:t>
        <a:bodyPr/>
        <a:lstStyle/>
        <a:p>
          <a:endParaRPr lang="bg-BG"/>
        </a:p>
      </dgm:t>
    </dgm:pt>
    <dgm:pt modelId="{E5D9D606-CCB1-4061-8903-524C81A84E4C}">
      <dgm:prSet phldrT="[Text]" custT="1"/>
      <dgm:spPr/>
      <dgm:t>
        <a:bodyPr/>
        <a:lstStyle/>
        <a:p>
          <a:r>
            <a:rPr lang="bg-BG" sz="1200" b="1" i="1" u="sng"/>
            <a:t>Фискално правило по отношение на максималния размер на разходите по КФП</a:t>
          </a:r>
          <a:endParaRPr lang="bg-BG" sz="1200"/>
        </a:p>
      </dgm:t>
    </dgm:pt>
    <dgm:pt modelId="{9385C6E9-B82F-4B3D-8876-1CBA4B9E149D}" type="parTrans" cxnId="{BA4A7BA2-A57F-4A5E-97D3-A432ACA8E2A8}">
      <dgm:prSet/>
      <dgm:spPr/>
      <dgm:t>
        <a:bodyPr/>
        <a:lstStyle/>
        <a:p>
          <a:endParaRPr lang="bg-BG"/>
        </a:p>
      </dgm:t>
    </dgm:pt>
    <dgm:pt modelId="{2E7A7059-3D06-49B0-925B-81AA4EDD1C50}" type="sibTrans" cxnId="{BA4A7BA2-A57F-4A5E-97D3-A432ACA8E2A8}">
      <dgm:prSet/>
      <dgm:spPr/>
      <dgm:t>
        <a:bodyPr/>
        <a:lstStyle/>
        <a:p>
          <a:endParaRPr lang="bg-BG"/>
        </a:p>
      </dgm:t>
    </dgm:pt>
    <dgm:pt modelId="{3694EA73-7B5E-43AD-870D-1EA7BF882953}">
      <dgm:prSet phldrT="[Text]" custT="1"/>
      <dgm:spPr>
        <a:solidFill>
          <a:srgbClr val="92D050">
            <a:alpha val="90000"/>
          </a:srgbClr>
        </a:solidFill>
      </dgm:spPr>
      <dgm:t>
        <a:bodyPr/>
        <a:lstStyle/>
        <a:p>
          <a:r>
            <a:rPr lang="bg-BG" sz="1200"/>
            <a:t>Изискванията на чл. 28 на ЗПФ са изпълнени</a:t>
          </a:r>
        </a:p>
      </dgm:t>
    </dgm:pt>
    <dgm:pt modelId="{5192B5D8-85EB-4DC4-9391-9649CC9A9253}" type="parTrans" cxnId="{13DD143D-92BA-4FCC-A1C4-9B3F5B2F1102}">
      <dgm:prSet/>
      <dgm:spPr/>
      <dgm:t>
        <a:bodyPr/>
        <a:lstStyle/>
        <a:p>
          <a:endParaRPr lang="bg-BG"/>
        </a:p>
      </dgm:t>
    </dgm:pt>
    <dgm:pt modelId="{DB66CCBC-8AF8-4EC1-A011-C73E33749CE7}" type="sibTrans" cxnId="{13DD143D-92BA-4FCC-A1C4-9B3F5B2F1102}">
      <dgm:prSet/>
      <dgm:spPr/>
      <dgm:t>
        <a:bodyPr/>
        <a:lstStyle/>
        <a:p>
          <a:endParaRPr lang="bg-BG"/>
        </a:p>
      </dgm:t>
    </dgm:pt>
    <dgm:pt modelId="{FC9CB03B-29AD-424A-98C7-4C716AFA7446}">
      <dgm:prSet custT="1"/>
      <dgm:spPr>
        <a:solidFill>
          <a:srgbClr val="92D050">
            <a:alpha val="90000"/>
          </a:srgbClr>
        </a:solidFill>
      </dgm:spPr>
      <dgm:t>
        <a:bodyPr/>
        <a:lstStyle/>
        <a:p>
          <a:r>
            <a:rPr lang="bg-BG" sz="1200"/>
            <a:t>Изискванията на фискалното правило са изпълнени в съответствие с чл. 27, ал. 4 на ЗПФ.</a:t>
          </a:r>
        </a:p>
      </dgm:t>
    </dgm:pt>
    <dgm:pt modelId="{049C7F11-61A5-48B6-87C4-ABEA60966493}" type="sibTrans" cxnId="{C05C8E33-38D8-4BDC-98CA-242BE466E3F6}">
      <dgm:prSet/>
      <dgm:spPr/>
      <dgm:t>
        <a:bodyPr/>
        <a:lstStyle/>
        <a:p>
          <a:endParaRPr lang="bg-BG"/>
        </a:p>
      </dgm:t>
    </dgm:pt>
    <dgm:pt modelId="{4627FEC9-3DCB-4484-8E93-D1ED442135F5}" type="parTrans" cxnId="{C05C8E33-38D8-4BDC-98CA-242BE466E3F6}">
      <dgm:prSet/>
      <dgm:spPr/>
      <dgm:t>
        <a:bodyPr/>
        <a:lstStyle/>
        <a:p>
          <a:endParaRPr lang="bg-BG"/>
        </a:p>
      </dgm:t>
    </dgm:pt>
    <dgm:pt modelId="{7AA4F208-6537-49C2-B06C-27161E82169A}" type="pres">
      <dgm:prSet presAssocID="{BBAB8A43-F22C-460B-9D46-6CCFEEDECF38}" presName="Name0" presStyleCnt="0">
        <dgm:presLayoutVars>
          <dgm:dir/>
          <dgm:animLvl val="lvl"/>
          <dgm:resizeHandles val="exact"/>
        </dgm:presLayoutVars>
      </dgm:prSet>
      <dgm:spPr/>
      <dgm:t>
        <a:bodyPr/>
        <a:lstStyle/>
        <a:p>
          <a:endParaRPr lang="bg-BG"/>
        </a:p>
      </dgm:t>
    </dgm:pt>
    <dgm:pt modelId="{05B3B700-D8FD-475A-AB54-3AABCC6757C0}" type="pres">
      <dgm:prSet presAssocID="{604E4E83-408D-44F5-829C-F5E8F6132D09}" presName="linNode" presStyleCnt="0"/>
      <dgm:spPr/>
    </dgm:pt>
    <dgm:pt modelId="{AFE289CC-1F84-461B-832C-ECCD61467B9E}" type="pres">
      <dgm:prSet presAssocID="{604E4E83-408D-44F5-829C-F5E8F6132D09}" presName="parentText" presStyleLbl="node1" presStyleIdx="0" presStyleCnt="6" custScaleX="149079" custScaleY="40663">
        <dgm:presLayoutVars>
          <dgm:chMax val="1"/>
          <dgm:bulletEnabled val="1"/>
        </dgm:presLayoutVars>
      </dgm:prSet>
      <dgm:spPr/>
      <dgm:t>
        <a:bodyPr/>
        <a:lstStyle/>
        <a:p>
          <a:endParaRPr lang="bg-BG"/>
        </a:p>
      </dgm:t>
    </dgm:pt>
    <dgm:pt modelId="{CAAF7284-CF98-4E2F-A2AD-28D37F8EB98C}" type="pres">
      <dgm:prSet presAssocID="{604E4E83-408D-44F5-829C-F5E8F6132D09}" presName="descendantText" presStyleLbl="alignAccFollowNode1" presStyleIdx="0" presStyleCnt="6" custScaleY="41316">
        <dgm:presLayoutVars>
          <dgm:bulletEnabled val="1"/>
        </dgm:presLayoutVars>
      </dgm:prSet>
      <dgm:spPr/>
      <dgm:t>
        <a:bodyPr/>
        <a:lstStyle/>
        <a:p>
          <a:endParaRPr lang="bg-BG"/>
        </a:p>
      </dgm:t>
    </dgm:pt>
    <dgm:pt modelId="{19D0FD6D-DFD7-4529-9D93-4799785CFCF4}" type="pres">
      <dgm:prSet presAssocID="{4F868A1A-F9B2-4BFB-9AD1-78BAE49D88A7}" presName="sp" presStyleCnt="0"/>
      <dgm:spPr/>
    </dgm:pt>
    <dgm:pt modelId="{264FBC0E-82DE-44AF-B6C0-CE07837C3FDE}" type="pres">
      <dgm:prSet presAssocID="{D813E1AF-3B89-4654-A31E-E1CF8B79B8A6}" presName="linNode" presStyleCnt="0"/>
      <dgm:spPr/>
    </dgm:pt>
    <dgm:pt modelId="{24BD9BAB-8D98-4274-AC95-CE6FDD93DB85}" type="pres">
      <dgm:prSet presAssocID="{D813E1AF-3B89-4654-A31E-E1CF8B79B8A6}" presName="parentText" presStyleLbl="node1" presStyleIdx="1" presStyleCnt="6" custScaleX="150494" custScaleY="41313">
        <dgm:presLayoutVars>
          <dgm:chMax val="1"/>
          <dgm:bulletEnabled val="1"/>
        </dgm:presLayoutVars>
      </dgm:prSet>
      <dgm:spPr/>
      <dgm:t>
        <a:bodyPr/>
        <a:lstStyle/>
        <a:p>
          <a:endParaRPr lang="bg-BG"/>
        </a:p>
      </dgm:t>
    </dgm:pt>
    <dgm:pt modelId="{29A8E536-1EC5-4EC6-9705-45CB65B3349B}" type="pres">
      <dgm:prSet presAssocID="{D813E1AF-3B89-4654-A31E-E1CF8B79B8A6}" presName="descendantText" presStyleLbl="alignAccFollowNode1" presStyleIdx="1" presStyleCnt="6" custScaleY="45571">
        <dgm:presLayoutVars>
          <dgm:bulletEnabled val="1"/>
        </dgm:presLayoutVars>
      </dgm:prSet>
      <dgm:spPr/>
      <dgm:t>
        <a:bodyPr/>
        <a:lstStyle/>
        <a:p>
          <a:endParaRPr lang="bg-BG"/>
        </a:p>
      </dgm:t>
    </dgm:pt>
    <dgm:pt modelId="{53E66EEA-9C3B-44AA-AB88-190E3F954713}" type="pres">
      <dgm:prSet presAssocID="{46624F5D-DED6-4D23-BABB-7F8057A12F8B}" presName="sp" presStyleCnt="0"/>
      <dgm:spPr/>
    </dgm:pt>
    <dgm:pt modelId="{9969F111-B366-471C-A6C0-D9AB40EF741B}" type="pres">
      <dgm:prSet presAssocID="{0CE027CC-AC6E-4561-AD78-3640B4A16A63}" presName="linNode" presStyleCnt="0"/>
      <dgm:spPr/>
    </dgm:pt>
    <dgm:pt modelId="{170DDB15-ADD4-4FE5-A329-B8C423692DD9}" type="pres">
      <dgm:prSet presAssocID="{0CE027CC-AC6E-4561-AD78-3640B4A16A63}" presName="parentText" presStyleLbl="node1" presStyleIdx="2" presStyleCnt="6" custScaleX="152404" custScaleY="42111">
        <dgm:presLayoutVars>
          <dgm:chMax val="1"/>
          <dgm:bulletEnabled val="1"/>
        </dgm:presLayoutVars>
      </dgm:prSet>
      <dgm:spPr/>
      <dgm:t>
        <a:bodyPr/>
        <a:lstStyle/>
        <a:p>
          <a:endParaRPr lang="bg-BG"/>
        </a:p>
      </dgm:t>
    </dgm:pt>
    <dgm:pt modelId="{D5B17E1D-3A32-4DFC-A497-7783E61D12D2}" type="pres">
      <dgm:prSet presAssocID="{0CE027CC-AC6E-4561-AD78-3640B4A16A63}" presName="descendantText" presStyleLbl="alignAccFollowNode1" presStyleIdx="2" presStyleCnt="6" custScaleY="48162">
        <dgm:presLayoutVars>
          <dgm:bulletEnabled val="1"/>
        </dgm:presLayoutVars>
      </dgm:prSet>
      <dgm:spPr/>
      <dgm:t>
        <a:bodyPr/>
        <a:lstStyle/>
        <a:p>
          <a:endParaRPr lang="bg-BG"/>
        </a:p>
      </dgm:t>
    </dgm:pt>
    <dgm:pt modelId="{E83A50A7-0764-4BA4-ADC9-CC1C73A8696D}" type="pres">
      <dgm:prSet presAssocID="{F241988D-7404-478A-955B-F475643CB759}" presName="sp" presStyleCnt="0"/>
      <dgm:spPr/>
    </dgm:pt>
    <dgm:pt modelId="{EC37C746-1CBD-428F-B476-FEBE3E416321}" type="pres">
      <dgm:prSet presAssocID="{50DA2C31-92B8-4E50-A503-C4477F8F8D12}" presName="linNode" presStyleCnt="0"/>
      <dgm:spPr/>
    </dgm:pt>
    <dgm:pt modelId="{D0C92579-28D5-44CE-B7C4-BC02CF8878C2}" type="pres">
      <dgm:prSet presAssocID="{50DA2C31-92B8-4E50-A503-C4477F8F8D12}" presName="parentText" presStyleLbl="node1" presStyleIdx="3" presStyleCnt="6" custScaleX="151719" custScaleY="33543">
        <dgm:presLayoutVars>
          <dgm:chMax val="1"/>
          <dgm:bulletEnabled val="1"/>
        </dgm:presLayoutVars>
      </dgm:prSet>
      <dgm:spPr/>
      <dgm:t>
        <a:bodyPr/>
        <a:lstStyle/>
        <a:p>
          <a:endParaRPr lang="bg-BG"/>
        </a:p>
      </dgm:t>
    </dgm:pt>
    <dgm:pt modelId="{02EDE61B-F8B1-4EC5-AFB3-D260D849142B}" type="pres">
      <dgm:prSet presAssocID="{50DA2C31-92B8-4E50-A503-C4477F8F8D12}" presName="descendantText" presStyleLbl="alignAccFollowNode1" presStyleIdx="3" presStyleCnt="6" custScaleY="46586">
        <dgm:presLayoutVars>
          <dgm:bulletEnabled val="1"/>
        </dgm:presLayoutVars>
      </dgm:prSet>
      <dgm:spPr/>
      <dgm:t>
        <a:bodyPr/>
        <a:lstStyle/>
        <a:p>
          <a:endParaRPr lang="bg-BG"/>
        </a:p>
      </dgm:t>
    </dgm:pt>
    <dgm:pt modelId="{D3144D17-1C38-49B8-80A8-485D299FF6AD}" type="pres">
      <dgm:prSet presAssocID="{2191C0C9-162B-4E83-BAF3-74667847B08D}" presName="sp" presStyleCnt="0"/>
      <dgm:spPr/>
    </dgm:pt>
    <dgm:pt modelId="{35813644-AB31-4AA7-8FFC-AF849B1D3705}" type="pres">
      <dgm:prSet presAssocID="{E5D9D606-CCB1-4061-8903-524C81A84E4C}" presName="linNode" presStyleCnt="0"/>
      <dgm:spPr/>
    </dgm:pt>
    <dgm:pt modelId="{7E24326E-5D49-4785-8FB5-C8929CDC8F08}" type="pres">
      <dgm:prSet presAssocID="{E5D9D606-CCB1-4061-8903-524C81A84E4C}" presName="parentText" presStyleLbl="node1" presStyleIdx="4" presStyleCnt="6" custScaleX="129885" custScaleY="38223">
        <dgm:presLayoutVars>
          <dgm:chMax val="1"/>
          <dgm:bulletEnabled val="1"/>
        </dgm:presLayoutVars>
      </dgm:prSet>
      <dgm:spPr/>
      <dgm:t>
        <a:bodyPr/>
        <a:lstStyle/>
        <a:p>
          <a:endParaRPr lang="bg-BG"/>
        </a:p>
      </dgm:t>
    </dgm:pt>
    <dgm:pt modelId="{95EBD044-A805-4E9A-B6A5-645CE2E2BF44}" type="pres">
      <dgm:prSet presAssocID="{E5D9D606-CCB1-4061-8903-524C81A84E4C}" presName="descendantText" presStyleLbl="alignAccFollowNode1" presStyleIdx="4" presStyleCnt="6" custScaleX="82403" custScaleY="43672">
        <dgm:presLayoutVars>
          <dgm:bulletEnabled val="1"/>
        </dgm:presLayoutVars>
      </dgm:prSet>
      <dgm:spPr/>
      <dgm:t>
        <a:bodyPr/>
        <a:lstStyle/>
        <a:p>
          <a:endParaRPr lang="bg-BG"/>
        </a:p>
      </dgm:t>
    </dgm:pt>
    <dgm:pt modelId="{592A01D9-CFF3-49F6-92CD-6A3EE369B5C7}" type="pres">
      <dgm:prSet presAssocID="{2E7A7059-3D06-49B0-925B-81AA4EDD1C50}" presName="sp" presStyleCnt="0"/>
      <dgm:spPr/>
    </dgm:pt>
    <dgm:pt modelId="{93DFA82D-803C-40FB-82CD-A77A3FB7751C}" type="pres">
      <dgm:prSet presAssocID="{A38BB53A-9C06-4120-90E6-F499402F11F5}" presName="linNode" presStyleCnt="0"/>
      <dgm:spPr/>
    </dgm:pt>
    <dgm:pt modelId="{6CCCBCCB-EB9F-4E1E-A238-CBF642041796}" type="pres">
      <dgm:prSet presAssocID="{A38BB53A-9C06-4120-90E6-F499402F11F5}" presName="parentText" presStyleLbl="node1" presStyleIdx="5" presStyleCnt="6" custScaleX="155496" custScaleY="44248" custLinFactNeighborX="-26" custLinFactNeighborY="-716">
        <dgm:presLayoutVars>
          <dgm:chMax val="1"/>
          <dgm:bulletEnabled val="1"/>
        </dgm:presLayoutVars>
      </dgm:prSet>
      <dgm:spPr/>
      <dgm:t>
        <a:bodyPr/>
        <a:lstStyle/>
        <a:p>
          <a:endParaRPr lang="bg-BG"/>
        </a:p>
      </dgm:t>
    </dgm:pt>
    <dgm:pt modelId="{0882539E-CF2B-408F-93D6-C1877A244D30}" type="pres">
      <dgm:prSet presAssocID="{A38BB53A-9C06-4120-90E6-F499402F11F5}" presName="descendantText" presStyleLbl="alignAccFollowNode1" presStyleIdx="5" presStyleCnt="6" custScaleY="50631">
        <dgm:presLayoutVars>
          <dgm:bulletEnabled val="1"/>
        </dgm:presLayoutVars>
      </dgm:prSet>
      <dgm:spPr/>
      <dgm:t>
        <a:bodyPr/>
        <a:lstStyle/>
        <a:p>
          <a:endParaRPr lang="bg-BG"/>
        </a:p>
      </dgm:t>
    </dgm:pt>
  </dgm:ptLst>
  <dgm:cxnLst>
    <dgm:cxn modelId="{73FD04D1-2FFB-40D1-AD4D-D5395F6C7FEA}" type="presOf" srcId="{BBAB8A43-F22C-460B-9D46-6CCFEEDECF38}" destId="{7AA4F208-6537-49C2-B06C-27161E82169A}" srcOrd="0" destOrd="0" presId="urn:microsoft.com/office/officeart/2005/8/layout/vList5"/>
    <dgm:cxn modelId="{467BD5BA-5148-4146-B2FC-24A1C56D7877}" type="presOf" srcId="{B5BBBC13-ECCF-4F1C-9DD3-9A6565548F34}" destId="{D5B17E1D-3A32-4DFC-A497-7783E61D12D2}" srcOrd="0" destOrd="0" presId="urn:microsoft.com/office/officeart/2005/8/layout/vList5"/>
    <dgm:cxn modelId="{9E8552C3-B31B-47D6-819B-97B736624EEA}" type="presOf" srcId="{E5D9D606-CCB1-4061-8903-524C81A84E4C}" destId="{7E24326E-5D49-4785-8FB5-C8929CDC8F08}" srcOrd="0" destOrd="0" presId="urn:microsoft.com/office/officeart/2005/8/layout/vList5"/>
    <dgm:cxn modelId="{675AEF1D-BBB6-47EE-A7B2-970509CC01F8}" type="presOf" srcId="{90622866-98FE-48D8-A3BA-3210B85EFB1C}" destId="{29A8E536-1EC5-4EC6-9705-45CB65B3349B}" srcOrd="0" destOrd="0" presId="urn:microsoft.com/office/officeart/2005/8/layout/vList5"/>
    <dgm:cxn modelId="{EC2209F8-70B2-4C6F-BE31-D403BDA69CD5}" srcId="{0CE027CC-AC6E-4561-AD78-3640B4A16A63}" destId="{B5BBBC13-ECCF-4F1C-9DD3-9A6565548F34}" srcOrd="0" destOrd="0" parTransId="{10AF48D4-C2F7-4D7B-A7CE-48F48D2203B2}" sibTransId="{FBE0A9C8-63AF-4B76-9D7E-B5797EDC74EE}"/>
    <dgm:cxn modelId="{4332E268-C176-48A4-90F5-05D5059DFFDB}" type="presOf" srcId="{B865D8BD-5A2A-44E9-BB1C-5AFC8BA1EFB8}" destId="{0882539E-CF2B-408F-93D6-C1877A244D30}" srcOrd="0" destOrd="0" presId="urn:microsoft.com/office/officeart/2005/8/layout/vList5"/>
    <dgm:cxn modelId="{1A9233D6-D93D-4E79-A210-683689C7F946}" srcId="{BBAB8A43-F22C-460B-9D46-6CCFEEDECF38}" destId="{A38BB53A-9C06-4120-90E6-F499402F11F5}" srcOrd="5" destOrd="0" parTransId="{BDC32BD2-BCF0-4594-8EB5-49E075445215}" sibTransId="{66DFF897-E083-46C5-AEBA-ACB049569BDA}"/>
    <dgm:cxn modelId="{784BC111-2D80-44ED-9111-82B019DC6739}" srcId="{BBAB8A43-F22C-460B-9D46-6CCFEEDECF38}" destId="{604E4E83-408D-44F5-829C-F5E8F6132D09}" srcOrd="0" destOrd="0" parTransId="{F26C00AE-2223-4D8D-AD11-6477A4EA5D9F}" sibTransId="{4F868A1A-F9B2-4BFB-9AD1-78BAE49D88A7}"/>
    <dgm:cxn modelId="{A972FCC9-A2F5-42DC-A0A9-652581312C45}" srcId="{BBAB8A43-F22C-460B-9D46-6CCFEEDECF38}" destId="{0CE027CC-AC6E-4561-AD78-3640B4A16A63}" srcOrd="2" destOrd="0" parTransId="{DC55D09A-6848-4034-BD35-EEF595729357}" sibTransId="{F241988D-7404-478A-955B-F475643CB759}"/>
    <dgm:cxn modelId="{DA28F28E-C6DE-4FC4-9E9F-1F94AD011159}" srcId="{D813E1AF-3B89-4654-A31E-E1CF8B79B8A6}" destId="{90622866-98FE-48D8-A3BA-3210B85EFB1C}" srcOrd="0" destOrd="0" parTransId="{D31DCA57-79D0-4104-8C58-2329271E03CC}" sibTransId="{4AFB7EF4-21C8-442E-9C1E-E3217AF7E1CB}"/>
    <dgm:cxn modelId="{C05C8E33-38D8-4BDC-98CA-242BE466E3F6}" srcId="{50DA2C31-92B8-4E50-A503-C4477F8F8D12}" destId="{FC9CB03B-29AD-424A-98C7-4C716AFA7446}" srcOrd="0" destOrd="0" parTransId="{4627FEC9-3DCB-4484-8E93-D1ED442135F5}" sibTransId="{049C7F11-61A5-48B6-87C4-ABEA60966493}"/>
    <dgm:cxn modelId="{C740D1BA-B1B6-49B3-84AF-362E5471AAEB}" srcId="{BBAB8A43-F22C-460B-9D46-6CCFEEDECF38}" destId="{50DA2C31-92B8-4E50-A503-C4477F8F8D12}" srcOrd="3" destOrd="0" parTransId="{7FCDCA19-8E76-46FE-803B-12718AE92895}" sibTransId="{2191C0C9-162B-4E83-BAF3-74667847B08D}"/>
    <dgm:cxn modelId="{C654F2BA-0256-4D5C-8589-1BBCC432CA25}" srcId="{A38BB53A-9C06-4120-90E6-F499402F11F5}" destId="{B865D8BD-5A2A-44E9-BB1C-5AFC8BA1EFB8}" srcOrd="0" destOrd="0" parTransId="{72D13F27-9124-4270-82E2-91AC884B6672}" sibTransId="{33CB985C-E55E-419F-849C-8FE98F3ECB66}"/>
    <dgm:cxn modelId="{51CC3648-EA42-4435-885B-CB6A0F9CFC14}" type="presOf" srcId="{FB8E64C3-BE9B-4730-89CF-74372AB78DDF}" destId="{CAAF7284-CF98-4E2F-A2AD-28D37F8EB98C}" srcOrd="0" destOrd="0" presId="urn:microsoft.com/office/officeart/2005/8/layout/vList5"/>
    <dgm:cxn modelId="{7468D257-8C8C-45D0-A194-3770F4410ABD}" type="presOf" srcId="{D813E1AF-3B89-4654-A31E-E1CF8B79B8A6}" destId="{24BD9BAB-8D98-4274-AC95-CE6FDD93DB85}" srcOrd="0" destOrd="0" presId="urn:microsoft.com/office/officeart/2005/8/layout/vList5"/>
    <dgm:cxn modelId="{EFBB693C-A39E-43D0-9679-6076BF9E5D3C}" type="presOf" srcId="{A38BB53A-9C06-4120-90E6-F499402F11F5}" destId="{6CCCBCCB-EB9F-4E1E-A238-CBF642041796}" srcOrd="0" destOrd="0" presId="urn:microsoft.com/office/officeart/2005/8/layout/vList5"/>
    <dgm:cxn modelId="{06A23B4F-4483-429A-87EC-A3C315A6A035}" srcId="{604E4E83-408D-44F5-829C-F5E8F6132D09}" destId="{FB8E64C3-BE9B-4730-89CF-74372AB78DDF}" srcOrd="0" destOrd="0" parTransId="{1CA08FDD-55E2-40A0-9B51-CDEC430DE301}" sibTransId="{F66F40CB-CFE7-4175-8035-193AA493440A}"/>
    <dgm:cxn modelId="{1D550DF5-EFD2-428E-BC6F-7B246BFFD808}" type="presOf" srcId="{3694EA73-7B5E-43AD-870D-1EA7BF882953}" destId="{95EBD044-A805-4E9A-B6A5-645CE2E2BF44}" srcOrd="0" destOrd="0" presId="urn:microsoft.com/office/officeart/2005/8/layout/vList5"/>
    <dgm:cxn modelId="{2F07D312-E4E2-403F-93A8-CE48ECCEA236}" type="presOf" srcId="{604E4E83-408D-44F5-829C-F5E8F6132D09}" destId="{AFE289CC-1F84-461B-832C-ECCD61467B9E}" srcOrd="0" destOrd="0" presId="urn:microsoft.com/office/officeart/2005/8/layout/vList5"/>
    <dgm:cxn modelId="{13DD143D-92BA-4FCC-A1C4-9B3F5B2F1102}" srcId="{E5D9D606-CCB1-4061-8903-524C81A84E4C}" destId="{3694EA73-7B5E-43AD-870D-1EA7BF882953}" srcOrd="0" destOrd="0" parTransId="{5192B5D8-85EB-4DC4-9391-9649CC9A9253}" sibTransId="{DB66CCBC-8AF8-4EC1-A011-C73E33749CE7}"/>
    <dgm:cxn modelId="{BA4A7BA2-A57F-4A5E-97D3-A432ACA8E2A8}" srcId="{BBAB8A43-F22C-460B-9D46-6CCFEEDECF38}" destId="{E5D9D606-CCB1-4061-8903-524C81A84E4C}" srcOrd="4" destOrd="0" parTransId="{9385C6E9-B82F-4B3D-8876-1CBA4B9E149D}" sibTransId="{2E7A7059-3D06-49B0-925B-81AA4EDD1C50}"/>
    <dgm:cxn modelId="{CD851784-1697-4850-ADF3-39110D2B3F6A}" type="presOf" srcId="{FC9CB03B-29AD-424A-98C7-4C716AFA7446}" destId="{02EDE61B-F8B1-4EC5-AFB3-D260D849142B}" srcOrd="0" destOrd="0" presId="urn:microsoft.com/office/officeart/2005/8/layout/vList5"/>
    <dgm:cxn modelId="{5B9996E5-CCD9-4EAC-8534-06D875B84C05}" type="presOf" srcId="{50DA2C31-92B8-4E50-A503-C4477F8F8D12}" destId="{D0C92579-28D5-44CE-B7C4-BC02CF8878C2}" srcOrd="0" destOrd="0" presId="urn:microsoft.com/office/officeart/2005/8/layout/vList5"/>
    <dgm:cxn modelId="{AD901347-3443-419A-83F1-928314D2E05F}" srcId="{BBAB8A43-F22C-460B-9D46-6CCFEEDECF38}" destId="{D813E1AF-3B89-4654-A31E-E1CF8B79B8A6}" srcOrd="1" destOrd="0" parTransId="{B45B5253-2F58-4A9F-ADFB-7676AB66070B}" sibTransId="{46624F5D-DED6-4D23-BABB-7F8057A12F8B}"/>
    <dgm:cxn modelId="{3BAF8081-AB45-4BED-884D-1330338961BF}" type="presOf" srcId="{0CE027CC-AC6E-4561-AD78-3640B4A16A63}" destId="{170DDB15-ADD4-4FE5-A329-B8C423692DD9}" srcOrd="0" destOrd="0" presId="urn:microsoft.com/office/officeart/2005/8/layout/vList5"/>
    <dgm:cxn modelId="{0A6D9E73-7977-40A2-A140-E6B42BDB60C0}" type="presParOf" srcId="{7AA4F208-6537-49C2-B06C-27161E82169A}" destId="{05B3B700-D8FD-475A-AB54-3AABCC6757C0}" srcOrd="0" destOrd="0" presId="urn:microsoft.com/office/officeart/2005/8/layout/vList5"/>
    <dgm:cxn modelId="{4CB05682-3ED6-4313-BD3B-9B5CB90473EE}" type="presParOf" srcId="{05B3B700-D8FD-475A-AB54-3AABCC6757C0}" destId="{AFE289CC-1F84-461B-832C-ECCD61467B9E}" srcOrd="0" destOrd="0" presId="urn:microsoft.com/office/officeart/2005/8/layout/vList5"/>
    <dgm:cxn modelId="{90051E8B-D03D-4B9B-9018-E4CF1884DA50}" type="presParOf" srcId="{05B3B700-D8FD-475A-AB54-3AABCC6757C0}" destId="{CAAF7284-CF98-4E2F-A2AD-28D37F8EB98C}" srcOrd="1" destOrd="0" presId="urn:microsoft.com/office/officeart/2005/8/layout/vList5"/>
    <dgm:cxn modelId="{743F80C2-4E43-43BB-8F5A-2BA71FF9EB06}" type="presParOf" srcId="{7AA4F208-6537-49C2-B06C-27161E82169A}" destId="{19D0FD6D-DFD7-4529-9D93-4799785CFCF4}" srcOrd="1" destOrd="0" presId="urn:microsoft.com/office/officeart/2005/8/layout/vList5"/>
    <dgm:cxn modelId="{D43B2196-F63A-42D0-9663-E29B36D85282}" type="presParOf" srcId="{7AA4F208-6537-49C2-B06C-27161E82169A}" destId="{264FBC0E-82DE-44AF-B6C0-CE07837C3FDE}" srcOrd="2" destOrd="0" presId="urn:microsoft.com/office/officeart/2005/8/layout/vList5"/>
    <dgm:cxn modelId="{1DBAF006-A959-4831-AF67-D8023F220FC6}" type="presParOf" srcId="{264FBC0E-82DE-44AF-B6C0-CE07837C3FDE}" destId="{24BD9BAB-8D98-4274-AC95-CE6FDD93DB85}" srcOrd="0" destOrd="0" presId="urn:microsoft.com/office/officeart/2005/8/layout/vList5"/>
    <dgm:cxn modelId="{C8C00485-5493-406E-B04A-6DC5AACC4417}" type="presParOf" srcId="{264FBC0E-82DE-44AF-B6C0-CE07837C3FDE}" destId="{29A8E536-1EC5-4EC6-9705-45CB65B3349B}" srcOrd="1" destOrd="0" presId="urn:microsoft.com/office/officeart/2005/8/layout/vList5"/>
    <dgm:cxn modelId="{62BC03CF-6F19-4308-9C01-6A97A0E06E53}" type="presParOf" srcId="{7AA4F208-6537-49C2-B06C-27161E82169A}" destId="{53E66EEA-9C3B-44AA-AB88-190E3F954713}" srcOrd="3" destOrd="0" presId="urn:microsoft.com/office/officeart/2005/8/layout/vList5"/>
    <dgm:cxn modelId="{5C6155C6-DB47-4557-A2F5-E00FE92F084F}" type="presParOf" srcId="{7AA4F208-6537-49C2-B06C-27161E82169A}" destId="{9969F111-B366-471C-A6C0-D9AB40EF741B}" srcOrd="4" destOrd="0" presId="urn:microsoft.com/office/officeart/2005/8/layout/vList5"/>
    <dgm:cxn modelId="{DB8D4CCD-73E8-4B01-834C-B7D228F4F10B}" type="presParOf" srcId="{9969F111-B366-471C-A6C0-D9AB40EF741B}" destId="{170DDB15-ADD4-4FE5-A329-B8C423692DD9}" srcOrd="0" destOrd="0" presId="urn:microsoft.com/office/officeart/2005/8/layout/vList5"/>
    <dgm:cxn modelId="{B8AD3E1E-1C87-499D-937F-597E11B1D9EB}" type="presParOf" srcId="{9969F111-B366-471C-A6C0-D9AB40EF741B}" destId="{D5B17E1D-3A32-4DFC-A497-7783E61D12D2}" srcOrd="1" destOrd="0" presId="urn:microsoft.com/office/officeart/2005/8/layout/vList5"/>
    <dgm:cxn modelId="{56B25CC7-0C30-4B61-AB7F-4DE914523F22}" type="presParOf" srcId="{7AA4F208-6537-49C2-B06C-27161E82169A}" destId="{E83A50A7-0764-4BA4-ADC9-CC1C73A8696D}" srcOrd="5" destOrd="0" presId="urn:microsoft.com/office/officeart/2005/8/layout/vList5"/>
    <dgm:cxn modelId="{5D5B24DA-9592-48C1-9803-4146997F1C9E}" type="presParOf" srcId="{7AA4F208-6537-49C2-B06C-27161E82169A}" destId="{EC37C746-1CBD-428F-B476-FEBE3E416321}" srcOrd="6" destOrd="0" presId="urn:microsoft.com/office/officeart/2005/8/layout/vList5"/>
    <dgm:cxn modelId="{884224F3-FCCC-4659-BA7B-AD30632EB3BE}" type="presParOf" srcId="{EC37C746-1CBD-428F-B476-FEBE3E416321}" destId="{D0C92579-28D5-44CE-B7C4-BC02CF8878C2}" srcOrd="0" destOrd="0" presId="urn:microsoft.com/office/officeart/2005/8/layout/vList5"/>
    <dgm:cxn modelId="{8ADB1CCD-BC41-442B-903C-388C276DF023}" type="presParOf" srcId="{EC37C746-1CBD-428F-B476-FEBE3E416321}" destId="{02EDE61B-F8B1-4EC5-AFB3-D260D849142B}" srcOrd="1" destOrd="0" presId="urn:microsoft.com/office/officeart/2005/8/layout/vList5"/>
    <dgm:cxn modelId="{B655431C-7CA0-480C-87CD-2AC997DF6168}" type="presParOf" srcId="{7AA4F208-6537-49C2-B06C-27161E82169A}" destId="{D3144D17-1C38-49B8-80A8-485D299FF6AD}" srcOrd="7" destOrd="0" presId="urn:microsoft.com/office/officeart/2005/8/layout/vList5"/>
    <dgm:cxn modelId="{7C728952-D421-4DCC-B19C-81964BA96F7D}" type="presParOf" srcId="{7AA4F208-6537-49C2-B06C-27161E82169A}" destId="{35813644-AB31-4AA7-8FFC-AF849B1D3705}" srcOrd="8" destOrd="0" presId="urn:microsoft.com/office/officeart/2005/8/layout/vList5"/>
    <dgm:cxn modelId="{40F59B41-DBD6-4E26-8F82-919E1EEDAC81}" type="presParOf" srcId="{35813644-AB31-4AA7-8FFC-AF849B1D3705}" destId="{7E24326E-5D49-4785-8FB5-C8929CDC8F08}" srcOrd="0" destOrd="0" presId="urn:microsoft.com/office/officeart/2005/8/layout/vList5"/>
    <dgm:cxn modelId="{5D9ED6A3-AE94-43C9-93CA-4D92B6347B5D}" type="presParOf" srcId="{35813644-AB31-4AA7-8FFC-AF849B1D3705}" destId="{95EBD044-A805-4E9A-B6A5-645CE2E2BF44}" srcOrd="1" destOrd="0" presId="urn:microsoft.com/office/officeart/2005/8/layout/vList5"/>
    <dgm:cxn modelId="{D62A4F73-435E-48F7-89A9-0D322F1A0F3B}" type="presParOf" srcId="{7AA4F208-6537-49C2-B06C-27161E82169A}" destId="{592A01D9-CFF3-49F6-92CD-6A3EE369B5C7}" srcOrd="9" destOrd="0" presId="urn:microsoft.com/office/officeart/2005/8/layout/vList5"/>
    <dgm:cxn modelId="{BDC56F54-E968-45AE-BD7E-C3E222696B5C}" type="presParOf" srcId="{7AA4F208-6537-49C2-B06C-27161E82169A}" destId="{93DFA82D-803C-40FB-82CD-A77A3FB7751C}" srcOrd="10" destOrd="0" presId="urn:microsoft.com/office/officeart/2005/8/layout/vList5"/>
    <dgm:cxn modelId="{332BD347-8332-46AA-ADC9-D1B8BD7B9E54}" type="presParOf" srcId="{93DFA82D-803C-40FB-82CD-A77A3FB7751C}" destId="{6CCCBCCB-EB9F-4E1E-A238-CBF642041796}" srcOrd="0" destOrd="0" presId="urn:microsoft.com/office/officeart/2005/8/layout/vList5"/>
    <dgm:cxn modelId="{2A28E3FA-AE66-484B-9C83-90C361645DF8}" type="presParOf" srcId="{93DFA82D-803C-40FB-82CD-A77A3FB7751C}" destId="{0882539E-CF2B-408F-93D6-C1877A244D30}" srcOrd="1" destOrd="0" presId="urn:microsoft.com/office/officeart/2005/8/layout/vList5"/>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D8188B-70E4-40E0-B91F-91B5794D99C1}">
      <dsp:nvSpPr>
        <dsp:cNvPr id="0" name=""/>
        <dsp:cNvSpPr/>
      </dsp:nvSpPr>
      <dsp:spPr>
        <a:xfrm>
          <a:off x="3846" y="129536"/>
          <a:ext cx="5954957" cy="2700661"/>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bg-BG" sz="1900" b="1" kern="1200">
              <a:latin typeface="Times New Roman" panose="02020603050405020304" pitchFamily="18" charset="0"/>
              <a:cs typeface="Times New Roman" panose="02020603050405020304" pitchFamily="18" charset="0"/>
            </a:rPr>
            <a:t>ДОКЛАД</a:t>
          </a:r>
        </a:p>
        <a:p>
          <a:pPr lvl="0" algn="ctr" defTabSz="844550">
            <a:lnSpc>
              <a:spcPct val="90000"/>
            </a:lnSpc>
            <a:spcBef>
              <a:spcPct val="0"/>
            </a:spcBef>
            <a:spcAft>
              <a:spcPct val="35000"/>
            </a:spcAft>
          </a:pPr>
          <a:endParaRPr lang="bg-BG" sz="1900" b="1" kern="1200">
            <a:latin typeface="Times New Roman" panose="02020603050405020304" pitchFamily="18" charset="0"/>
            <a:cs typeface="Times New Roman" panose="02020603050405020304" pitchFamily="18" charset="0"/>
          </a:endParaRPr>
        </a:p>
        <a:p>
          <a:pPr lvl="0" algn="ctr" defTabSz="844550">
            <a:lnSpc>
              <a:spcPct val="90000"/>
            </a:lnSpc>
            <a:spcBef>
              <a:spcPct val="0"/>
            </a:spcBef>
            <a:spcAft>
              <a:spcPct val="35000"/>
            </a:spcAft>
          </a:pPr>
          <a:r>
            <a:rPr lang="bg-BG" sz="1900" b="1" kern="1200">
              <a:latin typeface="Times New Roman" panose="02020603050405020304" pitchFamily="18" charset="0"/>
              <a:cs typeface="Times New Roman" panose="02020603050405020304" pitchFamily="18" charset="0"/>
            </a:rPr>
            <a:t>ПО ОТЧЕТА ЗА ИЗПЪЛНЕНИЕТО НА</a:t>
          </a:r>
        </a:p>
        <a:p>
          <a:pPr lvl="0" algn="ctr" defTabSz="844550">
            <a:lnSpc>
              <a:spcPct val="90000"/>
            </a:lnSpc>
            <a:spcBef>
              <a:spcPct val="0"/>
            </a:spcBef>
            <a:spcAft>
              <a:spcPct val="35000"/>
            </a:spcAft>
          </a:pPr>
          <a:r>
            <a:rPr lang="bg-BG" sz="1900" b="1" kern="1200">
              <a:latin typeface="Times New Roman" panose="02020603050405020304" pitchFamily="18" charset="0"/>
              <a:cs typeface="Times New Roman" panose="02020603050405020304" pitchFamily="18" charset="0"/>
            </a:rPr>
            <a:t>ДЪРЖАВНИЯ БЮДЖЕТ НА</a:t>
          </a:r>
        </a:p>
        <a:p>
          <a:pPr lvl="0" algn="ctr" defTabSz="844550">
            <a:lnSpc>
              <a:spcPct val="90000"/>
            </a:lnSpc>
            <a:spcBef>
              <a:spcPct val="0"/>
            </a:spcBef>
            <a:spcAft>
              <a:spcPct val="35000"/>
            </a:spcAft>
          </a:pPr>
          <a:r>
            <a:rPr lang="bg-BG" sz="1900" b="1" kern="1200">
              <a:latin typeface="Times New Roman" panose="02020603050405020304" pitchFamily="18" charset="0"/>
              <a:cs typeface="Times New Roman" panose="02020603050405020304" pitchFamily="18" charset="0"/>
            </a:rPr>
            <a:t>РЕПУБЛИКА БЪЛГАРИЯ</a:t>
          </a:r>
        </a:p>
        <a:p>
          <a:pPr lvl="0" algn="ctr" defTabSz="844550">
            <a:lnSpc>
              <a:spcPct val="90000"/>
            </a:lnSpc>
            <a:spcBef>
              <a:spcPct val="0"/>
            </a:spcBef>
            <a:spcAft>
              <a:spcPct val="35000"/>
            </a:spcAft>
          </a:pPr>
          <a:r>
            <a:rPr lang="bg-BG" sz="1900" b="1" kern="1200">
              <a:latin typeface="Times New Roman" panose="02020603050405020304" pitchFamily="18" charset="0"/>
              <a:cs typeface="Times New Roman" panose="02020603050405020304" pitchFamily="18" charset="0"/>
            </a:rPr>
            <a:t>ЗА 2022 ГОДИНА</a:t>
          </a:r>
        </a:p>
      </dsp:txBody>
      <dsp:txXfrm>
        <a:off x="3846" y="129536"/>
        <a:ext cx="5954957" cy="270066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AF7284-CF98-4E2F-A2AD-28D37F8EB98C}">
      <dsp:nvSpPr>
        <dsp:cNvPr id="0" name=""/>
        <dsp:cNvSpPr/>
      </dsp:nvSpPr>
      <dsp:spPr>
        <a:xfrm rot="5400000">
          <a:off x="4189966" y="-1362259"/>
          <a:ext cx="467937" cy="3304341"/>
        </a:xfrm>
        <a:prstGeom prst="round2SameRect">
          <a:avLst/>
        </a:prstGeom>
        <a:solidFill>
          <a:schemeClr val="bg1">
            <a:lumMod val="75000"/>
            <a:alpha val="9000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bg-BG" sz="1200" kern="1200"/>
            <a:t>Изискванията на фискалното правило са изпълнени при спазване на разпоредбите на чл. 23, ал. </a:t>
          </a:r>
          <a:r>
            <a:rPr lang="en-US" sz="1200" kern="1200"/>
            <a:t>3</a:t>
          </a:r>
          <a:r>
            <a:rPr lang="bg-BG" sz="1200" kern="1200"/>
            <a:t> на ЗПФ.</a:t>
          </a:r>
        </a:p>
      </dsp:txBody>
      <dsp:txXfrm rot="-5400000">
        <a:off x="2771765" y="78785"/>
        <a:ext cx="3281498" cy="422251"/>
      </dsp:txXfrm>
    </dsp:sp>
    <dsp:sp modelId="{AFE289CC-1F84-461B-832C-ECCD61467B9E}">
      <dsp:nvSpPr>
        <dsp:cNvPr id="0" name=""/>
        <dsp:cNvSpPr/>
      </dsp:nvSpPr>
      <dsp:spPr>
        <a:xfrm>
          <a:off x="844" y="2072"/>
          <a:ext cx="2770919" cy="57567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b="1" i="1" u="sng" kern="1200"/>
            <a:t>Фискални правила по отношение на структурния дефицит на сектор „Държавно управление"</a:t>
          </a:r>
          <a:endParaRPr lang="bg-BG" sz="1200" kern="1200"/>
        </a:p>
      </dsp:txBody>
      <dsp:txXfrm>
        <a:off x="28946" y="30174"/>
        <a:ext cx="2714715" cy="519473"/>
      </dsp:txXfrm>
    </dsp:sp>
    <dsp:sp modelId="{29A8E536-1EC5-4EC6-9705-45CB65B3349B}">
      <dsp:nvSpPr>
        <dsp:cNvPr id="0" name=""/>
        <dsp:cNvSpPr/>
      </dsp:nvSpPr>
      <dsp:spPr>
        <a:xfrm rot="5400000">
          <a:off x="4171713" y="-703598"/>
          <a:ext cx="516128" cy="3289149"/>
        </a:xfrm>
        <a:prstGeom prst="round2SameRect">
          <a:avLst/>
        </a:prstGeom>
        <a:solidFill>
          <a:srgbClr val="92D050">
            <a:alpha val="90000"/>
          </a:srgbClr>
        </a:solidFill>
        <a:ln w="25400" cap="flat" cmpd="sng" algn="ctr">
          <a:solidFill>
            <a:schemeClr val="accent3">
              <a:alpha val="9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bg-BG" sz="1200" kern="1200"/>
            <a:t>Изискванията на фискалното правило са изпълнени при хипотезата на чл. 25, ал. 2 на ЗПФ</a:t>
          </a:r>
        </a:p>
      </dsp:txBody>
      <dsp:txXfrm rot="-5400000">
        <a:off x="2785203" y="708107"/>
        <a:ext cx="3263954" cy="465738"/>
      </dsp:txXfrm>
    </dsp:sp>
    <dsp:sp modelId="{24BD9BAB-8D98-4274-AC95-CE6FDD93DB85}">
      <dsp:nvSpPr>
        <dsp:cNvPr id="0" name=""/>
        <dsp:cNvSpPr/>
      </dsp:nvSpPr>
      <dsp:spPr>
        <a:xfrm>
          <a:off x="844" y="648536"/>
          <a:ext cx="2784359" cy="58487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b="1" i="1" u="sng" kern="1200"/>
            <a:t>Фискално правило по отношение на дефицита на сектор „Държавно управление“</a:t>
          </a:r>
          <a:endParaRPr lang="bg-BG" sz="1200" kern="1200"/>
        </a:p>
      </dsp:txBody>
      <dsp:txXfrm>
        <a:off x="29395" y="677087"/>
        <a:ext cx="2727257" cy="527777"/>
      </dsp:txXfrm>
    </dsp:sp>
    <dsp:sp modelId="{D5B17E1D-3A32-4DFC-A497-7783E61D12D2}">
      <dsp:nvSpPr>
        <dsp:cNvPr id="0" name=""/>
        <dsp:cNvSpPr/>
      </dsp:nvSpPr>
      <dsp:spPr>
        <a:xfrm rot="5400000">
          <a:off x="4166603" y="-32788"/>
          <a:ext cx="545474" cy="3270158"/>
        </a:xfrm>
        <a:prstGeom prst="round2SameRect">
          <a:avLst/>
        </a:prstGeom>
        <a:solidFill>
          <a:srgbClr val="92D05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bg-BG" sz="1200" kern="1200"/>
            <a:t>Изискванията на фискалното правило са изпълнени при хипотезата на чл. 26, ал. 2 на ЗПФ</a:t>
          </a:r>
        </a:p>
      </dsp:txBody>
      <dsp:txXfrm rot="-5400000">
        <a:off x="2804261" y="1356182"/>
        <a:ext cx="3243530" cy="492218"/>
      </dsp:txXfrm>
    </dsp:sp>
    <dsp:sp modelId="{170DDB15-ADD4-4FE5-A329-B8C423692DD9}">
      <dsp:nvSpPr>
        <dsp:cNvPr id="0" name=""/>
        <dsp:cNvSpPr/>
      </dsp:nvSpPr>
      <dsp:spPr>
        <a:xfrm>
          <a:off x="844" y="1304202"/>
          <a:ext cx="2803417" cy="59617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b="1" i="1" u="sng" kern="1200"/>
            <a:t>Фискално правило по отношение на ръста на бюджетните разходи</a:t>
          </a:r>
          <a:endParaRPr lang="bg-BG" sz="1200" kern="1200"/>
        </a:p>
      </dsp:txBody>
      <dsp:txXfrm>
        <a:off x="29947" y="1333305"/>
        <a:ext cx="2745211" cy="537971"/>
      </dsp:txXfrm>
    </dsp:sp>
    <dsp:sp modelId="{02EDE61B-F8B1-4EC5-AFB3-D260D849142B}">
      <dsp:nvSpPr>
        <dsp:cNvPr id="0" name=""/>
        <dsp:cNvSpPr/>
      </dsp:nvSpPr>
      <dsp:spPr>
        <a:xfrm rot="5400000">
          <a:off x="4173209" y="596100"/>
          <a:ext cx="527624" cy="3277754"/>
        </a:xfrm>
        <a:prstGeom prst="round2SameRect">
          <a:avLst/>
        </a:prstGeom>
        <a:solidFill>
          <a:srgbClr val="92D05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bg-BG" sz="1200" kern="1200"/>
            <a:t>Изискванията на фискалното правило са изпълнени в съответствие с чл. 27, ал. 4 на ЗПФ.</a:t>
          </a:r>
        </a:p>
      </dsp:txBody>
      <dsp:txXfrm rot="-5400000">
        <a:off x="2798144" y="1996921"/>
        <a:ext cx="3251998" cy="476112"/>
      </dsp:txXfrm>
    </dsp:sp>
    <dsp:sp modelId="{D0C92579-28D5-44CE-B7C4-BC02CF8878C2}">
      <dsp:nvSpPr>
        <dsp:cNvPr id="0" name=""/>
        <dsp:cNvSpPr/>
      </dsp:nvSpPr>
      <dsp:spPr>
        <a:xfrm>
          <a:off x="844" y="1997539"/>
          <a:ext cx="2797299" cy="47487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b="1" i="1" u="sng" kern="1200"/>
            <a:t>Фискално правило по отношение на салдото по КФП</a:t>
          </a:r>
          <a:endParaRPr lang="bg-BG" sz="1200" kern="1200"/>
        </a:p>
      </dsp:txBody>
      <dsp:txXfrm>
        <a:off x="24026" y="2020721"/>
        <a:ext cx="2750935" cy="428513"/>
      </dsp:txXfrm>
    </dsp:sp>
    <dsp:sp modelId="{95EBD044-A805-4E9A-B6A5-645CE2E2BF44}">
      <dsp:nvSpPr>
        <dsp:cNvPr id="0" name=""/>
        <dsp:cNvSpPr/>
      </dsp:nvSpPr>
      <dsp:spPr>
        <a:xfrm rot="5400000">
          <a:off x="4197459" y="1237714"/>
          <a:ext cx="494621" cy="3204857"/>
        </a:xfrm>
        <a:prstGeom prst="round2SameRect">
          <a:avLst/>
        </a:prstGeom>
        <a:solidFill>
          <a:srgbClr val="92D05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bg-BG" sz="1200" kern="1200"/>
            <a:t>Изискванията на чл. 28 на ЗПФ са изпълнени</a:t>
          </a:r>
        </a:p>
      </dsp:txBody>
      <dsp:txXfrm rot="-5400000">
        <a:off x="2842342" y="2616977"/>
        <a:ext cx="3180712" cy="446331"/>
      </dsp:txXfrm>
    </dsp:sp>
    <dsp:sp modelId="{7E24326E-5D49-4785-8FB5-C8929CDC8F08}">
      <dsp:nvSpPr>
        <dsp:cNvPr id="0" name=""/>
        <dsp:cNvSpPr/>
      </dsp:nvSpPr>
      <dsp:spPr>
        <a:xfrm>
          <a:off x="844" y="2569576"/>
          <a:ext cx="2841496" cy="541133"/>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b="1" i="1" u="sng" kern="1200"/>
            <a:t>Фискално правило по отношение на максималния размер на разходите по КФП</a:t>
          </a:r>
          <a:endParaRPr lang="bg-BG" sz="1200" kern="1200"/>
        </a:p>
      </dsp:txBody>
      <dsp:txXfrm>
        <a:off x="27260" y="2595992"/>
        <a:ext cx="2788664" cy="488301"/>
      </dsp:txXfrm>
    </dsp:sp>
    <dsp:sp modelId="{0882539E-CF2B-408F-93D6-C1877A244D30}">
      <dsp:nvSpPr>
        <dsp:cNvPr id="0" name=""/>
        <dsp:cNvSpPr/>
      </dsp:nvSpPr>
      <dsp:spPr>
        <a:xfrm rot="5400000">
          <a:off x="4167729" y="1874824"/>
          <a:ext cx="573437" cy="3239773"/>
        </a:xfrm>
        <a:prstGeom prst="round2SameRect">
          <a:avLst/>
        </a:prstGeom>
        <a:solidFill>
          <a:srgbClr val="92D050">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14300" lvl="1" indent="-114300" algn="l" defTabSz="533400">
            <a:lnSpc>
              <a:spcPct val="90000"/>
            </a:lnSpc>
            <a:spcBef>
              <a:spcPct val="0"/>
            </a:spcBef>
            <a:spcAft>
              <a:spcPct val="15000"/>
            </a:spcAft>
            <a:buChar char="••"/>
          </a:pPr>
          <a:r>
            <a:rPr lang="bg-BG" sz="1200" kern="1200"/>
            <a:t>Изискванията</a:t>
          </a:r>
          <a:r>
            <a:rPr lang="bg-BG" sz="1100" kern="1200"/>
            <a:t> на чл. 29 на ЗПФ са изпълнени</a:t>
          </a:r>
        </a:p>
      </dsp:txBody>
      <dsp:txXfrm rot="-5400000">
        <a:off x="2834562" y="3235985"/>
        <a:ext cx="3211780" cy="517451"/>
      </dsp:txXfrm>
    </dsp:sp>
    <dsp:sp modelId="{6CCCBCCB-EB9F-4E1E-A238-CBF642041796}">
      <dsp:nvSpPr>
        <dsp:cNvPr id="0" name=""/>
        <dsp:cNvSpPr/>
      </dsp:nvSpPr>
      <dsp:spPr>
        <a:xfrm>
          <a:off x="2" y="3171359"/>
          <a:ext cx="2833716" cy="626431"/>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bg-BG" sz="1100" b="1" i="1" u="sng" kern="1200"/>
            <a:t>Фискално правило по отношение на консолидирания дълг на сектор „Държавно управление“</a:t>
          </a:r>
          <a:endParaRPr lang="bg-BG" sz="1100" kern="1200"/>
        </a:p>
      </dsp:txBody>
      <dsp:txXfrm>
        <a:off x="30582" y="3201939"/>
        <a:ext cx="2772556" cy="565271"/>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C2F9F1-42A7-4B54-8366-0C74EBB2F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3035</TotalTime>
  <Pages>204</Pages>
  <Words>95818</Words>
  <Characters>546166</Characters>
  <Application>Microsoft Office Word</Application>
  <DocSecurity>0</DocSecurity>
  <Lines>4551</Lines>
  <Paragraphs>1281</Paragraphs>
  <ScaleCrop>false</ScaleCrop>
  <HeadingPairs>
    <vt:vector size="2" baseType="variant">
      <vt:variant>
        <vt:lpstr>Title</vt:lpstr>
      </vt:variant>
      <vt:variant>
        <vt:i4>1</vt:i4>
      </vt:variant>
    </vt:vector>
  </HeadingPairs>
  <TitlesOfParts>
    <vt:vector size="1" baseType="lpstr">
      <vt:lpstr>ІІІ</vt:lpstr>
    </vt:vector>
  </TitlesOfParts>
  <Company>MoF</Company>
  <LinksUpToDate>false</LinksUpToDate>
  <CharactersWithSpaces>640703</CharactersWithSpaces>
  <SharedDoc>false</SharedDoc>
  <HLinks>
    <vt:vector size="408" baseType="variant">
      <vt:variant>
        <vt:i4>1441855</vt:i4>
      </vt:variant>
      <vt:variant>
        <vt:i4>404</vt:i4>
      </vt:variant>
      <vt:variant>
        <vt:i4>0</vt:i4>
      </vt:variant>
      <vt:variant>
        <vt:i4>5</vt:i4>
      </vt:variant>
      <vt:variant>
        <vt:lpwstr/>
      </vt:variant>
      <vt:variant>
        <vt:lpwstr>_Toc421288293</vt:lpwstr>
      </vt:variant>
      <vt:variant>
        <vt:i4>1441855</vt:i4>
      </vt:variant>
      <vt:variant>
        <vt:i4>398</vt:i4>
      </vt:variant>
      <vt:variant>
        <vt:i4>0</vt:i4>
      </vt:variant>
      <vt:variant>
        <vt:i4>5</vt:i4>
      </vt:variant>
      <vt:variant>
        <vt:lpwstr/>
      </vt:variant>
      <vt:variant>
        <vt:lpwstr>_Toc421288292</vt:lpwstr>
      </vt:variant>
      <vt:variant>
        <vt:i4>1441855</vt:i4>
      </vt:variant>
      <vt:variant>
        <vt:i4>392</vt:i4>
      </vt:variant>
      <vt:variant>
        <vt:i4>0</vt:i4>
      </vt:variant>
      <vt:variant>
        <vt:i4>5</vt:i4>
      </vt:variant>
      <vt:variant>
        <vt:lpwstr/>
      </vt:variant>
      <vt:variant>
        <vt:lpwstr>_Toc421288291</vt:lpwstr>
      </vt:variant>
      <vt:variant>
        <vt:i4>1441855</vt:i4>
      </vt:variant>
      <vt:variant>
        <vt:i4>386</vt:i4>
      </vt:variant>
      <vt:variant>
        <vt:i4>0</vt:i4>
      </vt:variant>
      <vt:variant>
        <vt:i4>5</vt:i4>
      </vt:variant>
      <vt:variant>
        <vt:lpwstr/>
      </vt:variant>
      <vt:variant>
        <vt:lpwstr>_Toc421288290</vt:lpwstr>
      </vt:variant>
      <vt:variant>
        <vt:i4>1507391</vt:i4>
      </vt:variant>
      <vt:variant>
        <vt:i4>380</vt:i4>
      </vt:variant>
      <vt:variant>
        <vt:i4>0</vt:i4>
      </vt:variant>
      <vt:variant>
        <vt:i4>5</vt:i4>
      </vt:variant>
      <vt:variant>
        <vt:lpwstr/>
      </vt:variant>
      <vt:variant>
        <vt:lpwstr>_Toc421288289</vt:lpwstr>
      </vt:variant>
      <vt:variant>
        <vt:i4>1507391</vt:i4>
      </vt:variant>
      <vt:variant>
        <vt:i4>374</vt:i4>
      </vt:variant>
      <vt:variant>
        <vt:i4>0</vt:i4>
      </vt:variant>
      <vt:variant>
        <vt:i4>5</vt:i4>
      </vt:variant>
      <vt:variant>
        <vt:lpwstr/>
      </vt:variant>
      <vt:variant>
        <vt:lpwstr>_Toc421288288</vt:lpwstr>
      </vt:variant>
      <vt:variant>
        <vt:i4>1507391</vt:i4>
      </vt:variant>
      <vt:variant>
        <vt:i4>368</vt:i4>
      </vt:variant>
      <vt:variant>
        <vt:i4>0</vt:i4>
      </vt:variant>
      <vt:variant>
        <vt:i4>5</vt:i4>
      </vt:variant>
      <vt:variant>
        <vt:lpwstr/>
      </vt:variant>
      <vt:variant>
        <vt:lpwstr>_Toc421288287</vt:lpwstr>
      </vt:variant>
      <vt:variant>
        <vt:i4>1507391</vt:i4>
      </vt:variant>
      <vt:variant>
        <vt:i4>362</vt:i4>
      </vt:variant>
      <vt:variant>
        <vt:i4>0</vt:i4>
      </vt:variant>
      <vt:variant>
        <vt:i4>5</vt:i4>
      </vt:variant>
      <vt:variant>
        <vt:lpwstr/>
      </vt:variant>
      <vt:variant>
        <vt:lpwstr>_Toc421288286</vt:lpwstr>
      </vt:variant>
      <vt:variant>
        <vt:i4>1507391</vt:i4>
      </vt:variant>
      <vt:variant>
        <vt:i4>356</vt:i4>
      </vt:variant>
      <vt:variant>
        <vt:i4>0</vt:i4>
      </vt:variant>
      <vt:variant>
        <vt:i4>5</vt:i4>
      </vt:variant>
      <vt:variant>
        <vt:lpwstr/>
      </vt:variant>
      <vt:variant>
        <vt:lpwstr>_Toc421288285</vt:lpwstr>
      </vt:variant>
      <vt:variant>
        <vt:i4>1507391</vt:i4>
      </vt:variant>
      <vt:variant>
        <vt:i4>350</vt:i4>
      </vt:variant>
      <vt:variant>
        <vt:i4>0</vt:i4>
      </vt:variant>
      <vt:variant>
        <vt:i4>5</vt:i4>
      </vt:variant>
      <vt:variant>
        <vt:lpwstr/>
      </vt:variant>
      <vt:variant>
        <vt:lpwstr>_Toc421288284</vt:lpwstr>
      </vt:variant>
      <vt:variant>
        <vt:i4>1507391</vt:i4>
      </vt:variant>
      <vt:variant>
        <vt:i4>344</vt:i4>
      </vt:variant>
      <vt:variant>
        <vt:i4>0</vt:i4>
      </vt:variant>
      <vt:variant>
        <vt:i4>5</vt:i4>
      </vt:variant>
      <vt:variant>
        <vt:lpwstr/>
      </vt:variant>
      <vt:variant>
        <vt:lpwstr>_Toc421288283</vt:lpwstr>
      </vt:variant>
      <vt:variant>
        <vt:i4>1507391</vt:i4>
      </vt:variant>
      <vt:variant>
        <vt:i4>338</vt:i4>
      </vt:variant>
      <vt:variant>
        <vt:i4>0</vt:i4>
      </vt:variant>
      <vt:variant>
        <vt:i4>5</vt:i4>
      </vt:variant>
      <vt:variant>
        <vt:lpwstr/>
      </vt:variant>
      <vt:variant>
        <vt:lpwstr>_Toc421288282</vt:lpwstr>
      </vt:variant>
      <vt:variant>
        <vt:i4>1507391</vt:i4>
      </vt:variant>
      <vt:variant>
        <vt:i4>332</vt:i4>
      </vt:variant>
      <vt:variant>
        <vt:i4>0</vt:i4>
      </vt:variant>
      <vt:variant>
        <vt:i4>5</vt:i4>
      </vt:variant>
      <vt:variant>
        <vt:lpwstr/>
      </vt:variant>
      <vt:variant>
        <vt:lpwstr>_Toc421288281</vt:lpwstr>
      </vt:variant>
      <vt:variant>
        <vt:i4>1507391</vt:i4>
      </vt:variant>
      <vt:variant>
        <vt:i4>326</vt:i4>
      </vt:variant>
      <vt:variant>
        <vt:i4>0</vt:i4>
      </vt:variant>
      <vt:variant>
        <vt:i4>5</vt:i4>
      </vt:variant>
      <vt:variant>
        <vt:lpwstr/>
      </vt:variant>
      <vt:variant>
        <vt:lpwstr>_Toc421288280</vt:lpwstr>
      </vt:variant>
      <vt:variant>
        <vt:i4>1572927</vt:i4>
      </vt:variant>
      <vt:variant>
        <vt:i4>320</vt:i4>
      </vt:variant>
      <vt:variant>
        <vt:i4>0</vt:i4>
      </vt:variant>
      <vt:variant>
        <vt:i4>5</vt:i4>
      </vt:variant>
      <vt:variant>
        <vt:lpwstr/>
      </vt:variant>
      <vt:variant>
        <vt:lpwstr>_Toc421288279</vt:lpwstr>
      </vt:variant>
      <vt:variant>
        <vt:i4>1572927</vt:i4>
      </vt:variant>
      <vt:variant>
        <vt:i4>314</vt:i4>
      </vt:variant>
      <vt:variant>
        <vt:i4>0</vt:i4>
      </vt:variant>
      <vt:variant>
        <vt:i4>5</vt:i4>
      </vt:variant>
      <vt:variant>
        <vt:lpwstr/>
      </vt:variant>
      <vt:variant>
        <vt:lpwstr>_Toc421288278</vt:lpwstr>
      </vt:variant>
      <vt:variant>
        <vt:i4>1572927</vt:i4>
      </vt:variant>
      <vt:variant>
        <vt:i4>308</vt:i4>
      </vt:variant>
      <vt:variant>
        <vt:i4>0</vt:i4>
      </vt:variant>
      <vt:variant>
        <vt:i4>5</vt:i4>
      </vt:variant>
      <vt:variant>
        <vt:lpwstr/>
      </vt:variant>
      <vt:variant>
        <vt:lpwstr>_Toc421288277</vt:lpwstr>
      </vt:variant>
      <vt:variant>
        <vt:i4>1572927</vt:i4>
      </vt:variant>
      <vt:variant>
        <vt:i4>302</vt:i4>
      </vt:variant>
      <vt:variant>
        <vt:i4>0</vt:i4>
      </vt:variant>
      <vt:variant>
        <vt:i4>5</vt:i4>
      </vt:variant>
      <vt:variant>
        <vt:lpwstr/>
      </vt:variant>
      <vt:variant>
        <vt:lpwstr>_Toc421288276</vt:lpwstr>
      </vt:variant>
      <vt:variant>
        <vt:i4>1572927</vt:i4>
      </vt:variant>
      <vt:variant>
        <vt:i4>296</vt:i4>
      </vt:variant>
      <vt:variant>
        <vt:i4>0</vt:i4>
      </vt:variant>
      <vt:variant>
        <vt:i4>5</vt:i4>
      </vt:variant>
      <vt:variant>
        <vt:lpwstr/>
      </vt:variant>
      <vt:variant>
        <vt:lpwstr>_Toc421288275</vt:lpwstr>
      </vt:variant>
      <vt:variant>
        <vt:i4>1572927</vt:i4>
      </vt:variant>
      <vt:variant>
        <vt:i4>290</vt:i4>
      </vt:variant>
      <vt:variant>
        <vt:i4>0</vt:i4>
      </vt:variant>
      <vt:variant>
        <vt:i4>5</vt:i4>
      </vt:variant>
      <vt:variant>
        <vt:lpwstr/>
      </vt:variant>
      <vt:variant>
        <vt:lpwstr>_Toc421288274</vt:lpwstr>
      </vt:variant>
      <vt:variant>
        <vt:i4>1572927</vt:i4>
      </vt:variant>
      <vt:variant>
        <vt:i4>284</vt:i4>
      </vt:variant>
      <vt:variant>
        <vt:i4>0</vt:i4>
      </vt:variant>
      <vt:variant>
        <vt:i4>5</vt:i4>
      </vt:variant>
      <vt:variant>
        <vt:lpwstr/>
      </vt:variant>
      <vt:variant>
        <vt:lpwstr>_Toc421288273</vt:lpwstr>
      </vt:variant>
      <vt:variant>
        <vt:i4>1572927</vt:i4>
      </vt:variant>
      <vt:variant>
        <vt:i4>278</vt:i4>
      </vt:variant>
      <vt:variant>
        <vt:i4>0</vt:i4>
      </vt:variant>
      <vt:variant>
        <vt:i4>5</vt:i4>
      </vt:variant>
      <vt:variant>
        <vt:lpwstr/>
      </vt:variant>
      <vt:variant>
        <vt:lpwstr>_Toc421288272</vt:lpwstr>
      </vt:variant>
      <vt:variant>
        <vt:i4>1572927</vt:i4>
      </vt:variant>
      <vt:variant>
        <vt:i4>272</vt:i4>
      </vt:variant>
      <vt:variant>
        <vt:i4>0</vt:i4>
      </vt:variant>
      <vt:variant>
        <vt:i4>5</vt:i4>
      </vt:variant>
      <vt:variant>
        <vt:lpwstr/>
      </vt:variant>
      <vt:variant>
        <vt:lpwstr>_Toc421288271</vt:lpwstr>
      </vt:variant>
      <vt:variant>
        <vt:i4>1572927</vt:i4>
      </vt:variant>
      <vt:variant>
        <vt:i4>266</vt:i4>
      </vt:variant>
      <vt:variant>
        <vt:i4>0</vt:i4>
      </vt:variant>
      <vt:variant>
        <vt:i4>5</vt:i4>
      </vt:variant>
      <vt:variant>
        <vt:lpwstr/>
      </vt:variant>
      <vt:variant>
        <vt:lpwstr>_Toc421288270</vt:lpwstr>
      </vt:variant>
      <vt:variant>
        <vt:i4>1638463</vt:i4>
      </vt:variant>
      <vt:variant>
        <vt:i4>260</vt:i4>
      </vt:variant>
      <vt:variant>
        <vt:i4>0</vt:i4>
      </vt:variant>
      <vt:variant>
        <vt:i4>5</vt:i4>
      </vt:variant>
      <vt:variant>
        <vt:lpwstr/>
      </vt:variant>
      <vt:variant>
        <vt:lpwstr>_Toc421288269</vt:lpwstr>
      </vt:variant>
      <vt:variant>
        <vt:i4>1638463</vt:i4>
      </vt:variant>
      <vt:variant>
        <vt:i4>254</vt:i4>
      </vt:variant>
      <vt:variant>
        <vt:i4>0</vt:i4>
      </vt:variant>
      <vt:variant>
        <vt:i4>5</vt:i4>
      </vt:variant>
      <vt:variant>
        <vt:lpwstr/>
      </vt:variant>
      <vt:variant>
        <vt:lpwstr>_Toc421288268</vt:lpwstr>
      </vt:variant>
      <vt:variant>
        <vt:i4>1638463</vt:i4>
      </vt:variant>
      <vt:variant>
        <vt:i4>248</vt:i4>
      </vt:variant>
      <vt:variant>
        <vt:i4>0</vt:i4>
      </vt:variant>
      <vt:variant>
        <vt:i4>5</vt:i4>
      </vt:variant>
      <vt:variant>
        <vt:lpwstr/>
      </vt:variant>
      <vt:variant>
        <vt:lpwstr>_Toc421288267</vt:lpwstr>
      </vt:variant>
      <vt:variant>
        <vt:i4>1638463</vt:i4>
      </vt:variant>
      <vt:variant>
        <vt:i4>242</vt:i4>
      </vt:variant>
      <vt:variant>
        <vt:i4>0</vt:i4>
      </vt:variant>
      <vt:variant>
        <vt:i4>5</vt:i4>
      </vt:variant>
      <vt:variant>
        <vt:lpwstr/>
      </vt:variant>
      <vt:variant>
        <vt:lpwstr>_Toc421288266</vt:lpwstr>
      </vt:variant>
      <vt:variant>
        <vt:i4>1638463</vt:i4>
      </vt:variant>
      <vt:variant>
        <vt:i4>236</vt:i4>
      </vt:variant>
      <vt:variant>
        <vt:i4>0</vt:i4>
      </vt:variant>
      <vt:variant>
        <vt:i4>5</vt:i4>
      </vt:variant>
      <vt:variant>
        <vt:lpwstr/>
      </vt:variant>
      <vt:variant>
        <vt:lpwstr>_Toc421288265</vt:lpwstr>
      </vt:variant>
      <vt:variant>
        <vt:i4>1638463</vt:i4>
      </vt:variant>
      <vt:variant>
        <vt:i4>230</vt:i4>
      </vt:variant>
      <vt:variant>
        <vt:i4>0</vt:i4>
      </vt:variant>
      <vt:variant>
        <vt:i4>5</vt:i4>
      </vt:variant>
      <vt:variant>
        <vt:lpwstr/>
      </vt:variant>
      <vt:variant>
        <vt:lpwstr>_Toc421288264</vt:lpwstr>
      </vt:variant>
      <vt:variant>
        <vt:i4>1638463</vt:i4>
      </vt:variant>
      <vt:variant>
        <vt:i4>224</vt:i4>
      </vt:variant>
      <vt:variant>
        <vt:i4>0</vt:i4>
      </vt:variant>
      <vt:variant>
        <vt:i4>5</vt:i4>
      </vt:variant>
      <vt:variant>
        <vt:lpwstr/>
      </vt:variant>
      <vt:variant>
        <vt:lpwstr>_Toc421288263</vt:lpwstr>
      </vt:variant>
      <vt:variant>
        <vt:i4>1638463</vt:i4>
      </vt:variant>
      <vt:variant>
        <vt:i4>218</vt:i4>
      </vt:variant>
      <vt:variant>
        <vt:i4>0</vt:i4>
      </vt:variant>
      <vt:variant>
        <vt:i4>5</vt:i4>
      </vt:variant>
      <vt:variant>
        <vt:lpwstr/>
      </vt:variant>
      <vt:variant>
        <vt:lpwstr>_Toc421288262</vt:lpwstr>
      </vt:variant>
      <vt:variant>
        <vt:i4>1638463</vt:i4>
      </vt:variant>
      <vt:variant>
        <vt:i4>212</vt:i4>
      </vt:variant>
      <vt:variant>
        <vt:i4>0</vt:i4>
      </vt:variant>
      <vt:variant>
        <vt:i4>5</vt:i4>
      </vt:variant>
      <vt:variant>
        <vt:lpwstr/>
      </vt:variant>
      <vt:variant>
        <vt:lpwstr>_Toc421288261</vt:lpwstr>
      </vt:variant>
      <vt:variant>
        <vt:i4>1638463</vt:i4>
      </vt:variant>
      <vt:variant>
        <vt:i4>206</vt:i4>
      </vt:variant>
      <vt:variant>
        <vt:i4>0</vt:i4>
      </vt:variant>
      <vt:variant>
        <vt:i4>5</vt:i4>
      </vt:variant>
      <vt:variant>
        <vt:lpwstr/>
      </vt:variant>
      <vt:variant>
        <vt:lpwstr>_Toc421288260</vt:lpwstr>
      </vt:variant>
      <vt:variant>
        <vt:i4>1703999</vt:i4>
      </vt:variant>
      <vt:variant>
        <vt:i4>200</vt:i4>
      </vt:variant>
      <vt:variant>
        <vt:i4>0</vt:i4>
      </vt:variant>
      <vt:variant>
        <vt:i4>5</vt:i4>
      </vt:variant>
      <vt:variant>
        <vt:lpwstr/>
      </vt:variant>
      <vt:variant>
        <vt:lpwstr>_Toc421288259</vt:lpwstr>
      </vt:variant>
      <vt:variant>
        <vt:i4>1703999</vt:i4>
      </vt:variant>
      <vt:variant>
        <vt:i4>194</vt:i4>
      </vt:variant>
      <vt:variant>
        <vt:i4>0</vt:i4>
      </vt:variant>
      <vt:variant>
        <vt:i4>5</vt:i4>
      </vt:variant>
      <vt:variant>
        <vt:lpwstr/>
      </vt:variant>
      <vt:variant>
        <vt:lpwstr>_Toc421288258</vt:lpwstr>
      </vt:variant>
      <vt:variant>
        <vt:i4>1703999</vt:i4>
      </vt:variant>
      <vt:variant>
        <vt:i4>188</vt:i4>
      </vt:variant>
      <vt:variant>
        <vt:i4>0</vt:i4>
      </vt:variant>
      <vt:variant>
        <vt:i4>5</vt:i4>
      </vt:variant>
      <vt:variant>
        <vt:lpwstr/>
      </vt:variant>
      <vt:variant>
        <vt:lpwstr>_Toc421288257</vt:lpwstr>
      </vt:variant>
      <vt:variant>
        <vt:i4>1703999</vt:i4>
      </vt:variant>
      <vt:variant>
        <vt:i4>182</vt:i4>
      </vt:variant>
      <vt:variant>
        <vt:i4>0</vt:i4>
      </vt:variant>
      <vt:variant>
        <vt:i4>5</vt:i4>
      </vt:variant>
      <vt:variant>
        <vt:lpwstr/>
      </vt:variant>
      <vt:variant>
        <vt:lpwstr>_Toc421288256</vt:lpwstr>
      </vt:variant>
      <vt:variant>
        <vt:i4>1703999</vt:i4>
      </vt:variant>
      <vt:variant>
        <vt:i4>176</vt:i4>
      </vt:variant>
      <vt:variant>
        <vt:i4>0</vt:i4>
      </vt:variant>
      <vt:variant>
        <vt:i4>5</vt:i4>
      </vt:variant>
      <vt:variant>
        <vt:lpwstr/>
      </vt:variant>
      <vt:variant>
        <vt:lpwstr>_Toc421288255</vt:lpwstr>
      </vt:variant>
      <vt:variant>
        <vt:i4>1703999</vt:i4>
      </vt:variant>
      <vt:variant>
        <vt:i4>170</vt:i4>
      </vt:variant>
      <vt:variant>
        <vt:i4>0</vt:i4>
      </vt:variant>
      <vt:variant>
        <vt:i4>5</vt:i4>
      </vt:variant>
      <vt:variant>
        <vt:lpwstr/>
      </vt:variant>
      <vt:variant>
        <vt:lpwstr>_Toc421288254</vt:lpwstr>
      </vt:variant>
      <vt:variant>
        <vt:i4>1703999</vt:i4>
      </vt:variant>
      <vt:variant>
        <vt:i4>164</vt:i4>
      </vt:variant>
      <vt:variant>
        <vt:i4>0</vt:i4>
      </vt:variant>
      <vt:variant>
        <vt:i4>5</vt:i4>
      </vt:variant>
      <vt:variant>
        <vt:lpwstr/>
      </vt:variant>
      <vt:variant>
        <vt:lpwstr>_Toc421288253</vt:lpwstr>
      </vt:variant>
      <vt:variant>
        <vt:i4>1703999</vt:i4>
      </vt:variant>
      <vt:variant>
        <vt:i4>158</vt:i4>
      </vt:variant>
      <vt:variant>
        <vt:i4>0</vt:i4>
      </vt:variant>
      <vt:variant>
        <vt:i4>5</vt:i4>
      </vt:variant>
      <vt:variant>
        <vt:lpwstr/>
      </vt:variant>
      <vt:variant>
        <vt:lpwstr>_Toc421288252</vt:lpwstr>
      </vt:variant>
      <vt:variant>
        <vt:i4>1703999</vt:i4>
      </vt:variant>
      <vt:variant>
        <vt:i4>152</vt:i4>
      </vt:variant>
      <vt:variant>
        <vt:i4>0</vt:i4>
      </vt:variant>
      <vt:variant>
        <vt:i4>5</vt:i4>
      </vt:variant>
      <vt:variant>
        <vt:lpwstr/>
      </vt:variant>
      <vt:variant>
        <vt:lpwstr>_Toc421288251</vt:lpwstr>
      </vt:variant>
      <vt:variant>
        <vt:i4>1703999</vt:i4>
      </vt:variant>
      <vt:variant>
        <vt:i4>146</vt:i4>
      </vt:variant>
      <vt:variant>
        <vt:i4>0</vt:i4>
      </vt:variant>
      <vt:variant>
        <vt:i4>5</vt:i4>
      </vt:variant>
      <vt:variant>
        <vt:lpwstr/>
      </vt:variant>
      <vt:variant>
        <vt:lpwstr>_Toc421288250</vt:lpwstr>
      </vt:variant>
      <vt:variant>
        <vt:i4>1769535</vt:i4>
      </vt:variant>
      <vt:variant>
        <vt:i4>140</vt:i4>
      </vt:variant>
      <vt:variant>
        <vt:i4>0</vt:i4>
      </vt:variant>
      <vt:variant>
        <vt:i4>5</vt:i4>
      </vt:variant>
      <vt:variant>
        <vt:lpwstr/>
      </vt:variant>
      <vt:variant>
        <vt:lpwstr>_Toc421288249</vt:lpwstr>
      </vt:variant>
      <vt:variant>
        <vt:i4>1769535</vt:i4>
      </vt:variant>
      <vt:variant>
        <vt:i4>134</vt:i4>
      </vt:variant>
      <vt:variant>
        <vt:i4>0</vt:i4>
      </vt:variant>
      <vt:variant>
        <vt:i4>5</vt:i4>
      </vt:variant>
      <vt:variant>
        <vt:lpwstr/>
      </vt:variant>
      <vt:variant>
        <vt:lpwstr>_Toc421288248</vt:lpwstr>
      </vt:variant>
      <vt:variant>
        <vt:i4>1769535</vt:i4>
      </vt:variant>
      <vt:variant>
        <vt:i4>128</vt:i4>
      </vt:variant>
      <vt:variant>
        <vt:i4>0</vt:i4>
      </vt:variant>
      <vt:variant>
        <vt:i4>5</vt:i4>
      </vt:variant>
      <vt:variant>
        <vt:lpwstr/>
      </vt:variant>
      <vt:variant>
        <vt:lpwstr>_Toc421288247</vt:lpwstr>
      </vt:variant>
      <vt:variant>
        <vt:i4>1769535</vt:i4>
      </vt:variant>
      <vt:variant>
        <vt:i4>122</vt:i4>
      </vt:variant>
      <vt:variant>
        <vt:i4>0</vt:i4>
      </vt:variant>
      <vt:variant>
        <vt:i4>5</vt:i4>
      </vt:variant>
      <vt:variant>
        <vt:lpwstr/>
      </vt:variant>
      <vt:variant>
        <vt:lpwstr>_Toc421288246</vt:lpwstr>
      </vt:variant>
      <vt:variant>
        <vt:i4>1769535</vt:i4>
      </vt:variant>
      <vt:variant>
        <vt:i4>116</vt:i4>
      </vt:variant>
      <vt:variant>
        <vt:i4>0</vt:i4>
      </vt:variant>
      <vt:variant>
        <vt:i4>5</vt:i4>
      </vt:variant>
      <vt:variant>
        <vt:lpwstr/>
      </vt:variant>
      <vt:variant>
        <vt:lpwstr>_Toc421288245</vt:lpwstr>
      </vt:variant>
      <vt:variant>
        <vt:i4>1769535</vt:i4>
      </vt:variant>
      <vt:variant>
        <vt:i4>110</vt:i4>
      </vt:variant>
      <vt:variant>
        <vt:i4>0</vt:i4>
      </vt:variant>
      <vt:variant>
        <vt:i4>5</vt:i4>
      </vt:variant>
      <vt:variant>
        <vt:lpwstr/>
      </vt:variant>
      <vt:variant>
        <vt:lpwstr>_Toc421288244</vt:lpwstr>
      </vt:variant>
      <vt:variant>
        <vt:i4>1769535</vt:i4>
      </vt:variant>
      <vt:variant>
        <vt:i4>104</vt:i4>
      </vt:variant>
      <vt:variant>
        <vt:i4>0</vt:i4>
      </vt:variant>
      <vt:variant>
        <vt:i4>5</vt:i4>
      </vt:variant>
      <vt:variant>
        <vt:lpwstr/>
      </vt:variant>
      <vt:variant>
        <vt:lpwstr>_Toc421288243</vt:lpwstr>
      </vt:variant>
      <vt:variant>
        <vt:i4>1769535</vt:i4>
      </vt:variant>
      <vt:variant>
        <vt:i4>98</vt:i4>
      </vt:variant>
      <vt:variant>
        <vt:i4>0</vt:i4>
      </vt:variant>
      <vt:variant>
        <vt:i4>5</vt:i4>
      </vt:variant>
      <vt:variant>
        <vt:lpwstr/>
      </vt:variant>
      <vt:variant>
        <vt:lpwstr>_Toc421288242</vt:lpwstr>
      </vt:variant>
      <vt:variant>
        <vt:i4>1769535</vt:i4>
      </vt:variant>
      <vt:variant>
        <vt:i4>92</vt:i4>
      </vt:variant>
      <vt:variant>
        <vt:i4>0</vt:i4>
      </vt:variant>
      <vt:variant>
        <vt:i4>5</vt:i4>
      </vt:variant>
      <vt:variant>
        <vt:lpwstr/>
      </vt:variant>
      <vt:variant>
        <vt:lpwstr>_Toc421288241</vt:lpwstr>
      </vt:variant>
      <vt:variant>
        <vt:i4>1769535</vt:i4>
      </vt:variant>
      <vt:variant>
        <vt:i4>86</vt:i4>
      </vt:variant>
      <vt:variant>
        <vt:i4>0</vt:i4>
      </vt:variant>
      <vt:variant>
        <vt:i4>5</vt:i4>
      </vt:variant>
      <vt:variant>
        <vt:lpwstr/>
      </vt:variant>
      <vt:variant>
        <vt:lpwstr>_Toc421288240</vt:lpwstr>
      </vt:variant>
      <vt:variant>
        <vt:i4>1835071</vt:i4>
      </vt:variant>
      <vt:variant>
        <vt:i4>80</vt:i4>
      </vt:variant>
      <vt:variant>
        <vt:i4>0</vt:i4>
      </vt:variant>
      <vt:variant>
        <vt:i4>5</vt:i4>
      </vt:variant>
      <vt:variant>
        <vt:lpwstr/>
      </vt:variant>
      <vt:variant>
        <vt:lpwstr>_Toc421288239</vt:lpwstr>
      </vt:variant>
      <vt:variant>
        <vt:i4>1835071</vt:i4>
      </vt:variant>
      <vt:variant>
        <vt:i4>74</vt:i4>
      </vt:variant>
      <vt:variant>
        <vt:i4>0</vt:i4>
      </vt:variant>
      <vt:variant>
        <vt:i4>5</vt:i4>
      </vt:variant>
      <vt:variant>
        <vt:lpwstr/>
      </vt:variant>
      <vt:variant>
        <vt:lpwstr>_Toc421288238</vt:lpwstr>
      </vt:variant>
      <vt:variant>
        <vt:i4>1835071</vt:i4>
      </vt:variant>
      <vt:variant>
        <vt:i4>68</vt:i4>
      </vt:variant>
      <vt:variant>
        <vt:i4>0</vt:i4>
      </vt:variant>
      <vt:variant>
        <vt:i4>5</vt:i4>
      </vt:variant>
      <vt:variant>
        <vt:lpwstr/>
      </vt:variant>
      <vt:variant>
        <vt:lpwstr>_Toc421288237</vt:lpwstr>
      </vt:variant>
      <vt:variant>
        <vt:i4>1835071</vt:i4>
      </vt:variant>
      <vt:variant>
        <vt:i4>62</vt:i4>
      </vt:variant>
      <vt:variant>
        <vt:i4>0</vt:i4>
      </vt:variant>
      <vt:variant>
        <vt:i4>5</vt:i4>
      </vt:variant>
      <vt:variant>
        <vt:lpwstr/>
      </vt:variant>
      <vt:variant>
        <vt:lpwstr>_Toc421288236</vt:lpwstr>
      </vt:variant>
      <vt:variant>
        <vt:i4>1835071</vt:i4>
      </vt:variant>
      <vt:variant>
        <vt:i4>56</vt:i4>
      </vt:variant>
      <vt:variant>
        <vt:i4>0</vt:i4>
      </vt:variant>
      <vt:variant>
        <vt:i4>5</vt:i4>
      </vt:variant>
      <vt:variant>
        <vt:lpwstr/>
      </vt:variant>
      <vt:variant>
        <vt:lpwstr>_Toc421288235</vt:lpwstr>
      </vt:variant>
      <vt:variant>
        <vt:i4>1835071</vt:i4>
      </vt:variant>
      <vt:variant>
        <vt:i4>50</vt:i4>
      </vt:variant>
      <vt:variant>
        <vt:i4>0</vt:i4>
      </vt:variant>
      <vt:variant>
        <vt:i4>5</vt:i4>
      </vt:variant>
      <vt:variant>
        <vt:lpwstr/>
      </vt:variant>
      <vt:variant>
        <vt:lpwstr>_Toc421288234</vt:lpwstr>
      </vt:variant>
      <vt:variant>
        <vt:i4>1835071</vt:i4>
      </vt:variant>
      <vt:variant>
        <vt:i4>44</vt:i4>
      </vt:variant>
      <vt:variant>
        <vt:i4>0</vt:i4>
      </vt:variant>
      <vt:variant>
        <vt:i4>5</vt:i4>
      </vt:variant>
      <vt:variant>
        <vt:lpwstr/>
      </vt:variant>
      <vt:variant>
        <vt:lpwstr>_Toc421288233</vt:lpwstr>
      </vt:variant>
      <vt:variant>
        <vt:i4>1835071</vt:i4>
      </vt:variant>
      <vt:variant>
        <vt:i4>38</vt:i4>
      </vt:variant>
      <vt:variant>
        <vt:i4>0</vt:i4>
      </vt:variant>
      <vt:variant>
        <vt:i4>5</vt:i4>
      </vt:variant>
      <vt:variant>
        <vt:lpwstr/>
      </vt:variant>
      <vt:variant>
        <vt:lpwstr>_Toc421288232</vt:lpwstr>
      </vt:variant>
      <vt:variant>
        <vt:i4>1835071</vt:i4>
      </vt:variant>
      <vt:variant>
        <vt:i4>32</vt:i4>
      </vt:variant>
      <vt:variant>
        <vt:i4>0</vt:i4>
      </vt:variant>
      <vt:variant>
        <vt:i4>5</vt:i4>
      </vt:variant>
      <vt:variant>
        <vt:lpwstr/>
      </vt:variant>
      <vt:variant>
        <vt:lpwstr>_Toc421288231</vt:lpwstr>
      </vt:variant>
      <vt:variant>
        <vt:i4>1835071</vt:i4>
      </vt:variant>
      <vt:variant>
        <vt:i4>26</vt:i4>
      </vt:variant>
      <vt:variant>
        <vt:i4>0</vt:i4>
      </vt:variant>
      <vt:variant>
        <vt:i4>5</vt:i4>
      </vt:variant>
      <vt:variant>
        <vt:lpwstr/>
      </vt:variant>
      <vt:variant>
        <vt:lpwstr>_Toc421288230</vt:lpwstr>
      </vt:variant>
      <vt:variant>
        <vt:i4>1900607</vt:i4>
      </vt:variant>
      <vt:variant>
        <vt:i4>20</vt:i4>
      </vt:variant>
      <vt:variant>
        <vt:i4>0</vt:i4>
      </vt:variant>
      <vt:variant>
        <vt:i4>5</vt:i4>
      </vt:variant>
      <vt:variant>
        <vt:lpwstr/>
      </vt:variant>
      <vt:variant>
        <vt:lpwstr>_Toc421288229</vt:lpwstr>
      </vt:variant>
      <vt:variant>
        <vt:i4>1900607</vt:i4>
      </vt:variant>
      <vt:variant>
        <vt:i4>14</vt:i4>
      </vt:variant>
      <vt:variant>
        <vt:i4>0</vt:i4>
      </vt:variant>
      <vt:variant>
        <vt:i4>5</vt:i4>
      </vt:variant>
      <vt:variant>
        <vt:lpwstr/>
      </vt:variant>
      <vt:variant>
        <vt:lpwstr>_Toc421288228</vt:lpwstr>
      </vt:variant>
      <vt:variant>
        <vt:i4>1900607</vt:i4>
      </vt:variant>
      <vt:variant>
        <vt:i4>8</vt:i4>
      </vt:variant>
      <vt:variant>
        <vt:i4>0</vt:i4>
      </vt:variant>
      <vt:variant>
        <vt:i4>5</vt:i4>
      </vt:variant>
      <vt:variant>
        <vt:lpwstr/>
      </vt:variant>
      <vt:variant>
        <vt:lpwstr>_Toc421288227</vt:lpwstr>
      </vt:variant>
      <vt:variant>
        <vt:i4>1900607</vt:i4>
      </vt:variant>
      <vt:variant>
        <vt:i4>2</vt:i4>
      </vt:variant>
      <vt:variant>
        <vt:i4>0</vt:i4>
      </vt:variant>
      <vt:variant>
        <vt:i4>5</vt:i4>
      </vt:variant>
      <vt:variant>
        <vt:lpwstr/>
      </vt:variant>
      <vt:variant>
        <vt:lpwstr>_Toc421288226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ІІІ</dc:title>
  <dc:creator>lmalchev</dc:creator>
  <cp:lastModifiedBy>КБПА ВД</cp:lastModifiedBy>
  <cp:revision>489</cp:revision>
  <cp:lastPrinted>2023-09-14T09:10:00Z</cp:lastPrinted>
  <dcterms:created xsi:type="dcterms:W3CDTF">2023-06-26T09:11:00Z</dcterms:created>
  <dcterms:modified xsi:type="dcterms:W3CDTF">2023-09-19T14:44:00Z</dcterms:modified>
</cp:coreProperties>
</file>